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bidi w:val="0"/>
        <w:jc w:val="center"/>
        <w:rPr>
          <w:rFonts w:hint="default" w:ascii="黑体" w:hAnsi="黑体" w:eastAsia="黑体" w:cs="黑体"/>
          <w:sz w:val="32"/>
          <w:szCs w:val="32"/>
          <w:lang w:val="en-US" w:eastAsia="zh-CN"/>
        </w:rPr>
      </w:pPr>
      <w:bookmarkStart w:id="0" w:name="_Toc534377737"/>
      <w:bookmarkStart w:id="1" w:name="_Toc26935"/>
      <w:bookmarkStart w:id="2" w:name="_Toc18883"/>
      <w:r>
        <w:rPr>
          <w:rFonts w:hint="eastAsia" w:ascii="黑体" w:hAnsi="黑体" w:eastAsia="黑体" w:cs="黑体"/>
          <w:sz w:val="32"/>
          <w:szCs w:val="32"/>
          <w:lang w:val="en-US" w:eastAsia="zh-CN"/>
        </w:rPr>
        <w:t>第一部分 党群管理类</w:t>
      </w:r>
    </w:p>
    <w:p>
      <w:pPr>
        <w:pStyle w:val="11"/>
        <w:tabs>
          <w:tab w:val="right" w:leader="dot" w:pos="8845"/>
        </w:tabs>
        <w:rPr>
          <w:rFonts w:hint="eastAsia" w:ascii="宋体" w:hAnsi="宋体" w:eastAsia="宋体" w:cs="宋体"/>
        </w:rPr>
      </w:pPr>
      <w:r>
        <w:fldChar w:fldCharType="begin"/>
      </w:r>
      <w:r>
        <w:instrText xml:space="preserve">TOC \o "1-1" \h \u </w:instrText>
      </w:r>
      <w: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_Toc15292 </w:instrText>
      </w:r>
      <w:r>
        <w:rPr>
          <w:rFonts w:hint="eastAsia" w:ascii="宋体" w:hAnsi="宋体" w:eastAsia="宋体" w:cs="宋体"/>
        </w:rPr>
        <w:fldChar w:fldCharType="separate"/>
      </w:r>
      <w:r>
        <w:rPr>
          <w:rFonts w:hint="eastAsia" w:ascii="宋体" w:hAnsi="宋体" w:eastAsia="宋体" w:cs="宋体"/>
          <w:kern w:val="2"/>
          <w:szCs w:val="36"/>
        </w:rPr>
        <w:t>柳州职业技术学院二级学院党政联席会议制度试行办法</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_Toc30171 </w:instrText>
      </w:r>
      <w:r>
        <w:rPr>
          <w:rFonts w:hint="eastAsia" w:ascii="宋体" w:hAnsi="宋体" w:eastAsia="宋体" w:cs="宋体"/>
        </w:rPr>
        <w:fldChar w:fldCharType="separate"/>
      </w:r>
      <w:r>
        <w:rPr>
          <w:rFonts w:hint="eastAsia" w:ascii="宋体" w:hAnsi="宋体" w:eastAsia="宋体" w:cs="宋体"/>
          <w:kern w:val="2"/>
          <w:szCs w:val="36"/>
        </w:rPr>
        <w:t>柳州职业技术学院基层党组织考核办法（试行）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_Toc30171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_Toc21209 </w:instrText>
      </w:r>
      <w:r>
        <w:rPr>
          <w:rFonts w:hint="eastAsia" w:ascii="宋体" w:hAnsi="宋体" w:eastAsia="宋体" w:cs="宋体"/>
        </w:rPr>
        <w:fldChar w:fldCharType="separate"/>
      </w:r>
      <w:r>
        <w:rPr>
          <w:rFonts w:hint="eastAsia" w:ascii="宋体" w:hAnsi="宋体" w:eastAsia="宋体" w:cs="宋体"/>
          <w:kern w:val="2"/>
          <w:szCs w:val="36"/>
        </w:rPr>
        <w:t>柳州职业技术学院从严管理干部实施办法（试行）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_Toc21209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_Toc449 </w:instrText>
      </w:r>
      <w:r>
        <w:rPr>
          <w:rFonts w:hint="eastAsia" w:ascii="宋体" w:hAnsi="宋体" w:eastAsia="宋体" w:cs="宋体"/>
        </w:rPr>
        <w:fldChar w:fldCharType="separate"/>
      </w:r>
      <w:r>
        <w:rPr>
          <w:rFonts w:hint="eastAsia" w:ascii="宋体" w:hAnsi="宋体" w:eastAsia="宋体" w:cs="宋体"/>
          <w:kern w:val="2"/>
          <w:szCs w:val="36"/>
        </w:rPr>
        <w:t>柳州职业技术学院宣传思想阵地管理办法（试行）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_Toc449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_Toc11148 </w:instrText>
      </w:r>
      <w:r>
        <w:rPr>
          <w:rFonts w:hint="eastAsia" w:ascii="宋体" w:hAnsi="宋体" w:eastAsia="宋体" w:cs="宋体"/>
        </w:rPr>
        <w:fldChar w:fldCharType="separate"/>
      </w:r>
      <w:r>
        <w:rPr>
          <w:rFonts w:hint="eastAsia" w:ascii="宋体" w:hAnsi="宋体" w:eastAsia="宋体" w:cs="宋体"/>
          <w:kern w:val="2"/>
          <w:szCs w:val="36"/>
        </w:rPr>
        <w:t>柳州职业技术学院重点领域（关键环节）监督检查暂行办法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_Toc11148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_Toc12819 </w:instrText>
      </w:r>
      <w:r>
        <w:rPr>
          <w:rFonts w:hint="eastAsia" w:ascii="宋体" w:hAnsi="宋体" w:eastAsia="宋体" w:cs="宋体"/>
        </w:rPr>
        <w:fldChar w:fldCharType="separate"/>
      </w:r>
      <w:r>
        <w:rPr>
          <w:rFonts w:hint="eastAsia" w:ascii="宋体" w:hAnsi="宋体" w:eastAsia="宋体" w:cs="宋体"/>
          <w:kern w:val="2"/>
          <w:szCs w:val="36"/>
        </w:rPr>
        <w:t>柳州职业技术学院二级党组织理论学习中心组学习制度（试行）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_Toc12819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_Toc23674 </w:instrText>
      </w:r>
      <w:r>
        <w:rPr>
          <w:rFonts w:hint="eastAsia" w:ascii="宋体" w:hAnsi="宋体" w:eastAsia="宋体" w:cs="宋体"/>
        </w:rPr>
        <w:fldChar w:fldCharType="separate"/>
      </w:r>
      <w:r>
        <w:rPr>
          <w:rFonts w:hint="eastAsia" w:ascii="宋体" w:hAnsi="宋体" w:eastAsia="宋体" w:cs="宋体"/>
          <w:kern w:val="2"/>
          <w:szCs w:val="36"/>
        </w:rPr>
        <w:t>柳州职业技术学院关于严格规范党支部组织生活的指导性意见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_Toc23674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_Toc1601 </w:instrText>
      </w:r>
      <w:r>
        <w:rPr>
          <w:rFonts w:hint="eastAsia" w:ascii="宋体" w:hAnsi="宋体" w:eastAsia="宋体" w:cs="宋体"/>
        </w:rPr>
        <w:fldChar w:fldCharType="separate"/>
      </w:r>
      <w:r>
        <w:rPr>
          <w:rFonts w:hint="eastAsia" w:ascii="宋体" w:hAnsi="宋体" w:eastAsia="宋体" w:cs="宋体"/>
          <w:kern w:val="2"/>
          <w:szCs w:val="36"/>
        </w:rPr>
        <w:t>柳州职业技术学院基层党组织按期换届提醒督促制度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_Toc1601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_Toc9512 </w:instrText>
      </w:r>
      <w:r>
        <w:rPr>
          <w:rFonts w:hint="eastAsia" w:ascii="宋体" w:hAnsi="宋体" w:eastAsia="宋体" w:cs="宋体"/>
        </w:rPr>
        <w:fldChar w:fldCharType="separate"/>
      </w:r>
      <w:r>
        <w:rPr>
          <w:rFonts w:hint="eastAsia" w:ascii="宋体" w:hAnsi="宋体" w:eastAsia="宋体" w:cs="宋体"/>
          <w:kern w:val="2"/>
          <w:szCs w:val="36"/>
        </w:rPr>
        <w:t>柳州职业技术学院党员干部廉政教育约谈实施办法（试行）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_Toc9512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_Toc28206 </w:instrText>
      </w:r>
      <w:r>
        <w:rPr>
          <w:rFonts w:hint="eastAsia" w:ascii="宋体" w:hAnsi="宋体" w:eastAsia="宋体" w:cs="宋体"/>
        </w:rPr>
        <w:fldChar w:fldCharType="separate"/>
      </w:r>
      <w:r>
        <w:rPr>
          <w:rFonts w:hint="eastAsia" w:ascii="宋体" w:hAnsi="宋体" w:eastAsia="宋体" w:cs="宋体"/>
          <w:kern w:val="2"/>
          <w:szCs w:val="36"/>
        </w:rPr>
        <w:t>柳州职业技术学院党委会议议事规则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_Toc28206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_Toc29336 </w:instrText>
      </w:r>
      <w:r>
        <w:rPr>
          <w:rFonts w:hint="eastAsia" w:ascii="宋体" w:hAnsi="宋体" w:eastAsia="宋体" w:cs="宋体"/>
        </w:rPr>
        <w:fldChar w:fldCharType="separate"/>
      </w:r>
      <w:r>
        <w:rPr>
          <w:rFonts w:hint="eastAsia" w:ascii="宋体" w:hAnsi="宋体" w:eastAsia="宋体" w:cs="宋体"/>
          <w:kern w:val="2"/>
          <w:szCs w:val="36"/>
        </w:rPr>
        <w:t>柳州职业技术学院坚持和完善党委领导下的校长负责制的若干措施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_Toc29336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_Toc5339 </w:instrText>
      </w:r>
      <w:r>
        <w:rPr>
          <w:rFonts w:hint="eastAsia" w:ascii="宋体" w:hAnsi="宋体" w:eastAsia="宋体" w:cs="宋体"/>
        </w:rPr>
        <w:fldChar w:fldCharType="separate"/>
      </w:r>
      <w:r>
        <w:rPr>
          <w:rFonts w:hint="eastAsia" w:ascii="宋体" w:hAnsi="宋体" w:eastAsia="宋体" w:cs="宋体"/>
          <w:kern w:val="2"/>
          <w:szCs w:val="36"/>
        </w:rPr>
        <w:t>柳州职业技术学院教职工政治理论学习制度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_Toc5339 </w:instrText>
      </w:r>
      <w:r>
        <w:rPr>
          <w:rFonts w:hint="eastAsia" w:ascii="宋体" w:hAnsi="宋体" w:eastAsia="宋体" w:cs="宋体"/>
        </w:rPr>
        <w:fldChar w:fldCharType="separate"/>
      </w:r>
      <w:r>
        <w:rPr>
          <w:rFonts w:hint="eastAsia" w:ascii="宋体" w:hAnsi="宋体" w:eastAsia="宋体" w:cs="宋体"/>
        </w:rPr>
        <w:t>96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_Toc30145 </w:instrText>
      </w:r>
      <w:r>
        <w:rPr>
          <w:rFonts w:hint="eastAsia" w:ascii="宋体" w:hAnsi="宋体" w:eastAsia="宋体" w:cs="宋体"/>
        </w:rPr>
        <w:fldChar w:fldCharType="separate"/>
      </w:r>
      <w:r>
        <w:rPr>
          <w:rFonts w:hint="eastAsia" w:ascii="宋体" w:hAnsi="宋体" w:eastAsia="宋体" w:cs="宋体"/>
          <w:kern w:val="2"/>
          <w:szCs w:val="36"/>
        </w:rPr>
        <w:t>柳州职业技术学院新时代思想政治理论课教师队伍建设的实施意见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_Toc30145 </w:instrText>
      </w:r>
      <w:r>
        <w:rPr>
          <w:rFonts w:hint="eastAsia" w:ascii="宋体" w:hAnsi="宋体" w:eastAsia="宋体" w:cs="宋体"/>
        </w:rPr>
        <w:fldChar w:fldCharType="separate"/>
      </w:r>
      <w:r>
        <w:rPr>
          <w:rFonts w:hint="eastAsia" w:ascii="宋体" w:hAnsi="宋体" w:eastAsia="宋体" w:cs="宋体"/>
        </w:rPr>
        <w:t>100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_Toc14702 </w:instrText>
      </w:r>
      <w:r>
        <w:rPr>
          <w:rFonts w:hint="eastAsia" w:ascii="宋体" w:hAnsi="宋体" w:eastAsia="宋体" w:cs="宋体"/>
        </w:rPr>
        <w:fldChar w:fldCharType="separate"/>
      </w:r>
      <w:r>
        <w:rPr>
          <w:rFonts w:hint="eastAsia" w:ascii="宋体" w:hAnsi="宋体" w:eastAsia="宋体" w:cs="宋体"/>
          <w:kern w:val="2"/>
          <w:szCs w:val="36"/>
        </w:rPr>
        <w:t>中共柳州职业技术学院委员会关于进一步健全落细落实习近平总书记重要讲话、重要指示批示精神和党中央决策部署长效机制的实施意见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_Toc14702 </w:instrText>
      </w:r>
      <w:r>
        <w:rPr>
          <w:rFonts w:hint="eastAsia" w:ascii="宋体" w:hAnsi="宋体" w:eastAsia="宋体" w:cs="宋体"/>
        </w:rPr>
        <w:fldChar w:fldCharType="separate"/>
      </w:r>
      <w:r>
        <w:rPr>
          <w:rFonts w:hint="eastAsia" w:ascii="宋体" w:hAnsi="宋体" w:eastAsia="宋体" w:cs="宋体"/>
        </w:rPr>
        <w:t>112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_Toc17149 </w:instrText>
      </w:r>
      <w:r>
        <w:rPr>
          <w:rFonts w:hint="eastAsia" w:ascii="宋体" w:hAnsi="宋体" w:eastAsia="宋体" w:cs="宋体"/>
        </w:rPr>
        <w:fldChar w:fldCharType="separate"/>
      </w:r>
      <w:r>
        <w:rPr>
          <w:rFonts w:hint="eastAsia" w:ascii="宋体" w:hAnsi="宋体" w:eastAsia="宋体" w:cs="宋体"/>
          <w:kern w:val="2"/>
          <w:szCs w:val="36"/>
        </w:rPr>
        <w:t>中共柳州职业技术学院委员会</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_Toc20863 </w:instrText>
      </w:r>
      <w:r>
        <w:rPr>
          <w:rFonts w:hint="eastAsia" w:ascii="宋体" w:hAnsi="宋体" w:eastAsia="宋体" w:cs="宋体"/>
        </w:rPr>
        <w:fldChar w:fldCharType="separate"/>
      </w:r>
      <w:r>
        <w:rPr>
          <w:rFonts w:hint="eastAsia" w:ascii="宋体" w:hAnsi="宋体" w:eastAsia="宋体" w:cs="宋体"/>
          <w:kern w:val="2"/>
          <w:szCs w:val="36"/>
        </w:rPr>
        <w:t>贯彻落实意识形态工作责任制实施细则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_Toc20863 </w:instrText>
      </w:r>
      <w:r>
        <w:rPr>
          <w:rFonts w:hint="eastAsia" w:ascii="宋体" w:hAnsi="宋体" w:eastAsia="宋体" w:cs="宋体"/>
        </w:rPr>
        <w:fldChar w:fldCharType="separate"/>
      </w:r>
      <w:r>
        <w:rPr>
          <w:rFonts w:hint="eastAsia" w:ascii="宋体" w:hAnsi="宋体" w:eastAsia="宋体" w:cs="宋体"/>
        </w:rPr>
        <w:t>121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_Toc27033 </w:instrText>
      </w:r>
      <w:r>
        <w:rPr>
          <w:rFonts w:hint="eastAsia" w:ascii="宋体" w:hAnsi="宋体" w:eastAsia="宋体" w:cs="宋体"/>
        </w:rPr>
        <w:fldChar w:fldCharType="separate"/>
      </w:r>
      <w:r>
        <w:rPr>
          <w:rFonts w:hint="eastAsia" w:ascii="宋体" w:hAnsi="宋体" w:eastAsia="宋体" w:cs="宋体"/>
          <w:kern w:val="2"/>
          <w:szCs w:val="36"/>
        </w:rPr>
        <w:t>柳州职业技术学院“双带头人”教师党支部书记管理办法（试行）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_Toc27033 </w:instrText>
      </w:r>
      <w:r>
        <w:rPr>
          <w:rFonts w:hint="eastAsia" w:ascii="宋体" w:hAnsi="宋体" w:eastAsia="宋体" w:cs="宋体"/>
        </w:rPr>
        <w:fldChar w:fldCharType="separate"/>
      </w:r>
      <w:r>
        <w:rPr>
          <w:rFonts w:hint="eastAsia" w:ascii="宋体" w:hAnsi="宋体" w:eastAsia="宋体" w:cs="宋体"/>
        </w:rPr>
        <w:t>133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_Toc18135 </w:instrText>
      </w:r>
      <w:r>
        <w:rPr>
          <w:rFonts w:hint="eastAsia" w:ascii="宋体" w:hAnsi="宋体" w:eastAsia="宋体" w:cs="宋体"/>
        </w:rPr>
        <w:fldChar w:fldCharType="separate"/>
      </w:r>
      <w:r>
        <w:rPr>
          <w:rFonts w:hint="eastAsia" w:ascii="宋体" w:hAnsi="宋体" w:eastAsia="宋体" w:cs="宋体"/>
          <w:kern w:val="2"/>
          <w:szCs w:val="36"/>
        </w:rPr>
        <w:t>中共柳州职业技术学院委员会落实党风廉政建设主体责任实施办法（试行）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_Toc18135 </w:instrText>
      </w:r>
      <w:r>
        <w:rPr>
          <w:rFonts w:hint="eastAsia" w:ascii="宋体" w:hAnsi="宋体" w:eastAsia="宋体" w:cs="宋体"/>
        </w:rPr>
        <w:fldChar w:fldCharType="separate"/>
      </w:r>
      <w:r>
        <w:rPr>
          <w:rFonts w:hint="eastAsia" w:ascii="宋体" w:hAnsi="宋体" w:eastAsia="宋体" w:cs="宋体"/>
        </w:rPr>
        <w:t>140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_Toc11563 </w:instrText>
      </w:r>
      <w:r>
        <w:rPr>
          <w:rFonts w:hint="eastAsia" w:ascii="宋体" w:hAnsi="宋体" w:eastAsia="宋体" w:cs="宋体"/>
        </w:rPr>
        <w:fldChar w:fldCharType="separate"/>
      </w:r>
      <w:r>
        <w:rPr>
          <w:rFonts w:hint="eastAsia" w:ascii="宋体" w:hAnsi="宋体" w:eastAsia="宋体" w:cs="宋体"/>
          <w:kern w:val="2"/>
          <w:szCs w:val="36"/>
        </w:rPr>
        <w:t>柳州职业技术学院校院两级领导班子专题民主生活会制度（试行）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_Toc11563 </w:instrText>
      </w:r>
      <w:r>
        <w:rPr>
          <w:rFonts w:hint="eastAsia" w:ascii="宋体" w:hAnsi="宋体" w:eastAsia="宋体" w:cs="宋体"/>
        </w:rPr>
        <w:fldChar w:fldCharType="separate"/>
      </w:r>
      <w:r>
        <w:rPr>
          <w:rFonts w:hint="eastAsia" w:ascii="宋体" w:hAnsi="宋体" w:eastAsia="宋体" w:cs="宋体"/>
        </w:rPr>
        <w:t>159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_Toc29689 </w:instrText>
      </w:r>
      <w:r>
        <w:rPr>
          <w:rFonts w:hint="eastAsia" w:ascii="宋体" w:hAnsi="宋体" w:eastAsia="宋体" w:cs="宋体"/>
        </w:rPr>
        <w:fldChar w:fldCharType="separate"/>
      </w:r>
      <w:r>
        <w:rPr>
          <w:rFonts w:hint="eastAsia" w:ascii="宋体" w:hAnsi="宋体" w:eastAsia="宋体" w:cs="宋体"/>
          <w:kern w:val="2"/>
          <w:szCs w:val="36"/>
        </w:rPr>
        <w:t>柳州职业技术学院落实党风廉政建设责任制考核办法（试行）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_Toc29689 </w:instrText>
      </w:r>
      <w:r>
        <w:rPr>
          <w:rFonts w:hint="eastAsia" w:ascii="宋体" w:hAnsi="宋体" w:eastAsia="宋体" w:cs="宋体"/>
        </w:rPr>
        <w:fldChar w:fldCharType="separate"/>
      </w:r>
      <w:r>
        <w:rPr>
          <w:rFonts w:hint="eastAsia" w:ascii="宋体" w:hAnsi="宋体" w:eastAsia="宋体" w:cs="宋体"/>
        </w:rPr>
        <w:t>163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_Toc5726 </w:instrText>
      </w:r>
      <w:r>
        <w:rPr>
          <w:rFonts w:hint="eastAsia" w:ascii="宋体" w:hAnsi="宋体" w:eastAsia="宋体" w:cs="宋体"/>
        </w:rPr>
        <w:fldChar w:fldCharType="separate"/>
      </w:r>
      <w:r>
        <w:rPr>
          <w:rFonts w:hint="eastAsia" w:ascii="宋体" w:hAnsi="宋体" w:eastAsia="宋体" w:cs="宋体"/>
          <w:kern w:val="2"/>
          <w:szCs w:val="36"/>
        </w:rPr>
        <w:t>柳州职业技术学院校院两级领导班子专题民主生活会制度（试行）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_Toc5726 </w:instrText>
      </w:r>
      <w:r>
        <w:rPr>
          <w:rFonts w:hint="eastAsia" w:ascii="宋体" w:hAnsi="宋体" w:eastAsia="宋体" w:cs="宋体"/>
        </w:rPr>
        <w:fldChar w:fldCharType="separate"/>
      </w:r>
      <w:r>
        <w:rPr>
          <w:rFonts w:hint="eastAsia" w:ascii="宋体" w:hAnsi="宋体" w:eastAsia="宋体" w:cs="宋体"/>
        </w:rPr>
        <w:t>172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_Toc24117 </w:instrText>
      </w:r>
      <w:r>
        <w:rPr>
          <w:rFonts w:hint="eastAsia" w:ascii="宋体" w:hAnsi="宋体" w:eastAsia="宋体" w:cs="宋体"/>
        </w:rPr>
        <w:fldChar w:fldCharType="separate"/>
      </w:r>
      <w:r>
        <w:rPr>
          <w:rFonts w:hint="eastAsia" w:ascii="宋体" w:hAnsi="宋体" w:eastAsia="宋体" w:cs="宋体"/>
          <w:kern w:val="2"/>
          <w:szCs w:val="36"/>
        </w:rPr>
        <w:t>柳州职业技术学院优秀年轻干部培养工作方案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_Toc24117 </w:instrText>
      </w:r>
      <w:r>
        <w:rPr>
          <w:rFonts w:hint="eastAsia" w:ascii="宋体" w:hAnsi="宋体" w:eastAsia="宋体" w:cs="宋体"/>
        </w:rPr>
        <w:fldChar w:fldCharType="separate"/>
      </w:r>
      <w:r>
        <w:rPr>
          <w:rFonts w:hint="eastAsia" w:ascii="宋体" w:hAnsi="宋体" w:eastAsia="宋体" w:cs="宋体"/>
        </w:rPr>
        <w:t>176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_Toc32590 </w:instrText>
      </w:r>
      <w:r>
        <w:rPr>
          <w:rFonts w:hint="eastAsia" w:ascii="宋体" w:hAnsi="宋体" w:eastAsia="宋体" w:cs="宋体"/>
        </w:rPr>
        <w:fldChar w:fldCharType="separate"/>
      </w:r>
      <w:r>
        <w:rPr>
          <w:rFonts w:hint="eastAsia" w:ascii="宋体" w:hAnsi="宋体" w:eastAsia="宋体" w:cs="宋体"/>
          <w:kern w:val="2"/>
          <w:szCs w:val="36"/>
        </w:rPr>
        <w:t>柳州职业技术学院党员领导干部联系基层工作办法（试行）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_Toc32590 </w:instrText>
      </w:r>
      <w:r>
        <w:rPr>
          <w:rFonts w:hint="eastAsia" w:ascii="宋体" w:hAnsi="宋体" w:eastAsia="宋体" w:cs="宋体"/>
        </w:rPr>
        <w:fldChar w:fldCharType="separate"/>
      </w:r>
      <w:r>
        <w:rPr>
          <w:rFonts w:hint="eastAsia" w:ascii="宋体" w:hAnsi="宋体" w:eastAsia="宋体" w:cs="宋体"/>
        </w:rPr>
        <w:t>181</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_Toc24854 </w:instrText>
      </w:r>
      <w:r>
        <w:rPr>
          <w:rFonts w:hint="eastAsia" w:ascii="宋体" w:hAnsi="宋体" w:eastAsia="宋体" w:cs="宋体"/>
        </w:rPr>
        <w:fldChar w:fldCharType="separate"/>
      </w:r>
      <w:r>
        <w:rPr>
          <w:rFonts w:hint="eastAsia" w:ascii="宋体" w:hAnsi="宋体" w:eastAsia="宋体" w:cs="宋体"/>
          <w:kern w:val="2"/>
          <w:szCs w:val="36"/>
        </w:rPr>
        <w:t>柳州职业技术学院党员积分制管理办法（试行）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_Toc24854 </w:instrText>
      </w:r>
      <w:r>
        <w:rPr>
          <w:rFonts w:hint="eastAsia" w:ascii="宋体" w:hAnsi="宋体" w:eastAsia="宋体" w:cs="宋体"/>
        </w:rPr>
        <w:fldChar w:fldCharType="separate"/>
      </w:r>
      <w:r>
        <w:rPr>
          <w:rFonts w:hint="eastAsia" w:ascii="宋体" w:hAnsi="宋体" w:eastAsia="宋体" w:cs="宋体"/>
        </w:rPr>
        <w:t>187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_Toc8118 </w:instrText>
      </w:r>
      <w:r>
        <w:rPr>
          <w:rFonts w:hint="eastAsia" w:ascii="宋体" w:hAnsi="宋体" w:eastAsia="宋体" w:cs="宋体"/>
        </w:rPr>
        <w:fldChar w:fldCharType="separate"/>
      </w:r>
      <w:r>
        <w:rPr>
          <w:rFonts w:hint="eastAsia" w:ascii="宋体" w:hAnsi="宋体" w:eastAsia="宋体" w:cs="宋体"/>
          <w:kern w:val="2"/>
          <w:szCs w:val="36"/>
        </w:rPr>
        <w:t>柳州职业技术学院基层党务干部考核管理办法（试行）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_Toc8118 </w:instrText>
      </w:r>
      <w:r>
        <w:rPr>
          <w:rFonts w:hint="eastAsia" w:ascii="宋体" w:hAnsi="宋体" w:eastAsia="宋体" w:cs="宋体"/>
        </w:rPr>
        <w:fldChar w:fldCharType="separate"/>
      </w:r>
      <w:r>
        <w:rPr>
          <w:rFonts w:hint="eastAsia" w:ascii="宋体" w:hAnsi="宋体" w:eastAsia="宋体" w:cs="宋体"/>
        </w:rPr>
        <w:t>195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_Toc24160 </w:instrText>
      </w:r>
      <w:r>
        <w:rPr>
          <w:rFonts w:hint="eastAsia" w:ascii="宋体" w:hAnsi="宋体" w:eastAsia="宋体" w:cs="宋体"/>
        </w:rPr>
        <w:fldChar w:fldCharType="separate"/>
      </w:r>
      <w:r>
        <w:rPr>
          <w:rFonts w:hint="eastAsia" w:ascii="宋体" w:hAnsi="宋体" w:eastAsia="宋体" w:cs="宋体"/>
          <w:kern w:val="2"/>
          <w:szCs w:val="36"/>
        </w:rPr>
        <w:t>柳州职业技术学院关于加强党员干部“八小时外”监督管理的实施办法（试行）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_Toc24160 </w:instrText>
      </w:r>
      <w:r>
        <w:rPr>
          <w:rFonts w:hint="eastAsia" w:ascii="宋体" w:hAnsi="宋体" w:eastAsia="宋体" w:cs="宋体"/>
        </w:rPr>
        <w:fldChar w:fldCharType="separate"/>
      </w:r>
      <w:r>
        <w:rPr>
          <w:rFonts w:hint="eastAsia" w:ascii="宋体" w:hAnsi="宋体" w:eastAsia="宋体" w:cs="宋体"/>
        </w:rPr>
        <w:t>205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_Toc32624 </w:instrText>
      </w:r>
      <w:r>
        <w:rPr>
          <w:rFonts w:hint="eastAsia" w:ascii="宋体" w:hAnsi="宋体" w:eastAsia="宋体" w:cs="宋体"/>
        </w:rPr>
        <w:fldChar w:fldCharType="separate"/>
      </w:r>
      <w:r>
        <w:rPr>
          <w:rFonts w:hint="eastAsia" w:ascii="宋体" w:hAnsi="宋体" w:eastAsia="宋体" w:cs="宋体"/>
          <w:kern w:val="2"/>
          <w:szCs w:val="36"/>
        </w:rPr>
        <w:t>柳州职业技术学院推进在低年级大学生中发展党员工作的实施办法</w:t>
      </w:r>
      <w:r>
        <w:rPr>
          <w:rFonts w:hint="eastAsia" w:ascii="宋体" w:hAnsi="宋体" w:eastAsia="宋体" w:cs="宋体"/>
          <w:kern w:val="2"/>
          <w:szCs w:val="36"/>
          <w:lang w:eastAsia="zh-CN"/>
        </w:rPr>
        <w:t>、</w:t>
      </w:r>
      <w:r>
        <w:rPr>
          <w:rFonts w:hint="eastAsia" w:ascii="宋体" w:hAnsi="宋体" w:eastAsia="宋体" w:cs="宋体"/>
          <w:kern w:val="2"/>
          <w:szCs w:val="36"/>
        </w:rPr>
        <w:t>柳州职业技术学院关于加强学校专职组织员队伍建设的实施办法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_Toc32624 </w:instrText>
      </w:r>
      <w:r>
        <w:rPr>
          <w:rFonts w:hint="eastAsia" w:ascii="宋体" w:hAnsi="宋体" w:eastAsia="宋体" w:cs="宋体"/>
        </w:rPr>
        <w:fldChar w:fldCharType="separate"/>
      </w:r>
      <w:r>
        <w:rPr>
          <w:rFonts w:hint="eastAsia" w:ascii="宋体" w:hAnsi="宋体" w:eastAsia="宋体" w:cs="宋体"/>
        </w:rPr>
        <w:t>210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_Toc24328 </w:instrText>
      </w:r>
      <w:r>
        <w:rPr>
          <w:rFonts w:hint="eastAsia" w:ascii="宋体" w:hAnsi="宋体" w:eastAsia="宋体" w:cs="宋体"/>
        </w:rPr>
        <w:fldChar w:fldCharType="separate"/>
      </w:r>
      <w:r>
        <w:rPr>
          <w:rFonts w:hint="eastAsia" w:ascii="宋体" w:hAnsi="宋体" w:eastAsia="宋体" w:cs="宋体"/>
          <w:kern w:val="2"/>
          <w:szCs w:val="36"/>
          <w:lang w:eastAsia="zh-Hans"/>
        </w:rPr>
        <w:t>柳州职业技术学院党员档案管理办法（试行）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_Toc24328 </w:instrText>
      </w:r>
      <w:r>
        <w:rPr>
          <w:rFonts w:hint="eastAsia" w:ascii="宋体" w:hAnsi="宋体" w:eastAsia="宋体" w:cs="宋体"/>
        </w:rPr>
        <w:fldChar w:fldCharType="separate"/>
      </w:r>
      <w:r>
        <w:rPr>
          <w:rFonts w:hint="eastAsia" w:ascii="宋体" w:hAnsi="宋体" w:eastAsia="宋体" w:cs="宋体"/>
        </w:rPr>
        <w:t>218</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_Toc10779 </w:instrText>
      </w:r>
      <w:r>
        <w:rPr>
          <w:rFonts w:hint="eastAsia" w:ascii="宋体" w:hAnsi="宋体" w:eastAsia="宋体" w:cs="宋体"/>
        </w:rPr>
        <w:fldChar w:fldCharType="separate"/>
      </w:r>
      <w:r>
        <w:rPr>
          <w:rFonts w:hint="eastAsia" w:ascii="宋体" w:hAnsi="宋体" w:eastAsia="宋体" w:cs="宋体"/>
          <w:kern w:val="2"/>
          <w:szCs w:val="36"/>
        </w:rPr>
        <w:t>柳州职业技术学院关于对党外人士征求意见、传达重要文件和邀请参加重要会议的工作办法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_Toc10779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_Toc13503 </w:instrText>
      </w:r>
      <w:r>
        <w:rPr>
          <w:rFonts w:hint="eastAsia" w:ascii="宋体" w:hAnsi="宋体" w:eastAsia="宋体" w:cs="宋体"/>
        </w:rPr>
        <w:fldChar w:fldCharType="separate"/>
      </w:r>
      <w:r>
        <w:rPr>
          <w:rFonts w:hint="eastAsia" w:ascii="宋体" w:hAnsi="宋体" w:eastAsia="宋体" w:cs="宋体"/>
          <w:kern w:val="2"/>
          <w:szCs w:val="36"/>
        </w:rPr>
        <w:t>柳州职业技术学院关于激励统一战线成员建言献策的实施办法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_Toc13503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_Toc5356 </w:instrText>
      </w:r>
      <w:r>
        <w:rPr>
          <w:rFonts w:hint="eastAsia" w:ascii="宋体" w:hAnsi="宋体" w:eastAsia="宋体" w:cs="宋体"/>
        </w:rPr>
        <w:fldChar w:fldCharType="separate"/>
      </w:r>
      <w:r>
        <w:rPr>
          <w:rFonts w:hint="eastAsia" w:ascii="宋体" w:hAnsi="宋体" w:eastAsia="宋体" w:cs="宋体"/>
          <w:kern w:val="2"/>
          <w:szCs w:val="36"/>
          <w:lang w:val="en-US" w:eastAsia="zh-CN"/>
        </w:rPr>
        <w:t>柳州职业技术学院重点领域、关键环节监督与再监督实施办法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_Toc5356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_Toc26891 </w:instrText>
      </w:r>
      <w:r>
        <w:rPr>
          <w:rFonts w:hint="eastAsia" w:ascii="宋体" w:hAnsi="宋体" w:eastAsia="宋体" w:cs="宋体"/>
        </w:rPr>
        <w:fldChar w:fldCharType="separate"/>
      </w:r>
      <w:r>
        <w:rPr>
          <w:rFonts w:hint="eastAsia" w:ascii="宋体" w:hAnsi="宋体" w:eastAsia="宋体" w:cs="宋体"/>
          <w:kern w:val="2"/>
          <w:szCs w:val="36"/>
          <w:lang w:val="en-US" w:eastAsia="zh-CN"/>
        </w:rPr>
        <w:t>柳州职业技术学院重大事项督查督办工作实施办法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_Toc26891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_Toc28649 </w:instrText>
      </w:r>
      <w:r>
        <w:rPr>
          <w:rFonts w:hint="eastAsia" w:ascii="宋体" w:hAnsi="宋体" w:eastAsia="宋体" w:cs="宋体"/>
        </w:rPr>
        <w:fldChar w:fldCharType="separate"/>
      </w:r>
      <w:r>
        <w:rPr>
          <w:rFonts w:hint="eastAsia" w:ascii="宋体" w:hAnsi="宋体" w:eastAsia="宋体" w:cs="宋体"/>
          <w:kern w:val="2"/>
          <w:szCs w:val="36"/>
        </w:rPr>
        <w:t>柳州职业技术学院意识形态领域突发事件应急预案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_Toc28649 </w:instrText>
      </w:r>
      <w:r>
        <w:rPr>
          <w:rFonts w:hint="eastAsia" w:ascii="宋体" w:hAnsi="宋体" w:eastAsia="宋体" w:cs="宋体"/>
        </w:rPr>
        <w:fldChar w:fldCharType="separate"/>
      </w:r>
      <w:r>
        <w:rPr>
          <w:rFonts w:hint="eastAsia" w:ascii="宋体" w:hAnsi="宋体" w:eastAsia="宋体" w:cs="宋体"/>
        </w:rPr>
        <w:t>236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_Toc28171 </w:instrText>
      </w:r>
      <w:r>
        <w:rPr>
          <w:rFonts w:hint="eastAsia" w:ascii="宋体" w:hAnsi="宋体" w:eastAsia="宋体" w:cs="宋体"/>
        </w:rPr>
        <w:fldChar w:fldCharType="separate"/>
      </w:r>
      <w:r>
        <w:rPr>
          <w:rFonts w:hint="eastAsia" w:ascii="宋体" w:hAnsi="宋体" w:eastAsia="宋体" w:cs="宋体"/>
          <w:kern w:val="2"/>
          <w:szCs w:val="36"/>
        </w:rPr>
        <w:t>干部人事档案保管保密制度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_Toc28171 </w:instrText>
      </w:r>
      <w:r>
        <w:rPr>
          <w:rFonts w:hint="eastAsia" w:ascii="宋体" w:hAnsi="宋体" w:eastAsia="宋体" w:cs="宋体"/>
        </w:rPr>
        <w:fldChar w:fldCharType="separate"/>
      </w:r>
      <w:r>
        <w:rPr>
          <w:rFonts w:hint="eastAsia" w:ascii="宋体" w:hAnsi="宋体" w:eastAsia="宋体" w:cs="宋体"/>
        </w:rPr>
        <w:t>243</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_Toc9765 </w:instrText>
      </w:r>
      <w:r>
        <w:rPr>
          <w:rFonts w:hint="eastAsia" w:ascii="宋体" w:hAnsi="宋体" w:eastAsia="宋体" w:cs="宋体"/>
        </w:rPr>
        <w:fldChar w:fldCharType="separate"/>
      </w:r>
      <w:r>
        <w:rPr>
          <w:rFonts w:hint="eastAsia" w:ascii="宋体" w:hAnsi="宋体" w:eastAsia="宋体" w:cs="宋体"/>
          <w:kern w:val="2"/>
          <w:szCs w:val="36"/>
        </w:rPr>
        <w:t>干部人事档案鉴别归档制度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_Toc9765 </w:instrText>
      </w:r>
      <w:r>
        <w:rPr>
          <w:rFonts w:hint="eastAsia" w:ascii="宋体" w:hAnsi="宋体" w:eastAsia="宋体" w:cs="宋体"/>
        </w:rPr>
        <w:fldChar w:fldCharType="separate"/>
      </w:r>
      <w:r>
        <w:rPr>
          <w:rFonts w:hint="eastAsia" w:ascii="宋体" w:hAnsi="宋体" w:eastAsia="宋体" w:cs="宋体"/>
        </w:rPr>
        <w:t>245</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_Toc26185 </w:instrText>
      </w:r>
      <w:r>
        <w:rPr>
          <w:rFonts w:hint="eastAsia" w:ascii="宋体" w:hAnsi="宋体" w:eastAsia="宋体" w:cs="宋体"/>
        </w:rPr>
        <w:fldChar w:fldCharType="separate"/>
      </w:r>
      <w:r>
        <w:rPr>
          <w:rFonts w:hint="eastAsia" w:ascii="宋体" w:hAnsi="宋体" w:eastAsia="宋体" w:cs="宋体"/>
          <w:kern w:val="2"/>
          <w:szCs w:val="36"/>
        </w:rPr>
        <w:t>干部人事档案检查核对制度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_Toc26185 </w:instrText>
      </w:r>
      <w:r>
        <w:rPr>
          <w:rFonts w:hint="eastAsia" w:ascii="宋体" w:hAnsi="宋体" w:eastAsia="宋体" w:cs="宋体"/>
        </w:rPr>
        <w:fldChar w:fldCharType="separate"/>
      </w:r>
      <w:r>
        <w:rPr>
          <w:rFonts w:hint="eastAsia" w:ascii="宋体" w:hAnsi="宋体" w:eastAsia="宋体" w:cs="宋体"/>
        </w:rPr>
        <w:t>246</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_Toc11445 </w:instrText>
      </w:r>
      <w:r>
        <w:rPr>
          <w:rFonts w:hint="eastAsia" w:ascii="宋体" w:hAnsi="宋体" w:eastAsia="宋体" w:cs="宋体"/>
        </w:rPr>
        <w:fldChar w:fldCharType="separate"/>
      </w:r>
      <w:r>
        <w:rPr>
          <w:rFonts w:hint="eastAsia" w:ascii="宋体" w:hAnsi="宋体" w:eastAsia="宋体" w:cs="宋体"/>
          <w:kern w:val="2"/>
          <w:szCs w:val="36"/>
        </w:rPr>
        <w:t>干部人事档案查（借）阅制度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_Toc11445 </w:instrText>
      </w:r>
      <w:r>
        <w:rPr>
          <w:rFonts w:hint="eastAsia" w:ascii="宋体" w:hAnsi="宋体" w:eastAsia="宋体" w:cs="宋体"/>
        </w:rPr>
        <w:fldChar w:fldCharType="separate"/>
      </w:r>
      <w:r>
        <w:rPr>
          <w:rFonts w:hint="eastAsia" w:ascii="宋体" w:hAnsi="宋体" w:eastAsia="宋体" w:cs="宋体"/>
        </w:rPr>
        <w:t>247</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_Toc17493 </w:instrText>
      </w:r>
      <w:r>
        <w:rPr>
          <w:rFonts w:hint="eastAsia" w:ascii="宋体" w:hAnsi="宋体" w:eastAsia="宋体" w:cs="宋体"/>
        </w:rPr>
        <w:fldChar w:fldCharType="separate"/>
      </w:r>
      <w:r>
        <w:rPr>
          <w:rFonts w:hint="eastAsia" w:ascii="宋体" w:hAnsi="宋体" w:eastAsia="宋体" w:cs="宋体"/>
          <w:kern w:val="2"/>
          <w:szCs w:val="36"/>
        </w:rPr>
        <w:t>干部人事档案转递制度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_Toc17493 </w:instrText>
      </w:r>
      <w:r>
        <w:rPr>
          <w:rFonts w:hint="eastAsia" w:ascii="宋体" w:hAnsi="宋体" w:eastAsia="宋体" w:cs="宋体"/>
        </w:rPr>
        <w:fldChar w:fldCharType="separate"/>
      </w:r>
      <w:r>
        <w:rPr>
          <w:rFonts w:hint="eastAsia" w:ascii="宋体" w:hAnsi="宋体" w:eastAsia="宋体" w:cs="宋体"/>
        </w:rPr>
        <w:t>249</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_Toc32375 </w:instrText>
      </w:r>
      <w:r>
        <w:rPr>
          <w:rFonts w:hint="eastAsia" w:ascii="宋体" w:hAnsi="宋体" w:eastAsia="宋体" w:cs="宋体"/>
        </w:rPr>
        <w:fldChar w:fldCharType="separate"/>
      </w:r>
      <w:r>
        <w:rPr>
          <w:rFonts w:hint="eastAsia" w:ascii="宋体" w:hAnsi="宋体" w:eastAsia="宋体" w:cs="宋体"/>
          <w:kern w:val="2"/>
          <w:szCs w:val="36"/>
        </w:rPr>
        <w:t>干部人事档案收集制度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_Toc32375 </w:instrText>
      </w:r>
      <w:r>
        <w:rPr>
          <w:rFonts w:hint="eastAsia" w:ascii="宋体" w:hAnsi="宋体" w:eastAsia="宋体" w:cs="宋体"/>
        </w:rPr>
        <w:fldChar w:fldCharType="separate"/>
      </w:r>
      <w:r>
        <w:rPr>
          <w:rFonts w:hint="eastAsia" w:ascii="宋体" w:hAnsi="宋体" w:eastAsia="宋体" w:cs="宋体"/>
        </w:rPr>
        <w:t>250</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_Toc18427 </w:instrText>
      </w:r>
      <w:r>
        <w:rPr>
          <w:rFonts w:hint="eastAsia" w:ascii="宋体" w:hAnsi="宋体" w:eastAsia="宋体" w:cs="宋体"/>
        </w:rPr>
        <w:fldChar w:fldCharType="separate"/>
      </w:r>
      <w:r>
        <w:rPr>
          <w:rFonts w:hint="eastAsia" w:ascii="宋体" w:hAnsi="宋体" w:eastAsia="宋体" w:cs="宋体"/>
          <w:kern w:val="2"/>
          <w:szCs w:val="36"/>
        </w:rPr>
        <w:t>干部人事档案送交档案材料归档工作制度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_Toc18427 </w:instrText>
      </w:r>
      <w:r>
        <w:rPr>
          <w:rFonts w:hint="eastAsia" w:ascii="宋体" w:hAnsi="宋体" w:eastAsia="宋体" w:cs="宋体"/>
        </w:rPr>
        <w:fldChar w:fldCharType="separate"/>
      </w:r>
      <w:r>
        <w:rPr>
          <w:rFonts w:hint="eastAsia" w:ascii="宋体" w:hAnsi="宋体" w:eastAsia="宋体" w:cs="宋体"/>
        </w:rPr>
        <w:t>252</w:t>
      </w:r>
      <w:r>
        <w:rPr>
          <w:rFonts w:hint="eastAsia" w:ascii="宋体" w:hAnsi="宋体" w:eastAsia="宋体" w:cs="宋体"/>
        </w:rPr>
        <w:fldChar w:fldCharType="end"/>
      </w:r>
      <w:r>
        <w:rPr>
          <w:rFonts w:hint="eastAsia" w:ascii="宋体" w:hAnsi="宋体" w:eastAsia="宋体" w:cs="宋体"/>
        </w:rPr>
        <w:fldChar w:fldCharType="end"/>
      </w:r>
    </w:p>
    <w:p>
      <w:pPr>
        <w:pStyle w:val="11"/>
        <w:tabs>
          <w:tab w:val="right" w:leader="dot" w:pos="8845"/>
        </w:tabs>
      </w:pPr>
      <w:r>
        <w:fldChar w:fldCharType="begin"/>
      </w:r>
      <w:r>
        <w:instrText xml:space="preserve"> HYPERLINK \l _Toc21217 </w:instrText>
      </w:r>
      <w:r>
        <w:fldChar w:fldCharType="separate"/>
      </w:r>
      <w:r>
        <w:rPr>
          <w:rFonts w:hint="eastAsia" w:ascii="宋体" w:hAnsi="宋体"/>
          <w:bCs/>
          <w:szCs w:val="36"/>
          <w:lang w:val="en-US" w:eastAsia="zh-CN"/>
        </w:rPr>
        <w:t>柳州职业技术学院校园网新闻管理办法（试行）</w:t>
      </w:r>
      <w:r>
        <w:tab/>
      </w:r>
      <w:r>
        <w:fldChar w:fldCharType="begin"/>
      </w:r>
      <w:r>
        <w:instrText xml:space="preserve"> PAGEREF _Toc21217 </w:instrText>
      </w:r>
      <w:r>
        <w:fldChar w:fldCharType="separate"/>
      </w:r>
      <w:r>
        <w:t>253</w:t>
      </w:r>
      <w:r>
        <w:fldChar w:fldCharType="end"/>
      </w:r>
      <w:r>
        <w:fldChar w:fldCharType="end"/>
      </w:r>
    </w:p>
    <w:p>
      <w:pPr>
        <w:pStyle w:val="11"/>
        <w:tabs>
          <w:tab w:val="right" w:leader="dot" w:pos="8845"/>
        </w:tabs>
      </w:pPr>
      <w:r>
        <w:fldChar w:fldCharType="begin"/>
      </w:r>
      <w:r>
        <w:instrText xml:space="preserve"> HYPERLINK \l _Toc10294 </w:instrText>
      </w:r>
      <w:r>
        <w:fldChar w:fldCharType="separate"/>
      </w:r>
      <w:r>
        <w:rPr>
          <w:rFonts w:hint="eastAsia" w:asciiTheme="minorEastAsia" w:hAnsiTheme="minorEastAsia" w:eastAsiaTheme="minorEastAsia"/>
          <w:kern w:val="2"/>
          <w:szCs w:val="36"/>
        </w:rPr>
        <w:t>柳州职业技术学院官方微信运营室管理制度</w:t>
      </w:r>
      <w:r>
        <w:tab/>
      </w:r>
      <w:r>
        <w:fldChar w:fldCharType="begin"/>
      </w:r>
      <w:r>
        <w:instrText xml:space="preserve"> PAGEREF _Toc10294 </w:instrText>
      </w:r>
      <w:r>
        <w:fldChar w:fldCharType="separate"/>
      </w:r>
      <w:r>
        <w:t>268</w:t>
      </w:r>
      <w:r>
        <w:fldChar w:fldCharType="end"/>
      </w:r>
      <w:r>
        <w:fldChar w:fldCharType="end"/>
      </w:r>
    </w:p>
    <w:p/>
    <w:p>
      <w:pPr>
        <w:jc w:val="center"/>
        <w:rPr>
          <w:rFonts w:hint="default" w:ascii="黑体" w:hAnsi="黑体" w:eastAsia="黑体" w:cs="黑体"/>
          <w:sz w:val="30"/>
          <w:szCs w:val="30"/>
          <w:shd w:val="clear" w:color="auto" w:fill="auto"/>
          <w:lang w:val="en-US" w:eastAsia="zh-CN"/>
        </w:rPr>
      </w:pPr>
      <w:r>
        <w:rPr>
          <w:rFonts w:hint="eastAsia" w:ascii="黑体" w:hAnsi="黑体" w:eastAsia="黑体" w:cs="黑体"/>
          <w:sz w:val="30"/>
          <w:szCs w:val="30"/>
          <w:shd w:val="clear" w:color="auto" w:fill="auto"/>
          <w:lang w:val="en-US" w:eastAsia="zh-CN"/>
        </w:rPr>
        <w:t>第二部分 行政管理类</w:t>
      </w:r>
    </w:p>
    <w:p>
      <w:pPr>
        <w:pStyle w:val="11"/>
        <w:tabs>
          <w:tab w:val="right" w:leader="dot" w:pos="8845"/>
        </w:tabs>
      </w:pPr>
      <w:r>
        <w:fldChar w:fldCharType="begin"/>
      </w:r>
      <w:r>
        <w:instrText xml:space="preserve"> HYPERLINK \l _Toc6037 </w:instrText>
      </w:r>
      <w:r>
        <w:fldChar w:fldCharType="separate"/>
      </w:r>
      <w:r>
        <w:rPr>
          <w:rFonts w:hint="eastAsia"/>
          <w:szCs w:val="36"/>
        </w:rPr>
        <w:t>柳州职业技术学院校长办公会议议事规则</w:t>
      </w:r>
      <w:r>
        <w:tab/>
      </w:r>
      <w:r>
        <w:fldChar w:fldCharType="begin"/>
      </w:r>
      <w:r>
        <w:instrText xml:space="preserve"> PAGEREF _Toc6037 </w:instrText>
      </w:r>
      <w:r>
        <w:fldChar w:fldCharType="separate"/>
      </w:r>
      <w:r>
        <w:t>275</w:t>
      </w:r>
      <w:r>
        <w:fldChar w:fldCharType="end"/>
      </w:r>
      <w:r>
        <w:fldChar w:fldCharType="end"/>
      </w:r>
    </w:p>
    <w:p>
      <w:pPr>
        <w:pStyle w:val="11"/>
        <w:tabs>
          <w:tab w:val="right" w:leader="dot" w:pos="8845"/>
        </w:tabs>
      </w:pPr>
      <w:r>
        <w:fldChar w:fldCharType="begin"/>
      </w:r>
      <w:r>
        <w:instrText xml:space="preserve"> HYPERLINK \l _Toc24592 </w:instrText>
      </w:r>
      <w:r>
        <w:fldChar w:fldCharType="separate"/>
      </w:r>
      <w:r>
        <w:rPr>
          <w:rFonts w:hint="eastAsia"/>
          <w:szCs w:val="36"/>
        </w:rPr>
        <w:t>柳州职业技术学院理事会章程</w:t>
      </w:r>
      <w:r>
        <w:tab/>
      </w:r>
      <w:r>
        <w:fldChar w:fldCharType="begin"/>
      </w:r>
      <w:r>
        <w:instrText xml:space="preserve"> PAGEREF _Toc24592 </w:instrText>
      </w:r>
      <w:r>
        <w:fldChar w:fldCharType="separate"/>
      </w:r>
      <w:r>
        <w:t>283</w:t>
      </w:r>
      <w:r>
        <w:fldChar w:fldCharType="end"/>
      </w:r>
      <w:r>
        <w:fldChar w:fldCharType="end"/>
      </w:r>
    </w:p>
    <w:p>
      <w:pPr>
        <w:pStyle w:val="11"/>
        <w:tabs>
          <w:tab w:val="right" w:leader="dot" w:pos="8845"/>
        </w:tabs>
      </w:pPr>
      <w:r>
        <w:fldChar w:fldCharType="begin"/>
      </w:r>
      <w:r>
        <w:instrText xml:space="preserve"> HYPERLINK \l _Toc2888 </w:instrText>
      </w:r>
      <w:r>
        <w:fldChar w:fldCharType="separate"/>
      </w:r>
      <w:r>
        <w:rPr>
          <w:rFonts w:hint="eastAsia"/>
          <w:szCs w:val="36"/>
          <w:lang w:val="en-US" w:eastAsia="zh-CN"/>
        </w:rPr>
        <w:t>柳州职业技术学院外事工作制度</w:t>
      </w:r>
      <w:r>
        <w:tab/>
      </w:r>
      <w:r>
        <w:fldChar w:fldCharType="begin"/>
      </w:r>
      <w:r>
        <w:instrText xml:space="preserve"> PAGEREF _Toc2888 </w:instrText>
      </w:r>
      <w:r>
        <w:fldChar w:fldCharType="separate"/>
      </w:r>
      <w:r>
        <w:t>288</w:t>
      </w:r>
      <w:r>
        <w:fldChar w:fldCharType="end"/>
      </w:r>
      <w:r>
        <w:fldChar w:fldCharType="end"/>
      </w:r>
    </w:p>
    <w:p>
      <w:pPr>
        <w:pStyle w:val="11"/>
        <w:tabs>
          <w:tab w:val="right" w:leader="dot" w:pos="8845"/>
        </w:tabs>
      </w:pPr>
      <w:r>
        <w:fldChar w:fldCharType="begin"/>
      </w:r>
      <w:r>
        <w:instrText xml:space="preserve"> HYPERLINK \l _Toc25171 </w:instrText>
      </w:r>
      <w:r>
        <w:fldChar w:fldCharType="separate"/>
      </w:r>
      <w:r>
        <w:rPr>
          <w:rFonts w:hint="eastAsia"/>
          <w:szCs w:val="36"/>
          <w:lang w:val="en-US" w:eastAsia="zh-CN"/>
        </w:rPr>
        <w:t>柳州职业技术学院二级学院议事决策工作规定（试行）</w:t>
      </w:r>
      <w:r>
        <w:tab/>
      </w:r>
      <w:r>
        <w:fldChar w:fldCharType="begin"/>
      </w:r>
      <w:r>
        <w:instrText xml:space="preserve"> PAGEREF _Toc25171 </w:instrText>
      </w:r>
      <w:r>
        <w:fldChar w:fldCharType="separate"/>
      </w:r>
      <w:r>
        <w:t>314</w:t>
      </w:r>
      <w:r>
        <w:fldChar w:fldCharType="end"/>
      </w:r>
      <w:r>
        <w:fldChar w:fldCharType="end"/>
      </w:r>
    </w:p>
    <w:p>
      <w:pPr>
        <w:pStyle w:val="11"/>
        <w:tabs>
          <w:tab w:val="right" w:leader="dot" w:pos="8845"/>
        </w:tabs>
      </w:pPr>
      <w:r>
        <w:fldChar w:fldCharType="begin"/>
      </w:r>
      <w:r>
        <w:instrText xml:space="preserve"> HYPERLINK \l _Toc24331 </w:instrText>
      </w:r>
      <w:r>
        <w:fldChar w:fldCharType="separate"/>
      </w:r>
      <w:r>
        <w:rPr>
          <w:rFonts w:hint="eastAsia"/>
          <w:szCs w:val="36"/>
        </w:rPr>
        <w:t>柳州职业技术学院约请校领导</w:t>
      </w:r>
      <w:r>
        <w:fldChar w:fldCharType="end"/>
      </w:r>
      <w:r>
        <w:fldChar w:fldCharType="begin"/>
      </w:r>
      <w:r>
        <w:instrText xml:space="preserve"> HYPERLINK \l _Toc32648 </w:instrText>
      </w:r>
      <w:r>
        <w:fldChar w:fldCharType="separate"/>
      </w:r>
      <w:r>
        <w:rPr>
          <w:rFonts w:hint="eastAsia"/>
          <w:szCs w:val="36"/>
        </w:rPr>
        <w:t>出席公务活动的暂行规定</w:t>
      </w:r>
      <w:r>
        <w:tab/>
      </w:r>
      <w:r>
        <w:fldChar w:fldCharType="begin"/>
      </w:r>
      <w:r>
        <w:instrText xml:space="preserve"> PAGEREF _Toc32648 </w:instrText>
      </w:r>
      <w:r>
        <w:fldChar w:fldCharType="separate"/>
      </w:r>
      <w:r>
        <w:t>326</w:t>
      </w:r>
      <w:r>
        <w:fldChar w:fldCharType="end"/>
      </w:r>
      <w:r>
        <w:fldChar w:fldCharType="end"/>
      </w:r>
    </w:p>
    <w:p>
      <w:pPr>
        <w:pStyle w:val="11"/>
        <w:tabs>
          <w:tab w:val="right" w:leader="dot" w:pos="8845"/>
        </w:tabs>
      </w:pPr>
      <w:r>
        <w:fldChar w:fldCharType="begin"/>
      </w:r>
      <w:r>
        <w:instrText xml:space="preserve"> HYPERLINK \l _Toc17813 </w:instrText>
      </w:r>
      <w:r>
        <w:fldChar w:fldCharType="separate"/>
      </w:r>
      <w:r>
        <w:rPr>
          <w:rFonts w:hint="eastAsia"/>
          <w:szCs w:val="36"/>
        </w:rPr>
        <w:t>柳州职业技术学院会议管理办法</w:t>
      </w:r>
      <w:r>
        <w:tab/>
      </w:r>
      <w:r>
        <w:fldChar w:fldCharType="begin"/>
      </w:r>
      <w:r>
        <w:instrText xml:space="preserve"> PAGEREF _Toc17813 </w:instrText>
      </w:r>
      <w:r>
        <w:fldChar w:fldCharType="separate"/>
      </w:r>
      <w:r>
        <w:t>328</w:t>
      </w:r>
      <w:r>
        <w:fldChar w:fldCharType="end"/>
      </w:r>
      <w:r>
        <w:fldChar w:fldCharType="end"/>
      </w:r>
    </w:p>
    <w:p>
      <w:pPr>
        <w:pStyle w:val="11"/>
        <w:tabs>
          <w:tab w:val="right" w:leader="dot" w:pos="8845"/>
        </w:tabs>
      </w:pPr>
      <w:r>
        <w:fldChar w:fldCharType="begin"/>
      </w:r>
      <w:r>
        <w:instrText xml:space="preserve"> HYPERLINK \l _Toc31378 </w:instrText>
      </w:r>
      <w:r>
        <w:fldChar w:fldCharType="separate"/>
      </w:r>
      <w:r>
        <w:rPr>
          <w:rFonts w:hint="eastAsia"/>
          <w:szCs w:val="36"/>
        </w:rPr>
        <w:t>柳州职业技术学院国内公务接待管理办法</w:t>
      </w:r>
      <w:r>
        <w:tab/>
      </w:r>
      <w:r>
        <w:fldChar w:fldCharType="begin"/>
      </w:r>
      <w:r>
        <w:instrText xml:space="preserve"> PAGEREF _Toc31378 </w:instrText>
      </w:r>
      <w:r>
        <w:fldChar w:fldCharType="separate"/>
      </w:r>
      <w:r>
        <w:t>334</w:t>
      </w:r>
      <w:r>
        <w:fldChar w:fldCharType="end"/>
      </w:r>
      <w:r>
        <w:fldChar w:fldCharType="end"/>
      </w:r>
    </w:p>
    <w:p>
      <w:pPr>
        <w:pStyle w:val="11"/>
        <w:tabs>
          <w:tab w:val="right" w:leader="dot" w:pos="8845"/>
        </w:tabs>
      </w:pPr>
      <w:r>
        <w:fldChar w:fldCharType="begin"/>
      </w:r>
      <w:r>
        <w:instrText xml:space="preserve"> HYPERLINK \l _Toc3355 </w:instrText>
      </w:r>
      <w:r>
        <w:fldChar w:fldCharType="separate"/>
      </w:r>
      <w:r>
        <w:rPr>
          <w:rFonts w:hint="eastAsia"/>
          <w:szCs w:val="36"/>
        </w:rPr>
        <w:t>柳州职业技术学院新型冠状病毒感染的肺炎疫情防控工作应急预案</w:t>
      </w:r>
      <w:r>
        <w:tab/>
      </w:r>
      <w:r>
        <w:fldChar w:fldCharType="begin"/>
      </w:r>
      <w:r>
        <w:instrText xml:space="preserve"> PAGEREF _Toc3355 </w:instrText>
      </w:r>
      <w:r>
        <w:fldChar w:fldCharType="separate"/>
      </w:r>
      <w:r>
        <w:t>340</w:t>
      </w:r>
      <w:r>
        <w:fldChar w:fldCharType="end"/>
      </w:r>
      <w:r>
        <w:fldChar w:fldCharType="end"/>
      </w:r>
    </w:p>
    <w:p>
      <w:pPr>
        <w:pStyle w:val="11"/>
        <w:tabs>
          <w:tab w:val="right" w:leader="dot" w:pos="8845"/>
        </w:tabs>
      </w:pPr>
      <w:r>
        <w:fldChar w:fldCharType="begin"/>
      </w:r>
      <w:r>
        <w:instrText xml:space="preserve"> HYPERLINK \l _Toc11310 </w:instrText>
      </w:r>
      <w:r>
        <w:fldChar w:fldCharType="separate"/>
      </w:r>
      <w:r>
        <w:rPr>
          <w:rFonts w:hint="eastAsia"/>
          <w:szCs w:val="36"/>
        </w:rPr>
        <w:t>柳州职业技术学院传染病疫情报告制度（试行）</w:t>
      </w:r>
      <w:r>
        <w:tab/>
      </w:r>
      <w:r>
        <w:fldChar w:fldCharType="begin"/>
      </w:r>
      <w:r>
        <w:instrText xml:space="preserve"> PAGEREF _Toc11310 </w:instrText>
      </w:r>
      <w:r>
        <w:fldChar w:fldCharType="separate"/>
      </w:r>
      <w:r>
        <w:t>346</w:t>
      </w:r>
      <w:r>
        <w:fldChar w:fldCharType="end"/>
      </w:r>
      <w:r>
        <w:fldChar w:fldCharType="end"/>
      </w:r>
    </w:p>
    <w:p>
      <w:pPr>
        <w:pStyle w:val="11"/>
        <w:tabs>
          <w:tab w:val="right" w:leader="dot" w:pos="8845"/>
        </w:tabs>
      </w:pPr>
      <w:r>
        <w:fldChar w:fldCharType="begin"/>
      </w:r>
      <w:r>
        <w:instrText xml:space="preserve"> HYPERLINK \l _Toc18783 </w:instrText>
      </w:r>
      <w:r>
        <w:fldChar w:fldCharType="separate"/>
      </w:r>
      <w:r>
        <w:rPr>
          <w:rFonts w:hint="eastAsia"/>
          <w:szCs w:val="36"/>
        </w:rPr>
        <w:t>柳州职业技术学院师生健康管理制度（试行）</w:t>
      </w:r>
      <w:r>
        <w:tab/>
      </w:r>
      <w:r>
        <w:fldChar w:fldCharType="begin"/>
      </w:r>
      <w:r>
        <w:instrText xml:space="preserve"> PAGEREF _Toc18783 </w:instrText>
      </w:r>
      <w:r>
        <w:fldChar w:fldCharType="separate"/>
      </w:r>
      <w:r>
        <w:t>350</w:t>
      </w:r>
      <w:r>
        <w:fldChar w:fldCharType="end"/>
      </w:r>
      <w:r>
        <w:fldChar w:fldCharType="end"/>
      </w:r>
    </w:p>
    <w:p>
      <w:pPr>
        <w:pStyle w:val="11"/>
        <w:tabs>
          <w:tab w:val="right" w:leader="dot" w:pos="8845"/>
        </w:tabs>
      </w:pPr>
      <w:r>
        <w:fldChar w:fldCharType="begin"/>
      </w:r>
      <w:r>
        <w:instrText xml:space="preserve"> HYPERLINK \l _Toc18240 </w:instrText>
      </w:r>
      <w:r>
        <w:fldChar w:fldCharType="separate"/>
      </w:r>
      <w:r>
        <w:rPr>
          <w:rFonts w:hint="eastAsia"/>
          <w:szCs w:val="36"/>
        </w:rPr>
        <w:t>柳州职业技术学院师生因病缺勤登记及病因追踪报告制度（试行）</w:t>
      </w:r>
      <w:r>
        <w:tab/>
      </w:r>
      <w:r>
        <w:fldChar w:fldCharType="begin"/>
      </w:r>
      <w:r>
        <w:instrText xml:space="preserve"> PAGEREF _Toc18240 </w:instrText>
      </w:r>
      <w:r>
        <w:fldChar w:fldCharType="separate"/>
      </w:r>
      <w:r>
        <w:t>354</w:t>
      </w:r>
      <w:r>
        <w:fldChar w:fldCharType="end"/>
      </w:r>
      <w:r>
        <w:fldChar w:fldCharType="end"/>
      </w:r>
    </w:p>
    <w:p>
      <w:pPr>
        <w:pStyle w:val="11"/>
        <w:tabs>
          <w:tab w:val="right" w:leader="dot" w:pos="8845"/>
        </w:tabs>
      </w:pPr>
      <w:r>
        <w:fldChar w:fldCharType="begin"/>
      </w:r>
      <w:r>
        <w:instrText xml:space="preserve"> HYPERLINK \l _Toc16178 </w:instrText>
      </w:r>
      <w:r>
        <w:fldChar w:fldCharType="separate"/>
      </w:r>
      <w:r>
        <w:rPr>
          <w:rFonts w:hint="eastAsia"/>
          <w:szCs w:val="36"/>
        </w:rPr>
        <w:t>柳州职业技术学院传染病防控学生健康教育制度（试行）</w:t>
      </w:r>
      <w:r>
        <w:tab/>
      </w:r>
      <w:r>
        <w:fldChar w:fldCharType="begin"/>
      </w:r>
      <w:r>
        <w:instrText xml:space="preserve"> PAGEREF _Toc16178 </w:instrText>
      </w:r>
      <w:r>
        <w:fldChar w:fldCharType="separate"/>
      </w:r>
      <w:r>
        <w:t>357</w:t>
      </w:r>
      <w:r>
        <w:fldChar w:fldCharType="end"/>
      </w:r>
      <w:r>
        <w:fldChar w:fldCharType="end"/>
      </w:r>
    </w:p>
    <w:p>
      <w:pPr>
        <w:pStyle w:val="11"/>
        <w:tabs>
          <w:tab w:val="right" w:leader="dot" w:pos="8845"/>
        </w:tabs>
      </w:pPr>
      <w:r>
        <w:fldChar w:fldCharType="begin"/>
      </w:r>
      <w:r>
        <w:instrText xml:space="preserve"> HYPERLINK \l _Toc27853 </w:instrText>
      </w:r>
      <w:r>
        <w:fldChar w:fldCharType="separate"/>
      </w:r>
      <w:r>
        <w:rPr>
          <w:rFonts w:hint="eastAsia"/>
          <w:szCs w:val="36"/>
        </w:rPr>
        <w:t>柳州职业技术学院学生晨午检制度（试行）</w:t>
      </w:r>
      <w:r>
        <w:tab/>
      </w:r>
      <w:r>
        <w:fldChar w:fldCharType="begin"/>
      </w:r>
      <w:r>
        <w:instrText xml:space="preserve"> PAGEREF _Toc27853 </w:instrText>
      </w:r>
      <w:r>
        <w:fldChar w:fldCharType="separate"/>
      </w:r>
      <w:r>
        <w:t>359</w:t>
      </w:r>
      <w:r>
        <w:fldChar w:fldCharType="end"/>
      </w:r>
      <w:r>
        <w:fldChar w:fldCharType="end"/>
      </w:r>
    </w:p>
    <w:p>
      <w:pPr>
        <w:pStyle w:val="11"/>
        <w:tabs>
          <w:tab w:val="right" w:leader="dot" w:pos="8845"/>
        </w:tabs>
      </w:pPr>
      <w:r>
        <w:fldChar w:fldCharType="begin"/>
      </w:r>
      <w:r>
        <w:instrText xml:space="preserve"> HYPERLINK \l _Toc9494 </w:instrText>
      </w:r>
      <w:r>
        <w:fldChar w:fldCharType="separate"/>
      </w:r>
      <w:r>
        <w:rPr>
          <w:rFonts w:hint="eastAsia"/>
          <w:szCs w:val="36"/>
        </w:rPr>
        <w:t>柳州职业技术学院环境卫生检查通报制度（试行）</w:t>
      </w:r>
      <w:r>
        <w:tab/>
      </w:r>
      <w:r>
        <w:fldChar w:fldCharType="begin"/>
      </w:r>
      <w:r>
        <w:instrText xml:space="preserve"> PAGEREF _Toc9494 </w:instrText>
      </w:r>
      <w:r>
        <w:fldChar w:fldCharType="separate"/>
      </w:r>
      <w:r>
        <w:t>362</w:t>
      </w:r>
      <w:r>
        <w:fldChar w:fldCharType="end"/>
      </w:r>
      <w:r>
        <w:fldChar w:fldCharType="end"/>
      </w:r>
    </w:p>
    <w:p>
      <w:pPr>
        <w:pStyle w:val="11"/>
        <w:tabs>
          <w:tab w:val="right" w:leader="dot" w:pos="8845"/>
        </w:tabs>
      </w:pPr>
      <w:r>
        <w:fldChar w:fldCharType="begin"/>
      </w:r>
      <w:r>
        <w:instrText xml:space="preserve"> HYPERLINK \l _Toc29849 </w:instrText>
      </w:r>
      <w:r>
        <w:fldChar w:fldCharType="separate"/>
      </w:r>
      <w:r>
        <w:rPr>
          <w:rFonts w:hint="eastAsia"/>
          <w:szCs w:val="36"/>
        </w:rPr>
        <w:t>柳州职业技术学院通风、消毒制度（试行）</w:t>
      </w:r>
      <w:r>
        <w:tab/>
      </w:r>
      <w:r>
        <w:fldChar w:fldCharType="begin"/>
      </w:r>
      <w:r>
        <w:instrText xml:space="preserve"> PAGEREF _Toc29849 </w:instrText>
      </w:r>
      <w:r>
        <w:fldChar w:fldCharType="separate"/>
      </w:r>
      <w:r>
        <w:t>364</w:t>
      </w:r>
      <w:r>
        <w:fldChar w:fldCharType="end"/>
      </w:r>
      <w:r>
        <w:fldChar w:fldCharType="end"/>
      </w:r>
    </w:p>
    <w:p>
      <w:pPr>
        <w:pStyle w:val="11"/>
        <w:tabs>
          <w:tab w:val="right" w:leader="dot" w:pos="8845"/>
        </w:tabs>
      </w:pPr>
      <w:r>
        <w:fldChar w:fldCharType="begin"/>
      </w:r>
      <w:r>
        <w:instrText xml:space="preserve"> HYPERLINK \l _Toc10725 </w:instrText>
      </w:r>
      <w:r>
        <w:fldChar w:fldCharType="separate"/>
      </w:r>
      <w:r>
        <w:rPr>
          <w:rFonts w:hint="eastAsia"/>
          <w:szCs w:val="36"/>
        </w:rPr>
        <w:t>柳州职业技术学院消毒消杀用品使用管理制度（试行）</w:t>
      </w:r>
      <w:r>
        <w:tab/>
      </w:r>
      <w:r>
        <w:fldChar w:fldCharType="begin"/>
      </w:r>
      <w:r>
        <w:instrText xml:space="preserve"> PAGEREF _Toc10725 </w:instrText>
      </w:r>
      <w:r>
        <w:fldChar w:fldCharType="separate"/>
      </w:r>
      <w:r>
        <w:t>369</w:t>
      </w:r>
      <w:r>
        <w:fldChar w:fldCharType="end"/>
      </w:r>
      <w:r>
        <w:fldChar w:fldCharType="end"/>
      </w:r>
    </w:p>
    <w:p>
      <w:pPr>
        <w:pStyle w:val="11"/>
        <w:tabs>
          <w:tab w:val="right" w:leader="dot" w:pos="8845"/>
        </w:tabs>
      </w:pPr>
      <w:r>
        <w:fldChar w:fldCharType="begin"/>
      </w:r>
      <w:r>
        <w:instrText xml:space="preserve"> HYPERLINK \l _Toc14260 </w:instrText>
      </w:r>
      <w:r>
        <w:fldChar w:fldCharType="separate"/>
      </w:r>
      <w:r>
        <w:rPr>
          <w:rFonts w:hint="eastAsia"/>
          <w:szCs w:val="36"/>
        </w:rPr>
        <w:t>柳州职业技术学院传染病疫情防控物资管理办法(试行)</w:t>
      </w:r>
      <w:r>
        <w:tab/>
      </w:r>
      <w:r>
        <w:fldChar w:fldCharType="begin"/>
      </w:r>
      <w:r>
        <w:instrText xml:space="preserve"> PAGEREF _Toc14260 </w:instrText>
      </w:r>
      <w:r>
        <w:fldChar w:fldCharType="separate"/>
      </w:r>
      <w:r>
        <w:t>371</w:t>
      </w:r>
      <w:r>
        <w:fldChar w:fldCharType="end"/>
      </w:r>
      <w:r>
        <w:fldChar w:fldCharType="end"/>
      </w:r>
    </w:p>
    <w:p>
      <w:pPr>
        <w:pStyle w:val="11"/>
        <w:tabs>
          <w:tab w:val="right" w:leader="dot" w:pos="8845"/>
        </w:tabs>
      </w:pPr>
      <w:r>
        <w:fldChar w:fldCharType="begin"/>
      </w:r>
      <w:r>
        <w:instrText xml:space="preserve"> HYPERLINK \l _Toc31135 </w:instrText>
      </w:r>
      <w:r>
        <w:fldChar w:fldCharType="separate"/>
      </w:r>
      <w:r>
        <w:rPr>
          <w:rFonts w:hint="eastAsia" w:ascii="Calibri" w:hAnsi="Calibri"/>
          <w:szCs w:val="36"/>
        </w:rPr>
        <w:t>柳州职业技术学院公务用车管理办法（试行）</w:t>
      </w:r>
      <w:r>
        <w:tab/>
      </w:r>
      <w:r>
        <w:fldChar w:fldCharType="begin"/>
      </w:r>
      <w:r>
        <w:instrText xml:space="preserve"> PAGEREF _Toc31135 </w:instrText>
      </w:r>
      <w:r>
        <w:fldChar w:fldCharType="separate"/>
      </w:r>
      <w:r>
        <w:t>375</w:t>
      </w:r>
      <w:r>
        <w:fldChar w:fldCharType="end"/>
      </w:r>
      <w:r>
        <w:fldChar w:fldCharType="end"/>
      </w:r>
    </w:p>
    <w:p>
      <w:pPr>
        <w:pStyle w:val="11"/>
        <w:tabs>
          <w:tab w:val="right" w:leader="dot" w:pos="8845"/>
        </w:tabs>
      </w:pPr>
      <w:r>
        <w:fldChar w:fldCharType="begin"/>
      </w:r>
      <w:r>
        <w:instrText xml:space="preserve"> HYPERLINK \l _Toc21635 </w:instrText>
      </w:r>
      <w:r>
        <w:fldChar w:fldCharType="separate"/>
      </w:r>
      <w:r>
        <w:rPr>
          <w:rFonts w:hint="eastAsia" w:ascii="Calibri" w:hAnsi="Calibri"/>
          <w:szCs w:val="36"/>
        </w:rPr>
        <w:t>柳州职业技术学院公务出行保障管理办法(试行)</w:t>
      </w:r>
      <w:r>
        <w:tab/>
      </w:r>
      <w:r>
        <w:fldChar w:fldCharType="begin"/>
      </w:r>
      <w:r>
        <w:instrText xml:space="preserve"> PAGEREF _Toc21635 </w:instrText>
      </w:r>
      <w:r>
        <w:fldChar w:fldCharType="separate"/>
      </w:r>
      <w:r>
        <w:t>380</w:t>
      </w:r>
      <w:r>
        <w:fldChar w:fldCharType="end"/>
      </w:r>
      <w:r>
        <w:fldChar w:fldCharType="end"/>
      </w:r>
    </w:p>
    <w:p>
      <w:pPr>
        <w:pStyle w:val="11"/>
        <w:tabs>
          <w:tab w:val="right" w:leader="dot" w:pos="8845"/>
        </w:tabs>
      </w:pPr>
      <w:r>
        <w:fldChar w:fldCharType="begin"/>
      </w:r>
      <w:r>
        <w:instrText xml:space="preserve"> HYPERLINK \l _Toc31192 </w:instrText>
      </w:r>
      <w:r>
        <w:fldChar w:fldCharType="separate"/>
      </w:r>
      <w:r>
        <w:rPr>
          <w:rFonts w:hint="eastAsia"/>
          <w:szCs w:val="36"/>
        </w:rPr>
        <w:t>柳州职业技术学院领导干部回避规定（试行）</w:t>
      </w:r>
      <w:r>
        <w:tab/>
      </w:r>
      <w:r>
        <w:fldChar w:fldCharType="begin"/>
      </w:r>
      <w:r>
        <w:instrText xml:space="preserve"> PAGEREF _Toc31192 </w:instrText>
      </w:r>
      <w:r>
        <w:fldChar w:fldCharType="separate"/>
      </w:r>
      <w:r>
        <w:t>390</w:t>
      </w:r>
      <w:r>
        <w:fldChar w:fldCharType="end"/>
      </w:r>
      <w:r>
        <w:fldChar w:fldCharType="end"/>
      </w:r>
    </w:p>
    <w:p>
      <w:pPr>
        <w:pStyle w:val="11"/>
        <w:tabs>
          <w:tab w:val="right" w:leader="dot" w:pos="8845"/>
        </w:tabs>
      </w:pPr>
      <w:r>
        <w:fldChar w:fldCharType="begin"/>
      </w:r>
      <w:r>
        <w:instrText xml:space="preserve"> HYPERLINK \l _Toc24586 </w:instrText>
      </w:r>
      <w:r>
        <w:fldChar w:fldCharType="separate"/>
      </w:r>
      <w:r>
        <w:rPr>
          <w:rFonts w:hint="eastAsia"/>
          <w:szCs w:val="36"/>
        </w:rPr>
        <w:t>柳州职业技术学院论坛、讲坛、讲座、年会、报告会</w:t>
      </w:r>
      <w:r>
        <w:rPr>
          <w:rFonts w:hint="eastAsia"/>
          <w:szCs w:val="36"/>
          <w:lang w:eastAsia="zh-CN"/>
        </w:rPr>
        <w:t>、</w:t>
      </w:r>
      <w:r>
        <w:rPr>
          <w:rFonts w:hint="eastAsia"/>
          <w:szCs w:val="36"/>
        </w:rPr>
        <w:t>研讨会等阵地管理办法（2021年修订稿）</w:t>
      </w:r>
      <w:r>
        <w:tab/>
      </w:r>
      <w:r>
        <w:fldChar w:fldCharType="begin"/>
      </w:r>
      <w:r>
        <w:instrText xml:space="preserve"> PAGEREF _Toc24586 </w:instrText>
      </w:r>
      <w:r>
        <w:fldChar w:fldCharType="separate"/>
      </w:r>
      <w:r>
        <w:t>393</w:t>
      </w:r>
      <w:r>
        <w:fldChar w:fldCharType="end"/>
      </w:r>
      <w:r>
        <w:fldChar w:fldCharType="end"/>
      </w:r>
    </w:p>
    <w:p>
      <w:pPr>
        <w:pStyle w:val="11"/>
        <w:tabs>
          <w:tab w:val="right" w:leader="dot" w:pos="8845"/>
        </w:tabs>
      </w:pPr>
      <w:r>
        <w:fldChar w:fldCharType="begin"/>
      </w:r>
      <w:r>
        <w:instrText xml:space="preserve"> HYPERLINK \l _Toc597 </w:instrText>
      </w:r>
      <w:r>
        <w:fldChar w:fldCharType="separate"/>
      </w:r>
      <w:r>
        <w:rPr>
          <w:rFonts w:hint="eastAsia"/>
          <w:szCs w:val="36"/>
        </w:rPr>
        <w:t>柳州职业技术学院精文控会减负若干措施</w:t>
      </w:r>
      <w:r>
        <w:tab/>
      </w:r>
      <w:r>
        <w:fldChar w:fldCharType="begin"/>
      </w:r>
      <w:r>
        <w:instrText xml:space="preserve"> PAGEREF _Toc597 </w:instrText>
      </w:r>
      <w:r>
        <w:fldChar w:fldCharType="separate"/>
      </w:r>
      <w:r>
        <w:t>400</w:t>
      </w:r>
      <w:r>
        <w:fldChar w:fldCharType="end"/>
      </w:r>
      <w:r>
        <w:fldChar w:fldCharType="end"/>
      </w:r>
    </w:p>
    <w:p>
      <w:pPr>
        <w:pStyle w:val="11"/>
        <w:tabs>
          <w:tab w:val="right" w:leader="dot" w:pos="8845"/>
        </w:tabs>
      </w:pPr>
      <w:r>
        <w:fldChar w:fldCharType="begin"/>
      </w:r>
      <w:r>
        <w:instrText xml:space="preserve"> HYPERLINK \l _Toc22141 </w:instrText>
      </w:r>
      <w:r>
        <w:fldChar w:fldCharType="separate"/>
      </w:r>
      <w:r>
        <w:rPr>
          <w:rFonts w:hint="eastAsia"/>
          <w:szCs w:val="36"/>
        </w:rPr>
        <w:t>柳州职业技术学院网络舆情应急处置预案（试行）</w:t>
      </w:r>
      <w:r>
        <w:tab/>
      </w:r>
      <w:r>
        <w:fldChar w:fldCharType="begin"/>
      </w:r>
      <w:r>
        <w:instrText xml:space="preserve"> PAGEREF _Toc22141 </w:instrText>
      </w:r>
      <w:r>
        <w:fldChar w:fldCharType="separate"/>
      </w:r>
      <w:r>
        <w:t>403</w:t>
      </w:r>
      <w:r>
        <w:fldChar w:fldCharType="end"/>
      </w:r>
      <w:r>
        <w:fldChar w:fldCharType="end"/>
      </w:r>
    </w:p>
    <w:p>
      <w:pPr>
        <w:rPr>
          <w:rFonts w:hint="default" w:eastAsiaTheme="minorEastAsia"/>
          <w:lang w:val="en-US" w:eastAsia="zh-CN"/>
        </w:rPr>
      </w:pPr>
      <w:r>
        <w:rPr>
          <w:rFonts w:hint="eastAsia"/>
        </w:rPr>
        <w:t>柳州职业技术学院“双高”建设项目管理办法（试行</w:t>
      </w:r>
      <w:r>
        <w:rPr>
          <w:rFonts w:hint="eastAsia"/>
          <w:lang w:eastAsia="zh-CN"/>
        </w:rPr>
        <w:t>）</w:t>
      </w:r>
      <w:r>
        <w:rPr>
          <w:rFonts w:hint="eastAsia"/>
          <w:lang w:val="en-US" w:eastAsia="zh-CN"/>
        </w:rPr>
        <w:t>..................................................................407</w:t>
      </w:r>
    </w:p>
    <w:p>
      <w:pPr>
        <w:pStyle w:val="11"/>
        <w:tabs>
          <w:tab w:val="right" w:leader="dot" w:pos="8845"/>
        </w:tabs>
      </w:pPr>
      <w:r>
        <w:fldChar w:fldCharType="begin"/>
      </w:r>
      <w:r>
        <w:instrText xml:space="preserve"> HYPERLINK \l _Toc15326 </w:instrText>
      </w:r>
      <w:r>
        <w:fldChar w:fldCharType="separate"/>
      </w:r>
      <w:r>
        <w:rPr>
          <w:rFonts w:hint="eastAsia" w:asciiTheme="minorEastAsia" w:hAnsiTheme="minorEastAsia" w:eastAsiaTheme="minorEastAsia"/>
          <w:kern w:val="2"/>
          <w:szCs w:val="36"/>
        </w:rPr>
        <w:t>柳州职业技术学院工作事故认定及处理办法</w:t>
      </w:r>
      <w:r>
        <w:tab/>
      </w:r>
      <w:r>
        <w:fldChar w:fldCharType="begin"/>
      </w:r>
      <w:r>
        <w:instrText xml:space="preserve"> PAGEREF _Toc15326 </w:instrText>
      </w:r>
      <w:r>
        <w:fldChar w:fldCharType="separate"/>
      </w:r>
      <w:r>
        <w:t>413</w:t>
      </w:r>
      <w:r>
        <w:fldChar w:fldCharType="end"/>
      </w:r>
      <w:r>
        <w:fldChar w:fldCharType="end"/>
      </w:r>
    </w:p>
    <w:p/>
    <w:p>
      <w:pPr>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第三部分 人事管理类</w:t>
      </w:r>
    </w:p>
    <w:p>
      <w:pPr>
        <w:pStyle w:val="11"/>
        <w:tabs>
          <w:tab w:val="right" w:leader="dot" w:pos="8845"/>
        </w:tabs>
      </w:pPr>
      <w:r>
        <w:fldChar w:fldCharType="begin"/>
      </w:r>
      <w:r>
        <w:instrText xml:space="preserve"> HYPERLINK \l _Toc28002 </w:instrText>
      </w:r>
      <w:r>
        <w:fldChar w:fldCharType="separate"/>
      </w:r>
      <w:r>
        <w:rPr>
          <w:rFonts w:hint="eastAsia" w:ascii="Calibri" w:hAnsi="Calibri"/>
          <w:szCs w:val="36"/>
        </w:rPr>
        <w:t>柳州职业技术学院中层干部管理办法</w:t>
      </w:r>
      <w:r>
        <w:tab/>
      </w:r>
      <w:r>
        <w:fldChar w:fldCharType="begin"/>
      </w:r>
      <w:r>
        <w:instrText xml:space="preserve"> PAGEREF _Toc28002 </w:instrText>
      </w:r>
      <w:r>
        <w:fldChar w:fldCharType="separate"/>
      </w:r>
      <w:r>
        <w:t>441</w:t>
      </w:r>
      <w:r>
        <w:fldChar w:fldCharType="end"/>
      </w:r>
      <w:r>
        <w:fldChar w:fldCharType="end"/>
      </w:r>
    </w:p>
    <w:p>
      <w:pPr>
        <w:pStyle w:val="11"/>
        <w:tabs>
          <w:tab w:val="right" w:leader="dot" w:pos="8845"/>
        </w:tabs>
      </w:pPr>
      <w:r>
        <w:fldChar w:fldCharType="begin"/>
      </w:r>
      <w:r>
        <w:instrText xml:space="preserve"> HYPERLINK \l _Toc24142 </w:instrText>
      </w:r>
      <w:r>
        <w:fldChar w:fldCharType="separate"/>
      </w:r>
      <w:r>
        <w:rPr>
          <w:rFonts w:hint="eastAsia" w:ascii="Calibri" w:hAnsi="Calibri"/>
          <w:szCs w:val="36"/>
          <w:lang w:val="en-US" w:eastAsia="zh-CN"/>
        </w:rPr>
        <w:t>柳州职业技术学院教职工请假制度</w:t>
      </w:r>
      <w:r>
        <w:tab/>
      </w:r>
      <w:r>
        <w:fldChar w:fldCharType="begin"/>
      </w:r>
      <w:r>
        <w:instrText xml:space="preserve"> PAGEREF _Toc24142 </w:instrText>
      </w:r>
      <w:r>
        <w:fldChar w:fldCharType="separate"/>
      </w:r>
      <w:r>
        <w:t>463</w:t>
      </w:r>
      <w:r>
        <w:fldChar w:fldCharType="end"/>
      </w:r>
      <w:r>
        <w:fldChar w:fldCharType="end"/>
      </w:r>
    </w:p>
    <w:p>
      <w:pPr>
        <w:pStyle w:val="11"/>
        <w:tabs>
          <w:tab w:val="right" w:leader="dot" w:pos="8845"/>
        </w:tabs>
      </w:pPr>
      <w:r>
        <w:fldChar w:fldCharType="begin"/>
      </w:r>
      <w:r>
        <w:instrText xml:space="preserve"> HYPERLINK \l _Toc15314 </w:instrText>
      </w:r>
      <w:r>
        <w:fldChar w:fldCharType="separate"/>
      </w:r>
      <w:r>
        <w:rPr>
          <w:rFonts w:hint="eastAsia" w:ascii="Calibri" w:hAnsi="Calibri"/>
          <w:szCs w:val="36"/>
        </w:rPr>
        <w:t>柳州职业技术学院内部控制关键岗位定期轮岗制度</w:t>
      </w:r>
      <w:r>
        <w:tab/>
      </w:r>
      <w:r>
        <w:fldChar w:fldCharType="begin"/>
      </w:r>
      <w:r>
        <w:instrText xml:space="preserve"> PAGEREF _Toc15314 </w:instrText>
      </w:r>
      <w:r>
        <w:fldChar w:fldCharType="separate"/>
      </w:r>
      <w:r>
        <w:t>473</w:t>
      </w:r>
      <w:r>
        <w:fldChar w:fldCharType="end"/>
      </w:r>
      <w:r>
        <w:fldChar w:fldCharType="end"/>
      </w:r>
    </w:p>
    <w:p>
      <w:pPr>
        <w:pStyle w:val="11"/>
        <w:tabs>
          <w:tab w:val="right" w:leader="dot" w:pos="8845"/>
        </w:tabs>
      </w:pPr>
      <w:r>
        <w:fldChar w:fldCharType="begin"/>
      </w:r>
      <w:r>
        <w:instrText xml:space="preserve"> HYPERLINK \l _Toc4193 </w:instrText>
      </w:r>
      <w:r>
        <w:fldChar w:fldCharType="separate"/>
      </w:r>
      <w:r>
        <w:rPr>
          <w:rFonts w:hint="eastAsia" w:ascii="Calibri" w:hAnsi="Calibri"/>
          <w:szCs w:val="36"/>
        </w:rPr>
        <w:t>柳州职业技术学院柔性引进人才管理办法</w:t>
      </w:r>
      <w:r>
        <w:tab/>
      </w:r>
      <w:r>
        <w:fldChar w:fldCharType="begin"/>
      </w:r>
      <w:r>
        <w:instrText xml:space="preserve"> PAGEREF _Toc4193 </w:instrText>
      </w:r>
      <w:r>
        <w:fldChar w:fldCharType="separate"/>
      </w:r>
      <w:r>
        <w:t>477</w:t>
      </w:r>
      <w:r>
        <w:fldChar w:fldCharType="end"/>
      </w:r>
      <w:r>
        <w:fldChar w:fldCharType="end"/>
      </w:r>
    </w:p>
    <w:p>
      <w:pPr>
        <w:pStyle w:val="11"/>
        <w:tabs>
          <w:tab w:val="right" w:leader="dot" w:pos="8845"/>
        </w:tabs>
      </w:pPr>
      <w:r>
        <w:fldChar w:fldCharType="begin"/>
      </w:r>
      <w:r>
        <w:instrText xml:space="preserve"> HYPERLINK \l _Toc4495 </w:instrText>
      </w:r>
      <w:r>
        <w:fldChar w:fldCharType="separate"/>
      </w:r>
      <w:r>
        <w:rPr>
          <w:rFonts w:hint="eastAsia" w:ascii="Calibri" w:hAnsi="Calibri"/>
          <w:szCs w:val="36"/>
        </w:rPr>
        <w:t>柳州职业技术学院柔性引进人才分类标准</w:t>
      </w:r>
      <w:r>
        <w:tab/>
      </w:r>
      <w:r>
        <w:fldChar w:fldCharType="begin"/>
      </w:r>
      <w:r>
        <w:instrText xml:space="preserve"> PAGEREF _Toc4495 </w:instrText>
      </w:r>
      <w:r>
        <w:fldChar w:fldCharType="separate"/>
      </w:r>
      <w:r>
        <w:t>481</w:t>
      </w:r>
      <w:r>
        <w:fldChar w:fldCharType="end"/>
      </w:r>
      <w:r>
        <w:fldChar w:fldCharType="end"/>
      </w:r>
    </w:p>
    <w:p>
      <w:pPr>
        <w:pStyle w:val="11"/>
        <w:tabs>
          <w:tab w:val="right" w:leader="dot" w:pos="8845"/>
        </w:tabs>
      </w:pPr>
      <w:r>
        <w:fldChar w:fldCharType="begin"/>
      </w:r>
      <w:r>
        <w:instrText xml:space="preserve"> HYPERLINK \l _Toc32479 </w:instrText>
      </w:r>
      <w:r>
        <w:fldChar w:fldCharType="separate"/>
      </w:r>
      <w:r>
        <w:rPr>
          <w:rFonts w:hint="eastAsia" w:ascii="Calibri" w:hAnsi="Calibri"/>
          <w:szCs w:val="36"/>
        </w:rPr>
        <w:t>柳州职业技术学院教职工攻读博士学位管理办法</w:t>
      </w:r>
      <w:r>
        <w:tab/>
      </w:r>
      <w:r>
        <w:fldChar w:fldCharType="begin"/>
      </w:r>
      <w:r>
        <w:instrText xml:space="preserve"> PAGEREF _Toc32479 </w:instrText>
      </w:r>
      <w:r>
        <w:fldChar w:fldCharType="separate"/>
      </w:r>
      <w:r>
        <w:t>488</w:t>
      </w:r>
      <w:r>
        <w:fldChar w:fldCharType="end"/>
      </w:r>
      <w:r>
        <w:fldChar w:fldCharType="end"/>
      </w:r>
    </w:p>
    <w:p>
      <w:pPr>
        <w:pStyle w:val="11"/>
        <w:tabs>
          <w:tab w:val="right" w:leader="dot" w:pos="8845"/>
        </w:tabs>
      </w:pPr>
      <w:r>
        <w:fldChar w:fldCharType="begin"/>
      </w:r>
      <w:r>
        <w:instrText xml:space="preserve"> HYPERLINK \l _Toc23570 </w:instrText>
      </w:r>
      <w:r>
        <w:fldChar w:fldCharType="separate"/>
      </w:r>
      <w:r>
        <w:rPr>
          <w:rFonts w:hint="eastAsia" w:ascii="Calibri" w:hAnsi="Calibri"/>
          <w:szCs w:val="36"/>
        </w:rPr>
        <w:t>柳州职业技术学院思想政治理论课专职教师岗位奖励绩效发放管理办法</w:t>
      </w:r>
      <w:r>
        <w:tab/>
      </w:r>
      <w:r>
        <w:fldChar w:fldCharType="begin"/>
      </w:r>
      <w:r>
        <w:instrText xml:space="preserve"> PAGEREF _Toc23570 </w:instrText>
      </w:r>
      <w:r>
        <w:fldChar w:fldCharType="separate"/>
      </w:r>
      <w:r>
        <w:t>495</w:t>
      </w:r>
      <w:r>
        <w:fldChar w:fldCharType="end"/>
      </w:r>
      <w:r>
        <w:fldChar w:fldCharType="end"/>
      </w:r>
    </w:p>
    <w:p>
      <w:pPr>
        <w:pStyle w:val="11"/>
        <w:tabs>
          <w:tab w:val="right" w:leader="dot" w:pos="8845"/>
        </w:tabs>
      </w:pPr>
      <w:r>
        <w:fldChar w:fldCharType="begin"/>
      </w:r>
      <w:r>
        <w:instrText xml:space="preserve"> HYPERLINK \l _Toc11781 </w:instrText>
      </w:r>
      <w:r>
        <w:fldChar w:fldCharType="separate"/>
      </w:r>
      <w:r>
        <w:rPr>
          <w:rFonts w:hint="eastAsia" w:ascii="Calibri" w:hAnsi="Calibri"/>
          <w:szCs w:val="36"/>
          <w:lang w:val="en-US" w:eastAsia="zh-CN"/>
        </w:rPr>
        <w:t>柳州职业技术学院2018年绩效评估办法（试行）</w:t>
      </w:r>
      <w:r>
        <w:tab/>
      </w:r>
      <w:r>
        <w:fldChar w:fldCharType="begin"/>
      </w:r>
      <w:r>
        <w:instrText xml:space="preserve"> PAGEREF _Toc11781 </w:instrText>
      </w:r>
      <w:r>
        <w:fldChar w:fldCharType="separate"/>
      </w:r>
      <w:r>
        <w:t>498</w:t>
      </w:r>
      <w:r>
        <w:fldChar w:fldCharType="end"/>
      </w:r>
      <w:r>
        <w:fldChar w:fldCharType="end"/>
      </w:r>
    </w:p>
    <w:p>
      <w:pPr>
        <w:pStyle w:val="11"/>
        <w:tabs>
          <w:tab w:val="right" w:leader="dot" w:pos="8845"/>
        </w:tabs>
      </w:pPr>
      <w:r>
        <w:fldChar w:fldCharType="begin"/>
      </w:r>
      <w:r>
        <w:instrText xml:space="preserve"> HYPERLINK \l _Toc12474 </w:instrText>
      </w:r>
      <w:r>
        <w:fldChar w:fldCharType="separate"/>
      </w:r>
      <w:r>
        <w:rPr>
          <w:rFonts w:hint="eastAsia" w:ascii="宋体" w:hAnsi="宋体"/>
          <w:bCs/>
          <w:szCs w:val="36"/>
          <w:lang w:val="en-US" w:eastAsia="zh-CN"/>
        </w:rPr>
        <w:t>柳州职业技术学院职称认定、职称申报暂行规定</w:t>
      </w:r>
      <w:r>
        <w:tab/>
      </w:r>
      <w:r>
        <w:fldChar w:fldCharType="begin"/>
      </w:r>
      <w:r>
        <w:instrText xml:space="preserve"> PAGEREF _Toc12474 </w:instrText>
      </w:r>
      <w:r>
        <w:fldChar w:fldCharType="separate"/>
      </w:r>
      <w:r>
        <w:t>510</w:t>
      </w:r>
      <w:r>
        <w:fldChar w:fldCharType="end"/>
      </w:r>
      <w:r>
        <w:fldChar w:fldCharType="end"/>
      </w:r>
    </w:p>
    <w:p>
      <w:pPr>
        <w:pStyle w:val="11"/>
        <w:tabs>
          <w:tab w:val="right" w:leader="dot" w:pos="8845"/>
        </w:tabs>
      </w:pPr>
      <w:r>
        <w:fldChar w:fldCharType="begin"/>
      </w:r>
      <w:r>
        <w:instrText xml:space="preserve"> HYPERLINK \l _Toc24418 </w:instrText>
      </w:r>
      <w:r>
        <w:fldChar w:fldCharType="separate"/>
      </w:r>
      <w:r>
        <w:rPr>
          <w:rFonts w:hint="eastAsia" w:ascii="宋体" w:hAnsi="宋体"/>
          <w:bCs/>
          <w:szCs w:val="36"/>
          <w:lang w:val="en-US" w:eastAsia="zh-CN"/>
        </w:rPr>
        <w:t>柳州职业技术学院全面深化新时代教师队伍建设改革的实施意见</w:t>
      </w:r>
      <w:r>
        <w:tab/>
      </w:r>
      <w:r>
        <w:fldChar w:fldCharType="begin"/>
      </w:r>
      <w:r>
        <w:instrText xml:space="preserve"> PAGEREF _Toc24418 </w:instrText>
      </w:r>
      <w:r>
        <w:fldChar w:fldCharType="separate"/>
      </w:r>
      <w:r>
        <w:t>512</w:t>
      </w:r>
      <w:r>
        <w:fldChar w:fldCharType="end"/>
      </w:r>
      <w:r>
        <w:fldChar w:fldCharType="end"/>
      </w:r>
    </w:p>
    <w:p>
      <w:pPr>
        <w:pStyle w:val="11"/>
        <w:tabs>
          <w:tab w:val="right" w:leader="dot" w:pos="8845"/>
        </w:tabs>
      </w:pPr>
      <w:r>
        <w:fldChar w:fldCharType="begin"/>
      </w:r>
      <w:r>
        <w:instrText xml:space="preserve"> HYPERLINK \l _Toc3522 </w:instrText>
      </w:r>
      <w:r>
        <w:fldChar w:fldCharType="separate"/>
      </w:r>
      <w:r>
        <w:rPr>
          <w:rFonts w:hint="eastAsia" w:ascii="宋体" w:hAnsi="宋体"/>
          <w:bCs/>
          <w:szCs w:val="36"/>
          <w:lang w:val="en-US" w:eastAsia="zh-CN"/>
        </w:rPr>
        <w:t>柳州职业技术学院师德考评办法（试行）</w:t>
      </w:r>
      <w:r>
        <w:tab/>
      </w:r>
      <w:r>
        <w:fldChar w:fldCharType="begin"/>
      </w:r>
      <w:r>
        <w:instrText xml:space="preserve"> PAGEREF _Toc3522 </w:instrText>
      </w:r>
      <w:r>
        <w:fldChar w:fldCharType="separate"/>
      </w:r>
      <w:r>
        <w:t>524</w:t>
      </w:r>
      <w:r>
        <w:fldChar w:fldCharType="end"/>
      </w:r>
      <w:r>
        <w:fldChar w:fldCharType="end"/>
      </w:r>
    </w:p>
    <w:p>
      <w:pPr>
        <w:pStyle w:val="11"/>
        <w:tabs>
          <w:tab w:val="right" w:leader="dot" w:pos="8845"/>
        </w:tabs>
      </w:pPr>
      <w:r>
        <w:fldChar w:fldCharType="begin"/>
      </w:r>
      <w:r>
        <w:instrText xml:space="preserve"> HYPERLINK \l _Toc30600 </w:instrText>
      </w:r>
      <w:r>
        <w:fldChar w:fldCharType="separate"/>
      </w:r>
      <w:r>
        <w:rPr>
          <w:rFonts w:hint="eastAsia" w:ascii="宋体" w:hAnsi="宋体"/>
          <w:bCs/>
          <w:szCs w:val="36"/>
          <w:lang w:val="en-US" w:eastAsia="zh-CN"/>
        </w:rPr>
        <w:t>柳州职业技术学院外聘兼职教师管理办法</w:t>
      </w:r>
      <w:r>
        <w:tab/>
      </w:r>
      <w:r>
        <w:fldChar w:fldCharType="begin"/>
      </w:r>
      <w:r>
        <w:instrText xml:space="preserve"> PAGEREF _Toc30600 </w:instrText>
      </w:r>
      <w:r>
        <w:fldChar w:fldCharType="separate"/>
      </w:r>
      <w:r>
        <w:t>532</w:t>
      </w:r>
      <w:r>
        <w:fldChar w:fldCharType="end"/>
      </w:r>
      <w:r>
        <w:fldChar w:fldCharType="end"/>
      </w:r>
    </w:p>
    <w:p>
      <w:pPr>
        <w:pStyle w:val="11"/>
        <w:tabs>
          <w:tab w:val="right" w:leader="dot" w:pos="8845"/>
        </w:tabs>
      </w:pPr>
      <w:r>
        <w:fldChar w:fldCharType="begin"/>
      </w:r>
      <w:r>
        <w:instrText xml:space="preserve"> HYPERLINK \l _Toc12210 </w:instrText>
      </w:r>
      <w:r>
        <w:fldChar w:fldCharType="separate"/>
      </w:r>
      <w:r>
        <w:rPr>
          <w:rFonts w:hint="eastAsia" w:ascii="宋体" w:hAnsi="宋体"/>
          <w:bCs/>
          <w:szCs w:val="36"/>
          <w:lang w:val="en-US" w:eastAsia="zh-CN"/>
        </w:rPr>
        <w:t>柳州职业技术学院辅导员岗位奖励绩效发放办法</w:t>
      </w:r>
      <w:r>
        <w:tab/>
      </w:r>
      <w:r>
        <w:fldChar w:fldCharType="begin"/>
      </w:r>
      <w:r>
        <w:instrText xml:space="preserve"> PAGEREF _Toc12210 </w:instrText>
      </w:r>
      <w:r>
        <w:fldChar w:fldCharType="separate"/>
      </w:r>
      <w:r>
        <w:t>540</w:t>
      </w:r>
      <w:r>
        <w:fldChar w:fldCharType="end"/>
      </w:r>
      <w:r>
        <w:fldChar w:fldCharType="end"/>
      </w:r>
    </w:p>
    <w:p>
      <w:pPr>
        <w:pStyle w:val="11"/>
        <w:tabs>
          <w:tab w:val="right" w:leader="dot" w:pos="8845"/>
        </w:tabs>
      </w:pPr>
      <w:r>
        <w:fldChar w:fldCharType="begin"/>
      </w:r>
      <w:r>
        <w:instrText xml:space="preserve"> HYPERLINK \l _Toc27190 </w:instrText>
      </w:r>
      <w:r>
        <w:fldChar w:fldCharType="separate"/>
      </w:r>
      <w:r>
        <w:rPr>
          <w:rFonts w:hint="eastAsia" w:asciiTheme="minorEastAsia" w:hAnsiTheme="minorEastAsia" w:eastAsiaTheme="minorEastAsia"/>
          <w:bCs/>
          <w:kern w:val="2"/>
          <w:szCs w:val="36"/>
        </w:rPr>
        <w:t>柳州职业技术学院优秀人才工作室建设与管理办法（暂行）</w:t>
      </w:r>
      <w:r>
        <w:tab/>
      </w:r>
      <w:r>
        <w:fldChar w:fldCharType="begin"/>
      </w:r>
      <w:r>
        <w:instrText xml:space="preserve"> PAGEREF _Toc27190 </w:instrText>
      </w:r>
      <w:r>
        <w:fldChar w:fldCharType="separate"/>
      </w:r>
      <w:r>
        <w:t>563</w:t>
      </w:r>
      <w:r>
        <w:fldChar w:fldCharType="end"/>
      </w:r>
      <w:r>
        <w:fldChar w:fldCharType="end"/>
      </w:r>
    </w:p>
    <w:p>
      <w:pPr>
        <w:pStyle w:val="11"/>
        <w:tabs>
          <w:tab w:val="right" w:leader="dot" w:pos="8845"/>
        </w:tabs>
      </w:pPr>
      <w:r>
        <w:fldChar w:fldCharType="begin"/>
      </w:r>
      <w:r>
        <w:instrText xml:space="preserve"> HYPERLINK \l _Toc1875 </w:instrText>
      </w:r>
      <w:r>
        <w:fldChar w:fldCharType="separate"/>
      </w:r>
      <w:r>
        <w:rPr>
          <w:rFonts w:hint="eastAsia" w:asciiTheme="minorEastAsia" w:hAnsiTheme="minorEastAsia" w:eastAsiaTheme="minorEastAsia"/>
          <w:bCs/>
          <w:kern w:val="2"/>
          <w:szCs w:val="36"/>
        </w:rPr>
        <w:t>柳州职业技术学院人事档案收集归档规定</w:t>
      </w:r>
      <w:r>
        <w:tab/>
      </w:r>
      <w:r>
        <w:fldChar w:fldCharType="begin"/>
      </w:r>
      <w:r>
        <w:instrText xml:space="preserve"> PAGEREF _Toc1875 </w:instrText>
      </w:r>
      <w:r>
        <w:fldChar w:fldCharType="separate"/>
      </w:r>
      <w:r>
        <w:t>569</w:t>
      </w:r>
      <w:r>
        <w:fldChar w:fldCharType="end"/>
      </w:r>
      <w:r>
        <w:fldChar w:fldCharType="end"/>
      </w:r>
    </w:p>
    <w:p>
      <w:pPr>
        <w:pStyle w:val="11"/>
        <w:tabs>
          <w:tab w:val="right" w:leader="dot" w:pos="8845"/>
        </w:tabs>
      </w:pPr>
      <w:r>
        <w:fldChar w:fldCharType="begin"/>
      </w:r>
      <w:r>
        <w:instrText xml:space="preserve"> HYPERLINK \l _Toc10477 </w:instrText>
      </w:r>
      <w:r>
        <w:fldChar w:fldCharType="separate"/>
      </w:r>
      <w:r>
        <w:rPr>
          <w:rFonts w:hint="eastAsia" w:asciiTheme="minorEastAsia" w:hAnsiTheme="minorEastAsia" w:eastAsiaTheme="minorEastAsia"/>
          <w:bCs/>
          <w:kern w:val="2"/>
          <w:szCs w:val="36"/>
          <w:lang w:val="en-US" w:eastAsia="zh-CN"/>
        </w:rPr>
        <w:t>关于建立健全柳州职业技术学院师德建设长效机制的实施办法</w:t>
      </w:r>
      <w:r>
        <w:tab/>
      </w:r>
      <w:r>
        <w:fldChar w:fldCharType="begin"/>
      </w:r>
      <w:r>
        <w:instrText xml:space="preserve"> PAGEREF _Toc10477 </w:instrText>
      </w:r>
      <w:r>
        <w:fldChar w:fldCharType="separate"/>
      </w:r>
      <w:r>
        <w:t>576</w:t>
      </w:r>
      <w:r>
        <w:fldChar w:fldCharType="end"/>
      </w:r>
      <w:r>
        <w:fldChar w:fldCharType="end"/>
      </w:r>
    </w:p>
    <w:p>
      <w:pPr>
        <w:pStyle w:val="11"/>
        <w:tabs>
          <w:tab w:val="right" w:leader="dot" w:pos="8845"/>
        </w:tabs>
      </w:pPr>
      <w:r>
        <w:fldChar w:fldCharType="begin"/>
      </w:r>
      <w:r>
        <w:instrText xml:space="preserve"> HYPERLINK \l _Toc31874 </w:instrText>
      </w:r>
      <w:r>
        <w:fldChar w:fldCharType="separate"/>
      </w:r>
      <w:r>
        <w:rPr>
          <w:rFonts w:hint="eastAsia" w:asciiTheme="minorEastAsia" w:hAnsiTheme="minorEastAsia" w:eastAsiaTheme="minorEastAsia"/>
          <w:bCs/>
          <w:kern w:val="2"/>
          <w:szCs w:val="36"/>
          <w:lang w:val="en-US" w:eastAsia="zh-CN"/>
        </w:rPr>
        <w:t>柳州职业技术学院教师职业道德考核办法、柳州职业技术学院教师职业道德负面清单和失范行为处理办法</w:t>
      </w:r>
      <w:r>
        <w:tab/>
      </w:r>
      <w:r>
        <w:fldChar w:fldCharType="begin"/>
      </w:r>
      <w:r>
        <w:instrText xml:space="preserve"> PAGEREF _Toc31874 </w:instrText>
      </w:r>
      <w:r>
        <w:fldChar w:fldCharType="separate"/>
      </w:r>
      <w:r>
        <w:t>588</w:t>
      </w:r>
      <w:r>
        <w:fldChar w:fldCharType="end"/>
      </w:r>
      <w:r>
        <w:fldChar w:fldCharType="end"/>
      </w:r>
    </w:p>
    <w:p>
      <w:pPr>
        <w:pStyle w:val="11"/>
        <w:tabs>
          <w:tab w:val="right" w:leader="dot" w:pos="8845"/>
        </w:tabs>
      </w:pPr>
      <w:r>
        <w:fldChar w:fldCharType="begin"/>
      </w:r>
      <w:r>
        <w:instrText xml:space="preserve"> HYPERLINK \l _Toc12040 </w:instrText>
      </w:r>
      <w:r>
        <w:fldChar w:fldCharType="separate"/>
      </w:r>
      <w:r>
        <w:rPr>
          <w:rFonts w:hint="eastAsia" w:asciiTheme="minorEastAsia" w:hAnsiTheme="minorEastAsia" w:eastAsiaTheme="minorEastAsia"/>
          <w:bCs/>
          <w:kern w:val="2"/>
          <w:szCs w:val="36"/>
          <w:lang w:val="en-US" w:eastAsia="zh-CN"/>
        </w:rPr>
        <w:t>柳州职业技术学院教师职业道德</w:t>
      </w:r>
      <w:r>
        <w:fldChar w:fldCharType="end"/>
      </w:r>
      <w:r>
        <w:fldChar w:fldCharType="begin"/>
      </w:r>
      <w:r>
        <w:instrText xml:space="preserve"> HYPERLINK \l _Toc19537 </w:instrText>
      </w:r>
      <w:r>
        <w:fldChar w:fldCharType="separate"/>
      </w:r>
      <w:r>
        <w:rPr>
          <w:rFonts w:hint="eastAsia" w:asciiTheme="minorEastAsia" w:hAnsiTheme="minorEastAsia" w:eastAsiaTheme="minorEastAsia"/>
          <w:bCs/>
          <w:kern w:val="2"/>
          <w:szCs w:val="36"/>
          <w:lang w:val="en-US" w:eastAsia="zh-CN"/>
        </w:rPr>
        <w:t>负面清单和失范行为处理办法</w:t>
      </w:r>
      <w:r>
        <w:tab/>
      </w:r>
      <w:r>
        <w:fldChar w:fldCharType="begin"/>
      </w:r>
      <w:r>
        <w:instrText xml:space="preserve"> PAGEREF _Toc19537 </w:instrText>
      </w:r>
      <w:r>
        <w:fldChar w:fldCharType="separate"/>
      </w:r>
      <w:r>
        <w:t>597</w:t>
      </w:r>
      <w:r>
        <w:fldChar w:fldCharType="end"/>
      </w:r>
      <w:r>
        <w:fldChar w:fldCharType="end"/>
      </w:r>
    </w:p>
    <w:p>
      <w:pPr>
        <w:pStyle w:val="11"/>
        <w:tabs>
          <w:tab w:val="right" w:leader="dot" w:pos="8845"/>
        </w:tabs>
      </w:pPr>
      <w:r>
        <w:fldChar w:fldCharType="begin"/>
      </w:r>
      <w:r>
        <w:instrText xml:space="preserve"> HYPERLINK \l _Toc24537 </w:instrText>
      </w:r>
      <w:r>
        <w:fldChar w:fldCharType="separate"/>
      </w:r>
      <w:r>
        <w:rPr>
          <w:rFonts w:hint="eastAsia" w:asciiTheme="minorEastAsia" w:hAnsiTheme="minorEastAsia" w:eastAsiaTheme="minorEastAsia"/>
          <w:bCs/>
          <w:kern w:val="2"/>
          <w:szCs w:val="36"/>
          <w:lang w:val="en-US" w:eastAsia="zh-CN"/>
        </w:rPr>
        <w:t>柳州职业技术学院专业技术岗位聘任补充规定</w:t>
      </w:r>
      <w:r>
        <w:tab/>
      </w:r>
      <w:r>
        <w:fldChar w:fldCharType="begin"/>
      </w:r>
      <w:r>
        <w:instrText xml:space="preserve"> PAGEREF _Toc24537 </w:instrText>
      </w:r>
      <w:r>
        <w:fldChar w:fldCharType="separate"/>
      </w:r>
      <w:r>
        <w:t>602</w:t>
      </w:r>
      <w:r>
        <w:fldChar w:fldCharType="end"/>
      </w:r>
      <w:r>
        <w:fldChar w:fldCharType="end"/>
      </w:r>
    </w:p>
    <w:p>
      <w:pPr>
        <w:pStyle w:val="11"/>
        <w:tabs>
          <w:tab w:val="right" w:leader="dot" w:pos="8845"/>
        </w:tabs>
      </w:pPr>
      <w:r>
        <w:fldChar w:fldCharType="begin"/>
      </w:r>
      <w:r>
        <w:instrText xml:space="preserve"> HYPERLINK \l _Toc1353 </w:instrText>
      </w:r>
      <w:r>
        <w:fldChar w:fldCharType="separate"/>
      </w:r>
      <w:r>
        <w:rPr>
          <w:rFonts w:hint="eastAsia"/>
          <w:szCs w:val="36"/>
        </w:rPr>
        <w:t>柳州职业技术学院导师制实施办法（暂行）</w:t>
      </w:r>
      <w:r>
        <w:tab/>
      </w:r>
      <w:r>
        <w:fldChar w:fldCharType="begin"/>
      </w:r>
      <w:r>
        <w:instrText xml:space="preserve"> PAGEREF _Toc1353 </w:instrText>
      </w:r>
      <w:r>
        <w:fldChar w:fldCharType="separate"/>
      </w:r>
      <w:r>
        <w:t>605</w:t>
      </w:r>
      <w:r>
        <w:fldChar w:fldCharType="end"/>
      </w:r>
      <w:r>
        <w:fldChar w:fldCharType="end"/>
      </w:r>
    </w:p>
    <w:p/>
    <w:p>
      <w:pPr>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第四部分 教学管理类</w:t>
      </w:r>
    </w:p>
    <w:p>
      <w:pPr>
        <w:pStyle w:val="11"/>
        <w:tabs>
          <w:tab w:val="right" w:leader="dot" w:pos="8845"/>
        </w:tabs>
        <w:rPr>
          <w:rFonts w:hint="eastAsia"/>
        </w:rPr>
      </w:pPr>
      <w:r>
        <w:fldChar w:fldCharType="begin"/>
      </w:r>
      <w:r>
        <w:instrText xml:space="preserve"> HYPERLINK \l _Toc560 </w:instrText>
      </w:r>
      <w:r>
        <w:fldChar w:fldCharType="separate"/>
      </w:r>
      <w:r>
        <w:rPr>
          <w:rFonts w:hint="eastAsia" w:asciiTheme="minorEastAsia" w:hAnsiTheme="minorEastAsia" w:eastAsiaTheme="minorEastAsia" w:cstheme="minorEastAsia"/>
          <w:kern w:val="0"/>
          <w:szCs w:val="36"/>
        </w:rPr>
        <w:t>柳州职业技术学院2019年“优秀高职高专生选拔升本”工作实施细则</w:t>
      </w:r>
      <w:r>
        <w:tab/>
      </w:r>
      <w:r>
        <w:fldChar w:fldCharType="begin"/>
      </w:r>
      <w:r>
        <w:instrText xml:space="preserve"> PAGEREF _Toc560 </w:instrText>
      </w:r>
      <w:r>
        <w:fldChar w:fldCharType="separate"/>
      </w:r>
      <w:r>
        <w:t>622</w:t>
      </w:r>
      <w:r>
        <w:fldChar w:fldCharType="end"/>
      </w:r>
      <w:r>
        <w:fldChar w:fldCharType="end"/>
      </w:r>
    </w:p>
    <w:p>
      <w:pPr>
        <w:rPr>
          <w:rFonts w:hint="default" w:eastAsiaTheme="minorEastAsia"/>
          <w:lang w:val="en-US" w:eastAsia="zh-CN"/>
        </w:rPr>
      </w:pPr>
      <w:r>
        <w:rPr>
          <w:rFonts w:hint="eastAsia"/>
        </w:rPr>
        <w:t>柳州职业技术学院技术技能“天工班”试点管理办法</w:t>
      </w:r>
      <w:r>
        <w:rPr>
          <w:rFonts w:hint="eastAsia"/>
          <w:lang w:val="en-US" w:eastAsia="zh-CN"/>
        </w:rPr>
        <w:t>.......................................................................628</w:t>
      </w:r>
    </w:p>
    <w:p>
      <w:pPr>
        <w:pStyle w:val="11"/>
        <w:tabs>
          <w:tab w:val="right" w:leader="dot" w:pos="8845"/>
        </w:tabs>
      </w:pPr>
      <w:r>
        <w:fldChar w:fldCharType="begin"/>
      </w:r>
      <w:r>
        <w:instrText xml:space="preserve"> HYPERLINK \l _Toc20049 </w:instrText>
      </w:r>
      <w:r>
        <w:fldChar w:fldCharType="separate"/>
      </w:r>
      <w:r>
        <w:rPr>
          <w:rFonts w:hint="eastAsia"/>
          <w:szCs w:val="36"/>
        </w:rPr>
        <w:t>柳州职业技术学院专业群建设的指导性意见</w:t>
      </w:r>
      <w:r>
        <w:tab/>
      </w:r>
      <w:r>
        <w:fldChar w:fldCharType="begin"/>
      </w:r>
      <w:r>
        <w:instrText xml:space="preserve"> PAGEREF _Toc20049 </w:instrText>
      </w:r>
      <w:r>
        <w:fldChar w:fldCharType="separate"/>
      </w:r>
      <w:r>
        <w:t>633</w:t>
      </w:r>
      <w:r>
        <w:fldChar w:fldCharType="end"/>
      </w:r>
      <w:r>
        <w:fldChar w:fldCharType="end"/>
      </w:r>
    </w:p>
    <w:p>
      <w:pPr>
        <w:pStyle w:val="11"/>
        <w:tabs>
          <w:tab w:val="right" w:leader="dot" w:pos="8845"/>
        </w:tabs>
      </w:pPr>
      <w:r>
        <w:fldChar w:fldCharType="begin"/>
      </w:r>
      <w:r>
        <w:instrText xml:space="preserve"> HYPERLINK \l _Toc31453 </w:instrText>
      </w:r>
      <w:r>
        <w:fldChar w:fldCharType="separate"/>
      </w:r>
      <w:r>
        <w:rPr>
          <w:rFonts w:hint="eastAsia"/>
          <w:szCs w:val="36"/>
        </w:rPr>
        <w:t>柳州职业技术学院2021级高职专业（群）人才培养方案指导性意见</w:t>
      </w:r>
      <w:r>
        <w:tab/>
      </w:r>
      <w:r>
        <w:fldChar w:fldCharType="begin"/>
      </w:r>
      <w:r>
        <w:instrText xml:space="preserve"> PAGEREF _Toc31453 </w:instrText>
      </w:r>
      <w:r>
        <w:fldChar w:fldCharType="separate"/>
      </w:r>
      <w:r>
        <w:t>640</w:t>
      </w:r>
      <w:r>
        <w:fldChar w:fldCharType="end"/>
      </w:r>
      <w:r>
        <w:fldChar w:fldCharType="end"/>
      </w:r>
    </w:p>
    <w:p>
      <w:pPr>
        <w:pStyle w:val="11"/>
        <w:tabs>
          <w:tab w:val="right" w:leader="dot" w:pos="8845"/>
        </w:tabs>
      </w:pPr>
      <w:r>
        <w:fldChar w:fldCharType="begin"/>
      </w:r>
      <w:r>
        <w:instrText xml:space="preserve"> HYPERLINK \l _Toc829 </w:instrText>
      </w:r>
      <w:r>
        <w:fldChar w:fldCharType="separate"/>
      </w:r>
      <w:r>
        <w:rPr>
          <w:rFonts w:hint="eastAsia"/>
          <w:szCs w:val="36"/>
        </w:rPr>
        <w:t>柳州职业技术学院听课制度（修订稿）</w:t>
      </w:r>
      <w:r>
        <w:tab/>
      </w:r>
      <w:r>
        <w:fldChar w:fldCharType="begin"/>
      </w:r>
      <w:r>
        <w:instrText xml:space="preserve"> PAGEREF _Toc829 </w:instrText>
      </w:r>
      <w:r>
        <w:fldChar w:fldCharType="separate"/>
      </w:r>
      <w:r>
        <w:t>704</w:t>
      </w:r>
      <w:r>
        <w:fldChar w:fldCharType="end"/>
      </w:r>
      <w:r>
        <w:fldChar w:fldCharType="end"/>
      </w:r>
    </w:p>
    <w:p>
      <w:pPr>
        <w:pStyle w:val="11"/>
        <w:tabs>
          <w:tab w:val="right" w:leader="dot" w:pos="8845"/>
        </w:tabs>
      </w:pPr>
      <w:r>
        <w:fldChar w:fldCharType="begin"/>
      </w:r>
      <w:r>
        <w:instrText xml:space="preserve"> HYPERLINK \l _Toc4422 </w:instrText>
      </w:r>
      <w:r>
        <w:fldChar w:fldCharType="separate"/>
      </w:r>
      <w:r>
        <w:rPr>
          <w:rFonts w:hint="eastAsia"/>
          <w:szCs w:val="36"/>
        </w:rPr>
        <w:t>柳州职业技术学院课堂教学质量等级评定管理办法（试行）</w:t>
      </w:r>
      <w:r>
        <w:tab/>
      </w:r>
      <w:r>
        <w:fldChar w:fldCharType="begin"/>
      </w:r>
      <w:r>
        <w:instrText xml:space="preserve"> PAGEREF _Toc4422 </w:instrText>
      </w:r>
      <w:r>
        <w:fldChar w:fldCharType="separate"/>
      </w:r>
      <w:r>
        <w:t>708</w:t>
      </w:r>
      <w:r>
        <w:fldChar w:fldCharType="end"/>
      </w:r>
      <w:r>
        <w:fldChar w:fldCharType="end"/>
      </w:r>
    </w:p>
    <w:p>
      <w:pPr>
        <w:pStyle w:val="11"/>
        <w:tabs>
          <w:tab w:val="right" w:leader="dot" w:pos="8845"/>
        </w:tabs>
      </w:pPr>
      <w:r>
        <w:fldChar w:fldCharType="begin"/>
      </w:r>
      <w:r>
        <w:instrText xml:space="preserve"> HYPERLINK \l _Toc15904 </w:instrText>
      </w:r>
      <w:r>
        <w:fldChar w:fldCharType="separate"/>
      </w:r>
      <w:r>
        <w:rPr>
          <w:rFonts w:hint="eastAsia" w:ascii="Times New Roman" w:hAnsi="Times New Roman" w:cs="Times New Roman"/>
          <w:szCs w:val="36"/>
          <w:lang w:val="en-US" w:eastAsia="zh-CN"/>
        </w:rPr>
        <w:t>柳州螺蛳粉产业学院辅修班2021年人才培养方案制订指导性意见</w:t>
      </w:r>
      <w:r>
        <w:tab/>
      </w:r>
      <w:r>
        <w:fldChar w:fldCharType="begin"/>
      </w:r>
      <w:r>
        <w:instrText xml:space="preserve"> PAGEREF _Toc15904 </w:instrText>
      </w:r>
      <w:r>
        <w:fldChar w:fldCharType="separate"/>
      </w:r>
      <w:r>
        <w:t>715</w:t>
      </w:r>
      <w:r>
        <w:fldChar w:fldCharType="end"/>
      </w:r>
      <w:r>
        <w:fldChar w:fldCharType="end"/>
      </w:r>
    </w:p>
    <w:p>
      <w:pPr>
        <w:pStyle w:val="11"/>
        <w:tabs>
          <w:tab w:val="right" w:leader="dot" w:pos="8845"/>
        </w:tabs>
      </w:pPr>
      <w:r>
        <w:fldChar w:fldCharType="begin"/>
      </w:r>
      <w:r>
        <w:instrText xml:space="preserve"> HYPERLINK \l _Toc3421 </w:instrText>
      </w:r>
      <w:r>
        <w:fldChar w:fldCharType="separate"/>
      </w:r>
      <w:r>
        <w:rPr>
          <w:rFonts w:hint="eastAsia" w:ascii="Times New Roman" w:hAnsi="Times New Roman" w:eastAsia="宋体" w:cs="Times New Roman"/>
          <w:kern w:val="2"/>
          <w:szCs w:val="36"/>
        </w:rPr>
        <w:t>柳州螺蛳粉产业学院辅修班教学管理办法（</w:t>
      </w:r>
      <w:r>
        <w:rPr>
          <w:rFonts w:hint="eastAsia" w:ascii="Times New Roman" w:hAnsi="Times New Roman" w:eastAsia="宋体" w:cs="Times New Roman"/>
          <w:kern w:val="2"/>
          <w:szCs w:val="36"/>
          <w:lang w:val="en-US" w:eastAsia="zh-CN"/>
        </w:rPr>
        <w:t>修订</w:t>
      </w:r>
      <w:r>
        <w:rPr>
          <w:rFonts w:hint="eastAsia" w:ascii="Times New Roman" w:hAnsi="Times New Roman" w:eastAsia="宋体" w:cs="Times New Roman"/>
          <w:kern w:val="2"/>
          <w:szCs w:val="36"/>
        </w:rPr>
        <w:t>）</w:t>
      </w:r>
      <w:r>
        <w:tab/>
      </w:r>
      <w:r>
        <w:fldChar w:fldCharType="begin"/>
      </w:r>
      <w:r>
        <w:instrText xml:space="preserve"> PAGEREF _Toc3421 </w:instrText>
      </w:r>
      <w:r>
        <w:fldChar w:fldCharType="separate"/>
      </w:r>
      <w:r>
        <w:t>724</w:t>
      </w:r>
      <w:r>
        <w:fldChar w:fldCharType="end"/>
      </w:r>
      <w:r>
        <w:fldChar w:fldCharType="end"/>
      </w:r>
    </w:p>
    <w:p>
      <w:pPr>
        <w:pStyle w:val="11"/>
        <w:tabs>
          <w:tab w:val="right" w:leader="dot" w:pos="8845"/>
        </w:tabs>
      </w:pPr>
      <w:r>
        <w:fldChar w:fldCharType="begin"/>
      </w:r>
      <w:r>
        <w:instrText xml:space="preserve"> HYPERLINK \l _Toc20021 </w:instrText>
      </w:r>
      <w:r>
        <w:fldChar w:fldCharType="separate"/>
      </w:r>
      <w:r>
        <w:rPr>
          <w:rFonts w:hint="eastAsia" w:ascii="Calibri" w:hAnsi="Calibri"/>
          <w:szCs w:val="36"/>
        </w:rPr>
        <w:t>柳州职业技术学院新生录取通知书寄递管理制度</w:t>
      </w:r>
      <w:r>
        <w:tab/>
      </w:r>
      <w:r>
        <w:fldChar w:fldCharType="begin"/>
      </w:r>
      <w:r>
        <w:instrText xml:space="preserve"> PAGEREF _Toc20021 </w:instrText>
      </w:r>
      <w:r>
        <w:fldChar w:fldCharType="separate"/>
      </w:r>
      <w:r>
        <w:t>729</w:t>
      </w:r>
      <w:r>
        <w:fldChar w:fldCharType="end"/>
      </w:r>
      <w:r>
        <w:fldChar w:fldCharType="end"/>
      </w:r>
    </w:p>
    <w:p>
      <w:pPr>
        <w:pStyle w:val="11"/>
        <w:tabs>
          <w:tab w:val="right" w:leader="dot" w:pos="8845"/>
        </w:tabs>
      </w:pPr>
      <w:r>
        <w:fldChar w:fldCharType="begin"/>
      </w:r>
      <w:r>
        <w:instrText xml:space="preserve"> HYPERLINK \l _Toc12339 </w:instrText>
      </w:r>
      <w:r>
        <w:fldChar w:fldCharType="separate"/>
      </w:r>
      <w:r>
        <w:rPr>
          <w:rFonts w:hint="eastAsia" w:ascii="Calibri" w:hAnsi="Calibri"/>
          <w:szCs w:val="36"/>
        </w:rPr>
        <w:t>实训室诊断与改进管理办法（试行）</w:t>
      </w:r>
      <w:r>
        <w:tab/>
      </w:r>
      <w:r>
        <w:fldChar w:fldCharType="begin"/>
      </w:r>
      <w:r>
        <w:instrText xml:space="preserve"> PAGEREF _Toc12339 </w:instrText>
      </w:r>
      <w:r>
        <w:fldChar w:fldCharType="separate"/>
      </w:r>
      <w:r>
        <w:t>738</w:t>
      </w:r>
      <w:r>
        <w:fldChar w:fldCharType="end"/>
      </w:r>
      <w:r>
        <w:fldChar w:fldCharType="end"/>
      </w:r>
    </w:p>
    <w:p>
      <w:pPr>
        <w:pStyle w:val="11"/>
        <w:tabs>
          <w:tab w:val="right" w:leader="dot" w:pos="8845"/>
        </w:tabs>
      </w:pPr>
      <w:r>
        <w:fldChar w:fldCharType="begin"/>
      </w:r>
      <w:r>
        <w:instrText xml:space="preserve"> HYPERLINK \l _Toc19482 </w:instrText>
      </w:r>
      <w:r>
        <w:fldChar w:fldCharType="separate"/>
      </w:r>
      <w:r>
        <w:rPr>
          <w:rFonts w:hint="eastAsia"/>
          <w:szCs w:val="36"/>
        </w:rPr>
        <w:t>疫情防控期间在线教学组织与管理实施方案</w:t>
      </w:r>
      <w:r>
        <w:tab/>
      </w:r>
      <w:r>
        <w:fldChar w:fldCharType="begin"/>
      </w:r>
      <w:r>
        <w:instrText xml:space="preserve"> PAGEREF _Toc19482 </w:instrText>
      </w:r>
      <w:r>
        <w:fldChar w:fldCharType="separate"/>
      </w:r>
      <w:r>
        <w:t>749</w:t>
      </w:r>
      <w:r>
        <w:fldChar w:fldCharType="end"/>
      </w:r>
      <w:r>
        <w:fldChar w:fldCharType="end"/>
      </w:r>
    </w:p>
    <w:p>
      <w:pPr>
        <w:pStyle w:val="11"/>
        <w:tabs>
          <w:tab w:val="right" w:leader="dot" w:pos="8845"/>
        </w:tabs>
      </w:pPr>
      <w:r>
        <w:fldChar w:fldCharType="begin"/>
      </w:r>
      <w:r>
        <w:instrText xml:space="preserve"> HYPERLINK \l _Toc25714 </w:instrText>
      </w:r>
      <w:r>
        <w:fldChar w:fldCharType="separate"/>
      </w:r>
      <w:r>
        <w:rPr>
          <w:rFonts w:hint="eastAsia" w:asciiTheme="minorEastAsia" w:hAnsiTheme="minorEastAsia" w:eastAsiaTheme="minorEastAsia" w:cstheme="minorEastAsia"/>
          <w:kern w:val="0"/>
          <w:szCs w:val="36"/>
        </w:rPr>
        <w:t>柳州职业技术学院教学建设项目管理办法</w:t>
      </w:r>
      <w:r>
        <w:tab/>
      </w:r>
      <w:r>
        <w:fldChar w:fldCharType="begin"/>
      </w:r>
      <w:r>
        <w:instrText xml:space="preserve"> PAGEREF _Toc25714 </w:instrText>
      </w:r>
      <w:r>
        <w:fldChar w:fldCharType="separate"/>
      </w:r>
      <w:r>
        <w:t>759</w:t>
      </w:r>
      <w:r>
        <w:fldChar w:fldCharType="end"/>
      </w:r>
      <w:r>
        <w:fldChar w:fldCharType="end"/>
      </w:r>
    </w:p>
    <w:p>
      <w:pPr>
        <w:pStyle w:val="11"/>
        <w:tabs>
          <w:tab w:val="right" w:leader="dot" w:pos="8845"/>
        </w:tabs>
      </w:pPr>
      <w:r>
        <w:fldChar w:fldCharType="begin"/>
      </w:r>
      <w:r>
        <w:instrText xml:space="preserve"> HYPERLINK \l _Toc13268 </w:instrText>
      </w:r>
      <w:r>
        <w:fldChar w:fldCharType="separate"/>
      </w:r>
      <w:r>
        <w:rPr>
          <w:rFonts w:hint="eastAsia" w:asciiTheme="minorEastAsia" w:hAnsiTheme="minorEastAsia" w:eastAsiaTheme="minorEastAsia" w:cstheme="minorEastAsia"/>
          <w:kern w:val="0"/>
          <w:szCs w:val="36"/>
        </w:rPr>
        <w:t>柳州职业技术学院教学团队管理办法（修订）</w:t>
      </w:r>
      <w:r>
        <w:tab/>
      </w:r>
      <w:r>
        <w:fldChar w:fldCharType="begin"/>
      </w:r>
      <w:r>
        <w:instrText xml:space="preserve"> PAGEREF _Toc13268 </w:instrText>
      </w:r>
      <w:r>
        <w:fldChar w:fldCharType="separate"/>
      </w:r>
      <w:r>
        <w:t>769</w:t>
      </w:r>
      <w:r>
        <w:fldChar w:fldCharType="end"/>
      </w:r>
      <w:r>
        <w:fldChar w:fldCharType="end"/>
      </w:r>
    </w:p>
    <w:p>
      <w:pPr>
        <w:pStyle w:val="11"/>
        <w:tabs>
          <w:tab w:val="right" w:leader="dot" w:pos="8845"/>
        </w:tabs>
      </w:pPr>
      <w:r>
        <w:fldChar w:fldCharType="begin"/>
      </w:r>
      <w:r>
        <w:instrText xml:space="preserve"> HYPERLINK \l _Toc191 </w:instrText>
      </w:r>
      <w:r>
        <w:fldChar w:fldCharType="separate"/>
      </w:r>
      <w:r>
        <w:rPr>
          <w:rFonts w:hint="eastAsia" w:asciiTheme="minorEastAsia" w:hAnsiTheme="minorEastAsia" w:eastAsiaTheme="minorEastAsia" w:cstheme="minorEastAsia"/>
          <w:kern w:val="0"/>
          <w:szCs w:val="36"/>
        </w:rPr>
        <w:t>柳州职业技术学院教师课堂教学规范督导检查暂行规定</w:t>
      </w:r>
      <w:r>
        <w:tab/>
      </w:r>
      <w:r>
        <w:fldChar w:fldCharType="begin"/>
      </w:r>
      <w:r>
        <w:instrText xml:space="preserve"> PAGEREF _Toc191 </w:instrText>
      </w:r>
      <w:r>
        <w:fldChar w:fldCharType="separate"/>
      </w:r>
      <w:r>
        <w:t>779</w:t>
      </w:r>
      <w:r>
        <w:fldChar w:fldCharType="end"/>
      </w:r>
      <w:r>
        <w:fldChar w:fldCharType="end"/>
      </w:r>
    </w:p>
    <w:p>
      <w:pPr>
        <w:pStyle w:val="11"/>
        <w:tabs>
          <w:tab w:val="right" w:leader="dot" w:pos="8845"/>
        </w:tabs>
      </w:pPr>
      <w:r>
        <w:fldChar w:fldCharType="begin"/>
      </w:r>
      <w:r>
        <w:instrText xml:space="preserve"> HYPERLINK \l _Toc1106 </w:instrText>
      </w:r>
      <w:r>
        <w:fldChar w:fldCharType="separate"/>
      </w:r>
      <w:r>
        <w:rPr>
          <w:rFonts w:hint="eastAsia" w:asciiTheme="minorEastAsia" w:hAnsiTheme="minorEastAsia" w:eastAsiaTheme="minorEastAsia" w:cstheme="minorEastAsia"/>
          <w:kern w:val="0"/>
          <w:szCs w:val="36"/>
        </w:rPr>
        <w:t>柳州职业技术学院教师课堂教学行为规范及扣分清单</w:t>
      </w:r>
      <w:r>
        <w:tab/>
      </w:r>
      <w:r>
        <w:fldChar w:fldCharType="begin"/>
      </w:r>
      <w:r>
        <w:instrText xml:space="preserve"> PAGEREF _Toc1106 </w:instrText>
      </w:r>
      <w:r>
        <w:fldChar w:fldCharType="separate"/>
      </w:r>
      <w:r>
        <w:t>782</w:t>
      </w:r>
      <w:r>
        <w:fldChar w:fldCharType="end"/>
      </w:r>
      <w:r>
        <w:fldChar w:fldCharType="end"/>
      </w:r>
    </w:p>
    <w:p>
      <w:pPr>
        <w:pStyle w:val="11"/>
        <w:tabs>
          <w:tab w:val="right" w:leader="dot" w:pos="8845"/>
        </w:tabs>
      </w:pPr>
      <w:r>
        <w:fldChar w:fldCharType="begin"/>
      </w:r>
      <w:r>
        <w:instrText xml:space="preserve"> HYPERLINK \l _Toc26575 </w:instrText>
      </w:r>
      <w:r>
        <w:fldChar w:fldCharType="separate"/>
      </w:r>
      <w:r>
        <w:rPr>
          <w:rFonts w:hint="eastAsia" w:asciiTheme="minorEastAsia" w:hAnsiTheme="minorEastAsia" w:eastAsiaTheme="minorEastAsia" w:cstheme="minorEastAsia"/>
          <w:kern w:val="0"/>
          <w:szCs w:val="36"/>
        </w:rPr>
        <w:t>柳州职业技术学院教师课堂教学工作规范(试行)</w:t>
      </w:r>
      <w:r>
        <w:tab/>
      </w:r>
      <w:r>
        <w:fldChar w:fldCharType="begin"/>
      </w:r>
      <w:r>
        <w:instrText xml:space="preserve"> PAGEREF _Toc26575 </w:instrText>
      </w:r>
      <w:r>
        <w:fldChar w:fldCharType="separate"/>
      </w:r>
      <w:r>
        <w:t>785</w:t>
      </w:r>
      <w:r>
        <w:fldChar w:fldCharType="end"/>
      </w:r>
      <w:r>
        <w:fldChar w:fldCharType="end"/>
      </w:r>
    </w:p>
    <w:p>
      <w:pPr>
        <w:pStyle w:val="11"/>
        <w:tabs>
          <w:tab w:val="right" w:leader="dot" w:pos="8845"/>
        </w:tabs>
      </w:pPr>
      <w:r>
        <w:fldChar w:fldCharType="begin"/>
      </w:r>
      <w:r>
        <w:instrText xml:space="preserve"> HYPERLINK \l _Toc18415 </w:instrText>
      </w:r>
      <w:r>
        <w:fldChar w:fldCharType="separate"/>
      </w:r>
      <w:r>
        <w:rPr>
          <w:rFonts w:hint="eastAsia" w:asciiTheme="minorEastAsia" w:hAnsiTheme="minorEastAsia" w:eastAsiaTheme="minorEastAsia" w:cstheme="minorEastAsia"/>
          <w:kern w:val="0"/>
          <w:szCs w:val="36"/>
        </w:rPr>
        <w:t>柳州职业技术学院教案管理规定（试行）</w:t>
      </w:r>
      <w:r>
        <w:tab/>
      </w:r>
      <w:r>
        <w:fldChar w:fldCharType="begin"/>
      </w:r>
      <w:r>
        <w:instrText xml:space="preserve"> PAGEREF _Toc18415 </w:instrText>
      </w:r>
      <w:r>
        <w:fldChar w:fldCharType="separate"/>
      </w:r>
      <w:r>
        <w:t>792</w:t>
      </w:r>
      <w:r>
        <w:fldChar w:fldCharType="end"/>
      </w:r>
      <w:r>
        <w:fldChar w:fldCharType="end"/>
      </w:r>
    </w:p>
    <w:p>
      <w:pPr>
        <w:pStyle w:val="11"/>
        <w:tabs>
          <w:tab w:val="right" w:leader="dot" w:pos="8845"/>
        </w:tabs>
      </w:pPr>
      <w:r>
        <w:fldChar w:fldCharType="begin"/>
      </w:r>
      <w:r>
        <w:instrText xml:space="preserve"> HYPERLINK \l _Toc30584 </w:instrText>
      </w:r>
      <w:r>
        <w:fldChar w:fldCharType="separate"/>
      </w:r>
      <w:r>
        <w:rPr>
          <w:rFonts w:hint="eastAsia" w:asciiTheme="minorEastAsia" w:hAnsiTheme="minorEastAsia" w:eastAsiaTheme="minorEastAsia" w:cstheme="minorEastAsia"/>
          <w:kern w:val="0"/>
          <w:szCs w:val="36"/>
        </w:rPr>
        <w:t>柳州职业技术学院教材建设与管理规定</w:t>
      </w:r>
      <w:r>
        <w:tab/>
      </w:r>
      <w:r>
        <w:fldChar w:fldCharType="begin"/>
      </w:r>
      <w:r>
        <w:instrText xml:space="preserve"> PAGEREF _Toc30584 </w:instrText>
      </w:r>
      <w:r>
        <w:fldChar w:fldCharType="separate"/>
      </w:r>
      <w:r>
        <w:t>797</w:t>
      </w:r>
      <w:r>
        <w:fldChar w:fldCharType="end"/>
      </w:r>
      <w:r>
        <w:fldChar w:fldCharType="end"/>
      </w:r>
    </w:p>
    <w:p>
      <w:pPr>
        <w:pStyle w:val="11"/>
        <w:tabs>
          <w:tab w:val="right" w:leader="dot" w:pos="8845"/>
        </w:tabs>
      </w:pPr>
      <w:r>
        <w:fldChar w:fldCharType="begin"/>
      </w:r>
      <w:r>
        <w:instrText xml:space="preserve"> HYPERLINK \l _Toc27158 </w:instrText>
      </w:r>
      <w:r>
        <w:fldChar w:fldCharType="separate"/>
      </w:r>
      <w:r>
        <w:rPr>
          <w:rFonts w:hint="eastAsia" w:asciiTheme="minorEastAsia" w:hAnsiTheme="minorEastAsia" w:eastAsiaTheme="minorEastAsia" w:cstheme="minorEastAsia"/>
          <w:kern w:val="0"/>
          <w:szCs w:val="36"/>
        </w:rPr>
        <w:t>柳州职业技术学院关于落实思政课专任教师与辅导员结对协同育人工作的指导意见</w:t>
      </w:r>
      <w:r>
        <w:tab/>
      </w:r>
      <w:r>
        <w:fldChar w:fldCharType="begin"/>
      </w:r>
      <w:r>
        <w:instrText xml:space="preserve"> PAGEREF _Toc27158 </w:instrText>
      </w:r>
      <w:r>
        <w:fldChar w:fldCharType="separate"/>
      </w:r>
      <w:r>
        <w:t>807</w:t>
      </w:r>
      <w:r>
        <w:fldChar w:fldCharType="end"/>
      </w:r>
      <w:r>
        <w:fldChar w:fldCharType="end"/>
      </w:r>
    </w:p>
    <w:p>
      <w:pPr>
        <w:pStyle w:val="11"/>
        <w:tabs>
          <w:tab w:val="right" w:leader="dot" w:pos="8845"/>
        </w:tabs>
      </w:pPr>
      <w:r>
        <w:fldChar w:fldCharType="begin"/>
      </w:r>
      <w:r>
        <w:instrText xml:space="preserve"> HYPERLINK \l _Toc31678 </w:instrText>
      </w:r>
      <w:r>
        <w:fldChar w:fldCharType="separate"/>
      </w:r>
      <w:r>
        <w:rPr>
          <w:rFonts w:hint="eastAsia" w:asciiTheme="minorEastAsia" w:hAnsiTheme="minorEastAsia" w:eastAsiaTheme="minorEastAsia" w:cstheme="minorEastAsia"/>
          <w:kern w:val="0"/>
          <w:szCs w:val="36"/>
        </w:rPr>
        <w:t>柳州职业技术学院辅导员工作室建设项目管理办法（试行）</w:t>
      </w:r>
      <w:r>
        <w:tab/>
      </w:r>
      <w:r>
        <w:fldChar w:fldCharType="begin"/>
      </w:r>
      <w:r>
        <w:instrText xml:space="preserve"> PAGEREF _Toc31678 </w:instrText>
      </w:r>
      <w:r>
        <w:fldChar w:fldCharType="separate"/>
      </w:r>
      <w:r>
        <w:t>810</w:t>
      </w:r>
      <w:r>
        <w:fldChar w:fldCharType="end"/>
      </w:r>
      <w:r>
        <w:fldChar w:fldCharType="end"/>
      </w:r>
    </w:p>
    <w:p>
      <w:pPr>
        <w:pStyle w:val="11"/>
        <w:tabs>
          <w:tab w:val="right" w:leader="dot" w:pos="8845"/>
        </w:tabs>
      </w:pPr>
      <w:r>
        <w:fldChar w:fldCharType="begin"/>
      </w:r>
      <w:r>
        <w:instrText xml:space="preserve"> HYPERLINK \l _Toc684 </w:instrText>
      </w:r>
      <w:r>
        <w:fldChar w:fldCharType="separate"/>
      </w:r>
      <w:r>
        <w:rPr>
          <w:rFonts w:hint="eastAsia" w:asciiTheme="minorEastAsia" w:hAnsiTheme="minorEastAsia" w:eastAsiaTheme="minorEastAsia" w:cstheme="minorEastAsia"/>
          <w:kern w:val="0"/>
          <w:szCs w:val="36"/>
        </w:rPr>
        <w:t>柳州职业技术学院劳动教育实施方案指导性意见</w:t>
      </w:r>
      <w:r>
        <w:tab/>
      </w:r>
      <w:r>
        <w:fldChar w:fldCharType="begin"/>
      </w:r>
      <w:r>
        <w:instrText xml:space="preserve"> PAGEREF _Toc684 </w:instrText>
      </w:r>
      <w:r>
        <w:fldChar w:fldCharType="separate"/>
      </w:r>
      <w:r>
        <w:t>814</w:t>
      </w:r>
      <w:r>
        <w:fldChar w:fldCharType="end"/>
      </w:r>
      <w:r>
        <w:fldChar w:fldCharType="end"/>
      </w:r>
    </w:p>
    <w:p>
      <w:pPr>
        <w:pStyle w:val="11"/>
        <w:tabs>
          <w:tab w:val="right" w:leader="dot" w:pos="8845"/>
        </w:tabs>
      </w:pPr>
      <w:r>
        <w:fldChar w:fldCharType="begin"/>
      </w:r>
      <w:r>
        <w:instrText xml:space="preserve"> HYPERLINK \l _Toc4321 </w:instrText>
      </w:r>
      <w:r>
        <w:fldChar w:fldCharType="separate"/>
      </w:r>
      <w:r>
        <w:rPr>
          <w:rFonts w:hint="eastAsia" w:asciiTheme="minorEastAsia" w:hAnsiTheme="minorEastAsia" w:eastAsiaTheme="minorEastAsia" w:cstheme="minorEastAsia"/>
          <w:kern w:val="0"/>
          <w:szCs w:val="36"/>
        </w:rPr>
        <w:t>柳州职业技术学院关于进一步推进“1+X”证书制度试点工作实施方案</w:t>
      </w:r>
      <w:r>
        <w:tab/>
      </w:r>
      <w:r>
        <w:fldChar w:fldCharType="begin"/>
      </w:r>
      <w:r>
        <w:instrText xml:space="preserve"> PAGEREF _Toc4321 </w:instrText>
      </w:r>
      <w:r>
        <w:fldChar w:fldCharType="separate"/>
      </w:r>
      <w:r>
        <w:t>827</w:t>
      </w:r>
      <w:r>
        <w:fldChar w:fldCharType="end"/>
      </w:r>
      <w:r>
        <w:fldChar w:fldCharType="end"/>
      </w:r>
    </w:p>
    <w:p>
      <w:pPr>
        <w:pStyle w:val="11"/>
        <w:tabs>
          <w:tab w:val="right" w:leader="dot" w:pos="8845"/>
        </w:tabs>
      </w:pPr>
      <w:r>
        <w:fldChar w:fldCharType="begin"/>
      </w:r>
      <w:r>
        <w:instrText xml:space="preserve"> HYPERLINK \l _Toc14648 </w:instrText>
      </w:r>
      <w:r>
        <w:fldChar w:fldCharType="separate"/>
      </w:r>
      <w:r>
        <w:rPr>
          <w:rFonts w:hint="eastAsia" w:asciiTheme="minorEastAsia" w:hAnsiTheme="minorEastAsia" w:eastAsiaTheme="minorEastAsia" w:cstheme="minorEastAsia"/>
          <w:kern w:val="0"/>
          <w:szCs w:val="36"/>
        </w:rPr>
        <w:t>柳州职业技术学院1+X证书试点工作经费管理办法</w:t>
      </w:r>
      <w:r>
        <w:tab/>
      </w:r>
      <w:r>
        <w:fldChar w:fldCharType="begin"/>
      </w:r>
      <w:r>
        <w:instrText xml:space="preserve"> PAGEREF _Toc14648 </w:instrText>
      </w:r>
      <w:r>
        <w:fldChar w:fldCharType="separate"/>
      </w:r>
      <w:r>
        <w:t>835</w:t>
      </w:r>
      <w:r>
        <w:fldChar w:fldCharType="end"/>
      </w:r>
      <w:r>
        <w:fldChar w:fldCharType="end"/>
      </w:r>
    </w:p>
    <w:p>
      <w:r>
        <w:fldChar w:fldCharType="end"/>
      </w: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bookmarkStart w:id="3" w:name="_Toc15292"/>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0"/>
        <w:rPr>
          <w:rFonts w:hint="eastAsia" w:ascii="黑体" w:hAnsi="黑体" w:eastAsia="黑体" w:cs="黑体"/>
          <w:color w:val="000000"/>
          <w:kern w:val="2"/>
          <w:sz w:val="36"/>
          <w:szCs w:val="36"/>
        </w:rPr>
      </w:pPr>
      <w:r>
        <w:rPr>
          <w:rFonts w:hint="eastAsia" w:ascii="黑体" w:hAnsi="黑体" w:eastAsia="黑体" w:cs="黑体"/>
          <w:color w:val="000000"/>
          <w:kern w:val="2"/>
          <w:sz w:val="36"/>
          <w:szCs w:val="36"/>
        </w:rPr>
        <w:t>柳州职业技术学院二级学院党政</w:t>
      </w:r>
      <w:bookmarkEnd w:id="0"/>
      <w:bookmarkStart w:id="4" w:name="_Toc534377738"/>
      <w:r>
        <w:rPr>
          <w:rFonts w:hint="eastAsia" w:ascii="黑体" w:hAnsi="黑体" w:eastAsia="黑体" w:cs="黑体"/>
          <w:color w:val="000000"/>
          <w:kern w:val="2"/>
          <w:sz w:val="36"/>
          <w:szCs w:val="36"/>
        </w:rPr>
        <w:t>联席会议制度试行办法</w:t>
      </w:r>
      <w:bookmarkEnd w:id="1"/>
      <w:bookmarkEnd w:id="2"/>
      <w:bookmarkEnd w:id="3"/>
      <w:bookmarkEnd w:id="4"/>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（柳职院党字〔2016〕18号）</w:t>
      </w:r>
    </w:p>
    <w:p>
      <w:pPr>
        <w:pageBreakBefore w:val="0"/>
        <w:widowControl/>
        <w:kinsoku/>
        <w:wordWrap/>
        <w:overflowPunct/>
        <w:topLinePunct w:val="0"/>
        <w:autoSpaceDE/>
        <w:autoSpaceDN/>
        <w:bidi w:val="0"/>
        <w:spacing w:line="70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为了更好地贯彻执行民主集中制原则，进一步规范和完善学校二级学院（以下简称“学院”）重要事项议事程序，进一步建立健全学院领导体制和工作机制，充分发挥学院领导班子的集体作用，实现议事的制度化、规范化，保证决策的民主化、科学化，提高决策水平和办事效率，根据《中华人民共和国高等教育法》、《中国共产党普通高等学校基层组织工作条例》等精神，结合我校实际，制定本办法。</w:t>
      </w: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第一章 总则</w:t>
      </w:r>
    </w:p>
    <w:p>
      <w:pPr>
        <w:pageBreakBefore w:val="0"/>
        <w:widowControl/>
        <w:tabs>
          <w:tab w:val="left" w:pos="426"/>
        </w:tabs>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第一条 学院党政联席会议是学院党政领导集体研究和决定重要事项的会议，是对学院事务进行有效管理的最高决策形式，必须围绕贯彻党的教育方针、遵循国家法律法规、按照学校党委和行政的决议决定开展工作。学校二级学院党政联席会议是学院党政领导商议、研究和决定本单位重要事项的一种决策形式。</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第二条 在学校党委、行政领导下，学院按其责权自主地开展教学、科研、社会服务和文化传承与创新等活动，院长对学院的行政工作全面负责。学院党总支是学院的政治核心，支持院行政积极主动地开展工作，并发挥好监督保证作用。</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第三条 党政联席会议实行民主集中制原则，按照“集体领导、民主集中、个别酝酿、会议决定”的原则讨论决定学院的重要事项。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第四条 学院党政领导班子成员参加党政联席会议，学院办公室主任列席会议。其他列席人员根据工作需要，在讨论到相应内容时参加会议。</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第五条 党政联席会议由学院院长、党总支书记共同召集。党政联席会议议题的提出，涉及学院党建、领导班子和干部队伍建设、思想政治教育、学生工作、党风廉政建设、精神文明建设、统战工作、离退休工作、维稳工作、群团工作等党务方面的内容，由书记动议，与院长商议后提出；属于学院学科专业建设、教学管理、科研管理、行政管理、人事管理、财务管理及安全保卫等行政方面的内容，由院长动议，与书记商议后提出。根据议题内容，分别由院长或书记主持。会议列席人员，根据会议内容由院长和书记共同确定。</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第六条 党政联席会议一般每周召开一次，如遇特殊情况，也可根据工作需要由院长与党总支书记商议后临时决定召开。</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第二章 议事范围</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第七条 研究学院学习、宣传和贯彻执行党的路线、方针、政策，研究贯彻执行党中央国务院、自治区党委、自治区政府及自治区高校工委、自治区教育厅和学校党委、行政的指示、决议、决定，研究制定实施意见。</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第八条 根据党和政府的有关政策，围绕学校总体规划和有关决策，结合学院实际，研究拟定学院办学定位、发展目标、发展战略、发展规划及工作中的重大问题，研究学院党政的学期、年度工作计划和工作总结，安排阶段性重要工作，通报有关工作情况。</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第九条 分析和研究学院改革、发展、稳定中的重大问题，研究制定推动学院科学发展的方案和措施。</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第十条 审议确定学院干部队伍建设、学科专业建设、师资队伍建设、科研工作、对外合作交流、实训基地及实验室建设、设备采购计划等方面的重要事项。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第十一条 研究人才培养方案（计划）的制（修）订、学期教学任务安排、教学质量的监控等教学运行、管理过程中的重要事项。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第十二条 研究人才引进、教职工调动、专业技术职务评聘、学术梯队建设和教职工考核与奖惩、外出进修、攻读学位、出国出境等重要事项。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第十三条 研究学院内设机构、岗位的设置、调整，研究教学、科研、管理、教辅人员的聘任等院内人事安排及科级干部考核、推荐、任免等，并按有关程序报相关部门、单位审批或备案。</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第十四条 研究决定各类先进集体、先进个人等的评选、推荐，对相关集体、个人的处分进行研究，提出意见。</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第十五条 研究学生教育管理、奖励处分、转学转专业、招生、毕业生就业、毕业生升学推荐等相关重要事项。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第十六条 研究审定学院年度财务预决算及大额度经费的使用、大宗物资设备采购计划、办学资源调配等重要财务、资产事项，研究学院创收提成及分配方案。</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第十七条 研究学院党建、思想政治教育、党风廉政建设、精神文明建设、统战工作、离退休工作、维稳工作、群团工作中的重要事项。</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第十八条 依据学校各项规定，研究决定学院重大改革方案和涉及学院师生员工切身利益的重要举措，制定、修订和废止学院教学、科研、管理等方面的重要制度和规定。</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第十九条 研究其它需要提交学院党政联席会议讨论决定的问题。</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第三章 议事原则</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第二十条 党政联席会议参加人员为学院院长、党总支书记、副院长、党总支副书记。根据讨论议题的需要，相关人员列席会议。</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第二十一条 党政联席会议的议题须经院长与党总支书记共同研究决定。</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第二十二条 党政联席会议根据议题内容或需要可由院长主持，也可由党总支书记主持。院长、党总支书记因故均不能参加会议时，党政联席会议一般不得召开。党政联席会议到会者不少于应到会人数的三分之二，会议有效。党政联席会议做出的决定，须经应到会半数以上成员通过方为有效。</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第二十三条 参加会议人员应自觉遵守会议制度，按时到会，因病、因事或其他特殊原因不能到会时，应事先向会议召集人请假。</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第二十四条 会议的通知、组织、记录等会务工作由学院安排专人负责。会议记录须存档备查。必要时应形成会议纪要，并通过适当方式在本院内公布和通报。</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第四章  会议程序</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第二十五条 会议议题的确定。学院党政联席会议的议题一般由院长、党总支书记根据工作需要与学院其他领导干部或相关同志提出，也可以由学院办公室主任提前向学院领导班子成员征集，或根据教职工和学生反映的问题提出建议，由学院院长、党总支书记共同商定。</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第二十六条 会前准备。凡拟提交学院党政联席会议审议的各项议题一般应有文字材料或具体方案，由分管领导负责组织有关同志做好准备。没有书面材料的议题、对所需解决的问题意见分歧较大的议题、分管领导意见不明确的议题、准备不充分的议题及临时动议，原则上不予讨论。</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第二十七条 会议的讨论决策。学院党政领导一般应出席会议；讨论干部任免、人事调配、人才引进、院内分配、奖惩、处理违纪行为等重大问题时，应有超过三分之二以上的应到会人员到会方能举行。讨论决定问题时，要坚持民主集中制原则，广泛听取与会人员意见，坚持少数服从多数、个人服从组织的原则。决定重大问题，会前要充分调查研究和论证，广泛听取各方面的意见，党政主要负责人要相互沟通，会上要在充分讨论的基础上进行表决。</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第二十八条 会议决议的形成。会议在决定多个重大问题，包括干部的推荐、提名，教职工人事调配、人才引进、院内分配、奖惩等事项时，应根据讨论事项的不同内容，可分别采取口头、举手、无记名投票或记名投票方式决策。对于所讨论的议题，明确持同意意见的成员超过应到会成员三分之二时方可形成会议决议。当意见分歧较大时，除紧急情况外，一般应暂缓作出决定，待进一步调查研究和沟通论证后，再作决定。如几经讨论仍不能形成统一意见，可向学校党委、行政报告，请求裁决。</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第二十九条 决定事项的公开。根据院务公开的要求可将党政联席会议决定的有关事项在一定范围或向全院师生公布。</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第三十条 会务工作。学院党政联席会议的会务工作由学院办公室负责。会议应有专人记录，决定事项应及时编发会议纪要并呈党总支书记、院长共同签发，送未到会的院领导签阅。会议的原始记录材料应归档，未经党总支书记或院长批准，不得查阅。</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第三十一条 会议决议的落实。经学院党政联席会议讨论通过、以学院名义上报或下发的文件，由院长、党总支书记共同签发。学院党政联席会议做出的决策，由学院领导按照工作分工组织落实。学院办公室负责督办工作，并及时向院长和党总支书记汇报执行、落实的情况。</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第三十二条 党政联席会议的议题根据有关规定，在会前、会后需提交教职工代表大会（民主管理大会）或其他会议讨论、审议通过的，按有关规定执行。</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第五章 会议纪律</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第三十三条 应出席会议的人员因故不能参加会议，须在会前请假。讨论决定重大问题时，由会议主持人事先征求缺席人员的意见，会后由会议主持人或由主持人委托其他与会人员向其通报情况。</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第三十四条 凡属重大事项必须经党政联席会议讨论决定。发现违反本制度的行为或接到检举、控告，认为需要查明事实、纠正错误、追究责任的，按照职责和权限，及时调查处理。</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第三十五条 对于党政联席会议作出的决定，全体成员应认真贯彻执行，分管院领导负责落实，并将实施情况或结果向党政联席会议报告。院长、党总支书记要做好指导协调工作。确需复议的，须由分管领导提出复议理由和建议，并征得三分之二以上领导班子成员的同意，报党政联席会议讨论决定。但在领导班子集体未做出新的决定前，应坚持执行原决定。</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第三十六条 党政联席会议与会人员要严格遵守组织纪律和保密制度，不得擅自扩散和泄露会议内容。在会议讨论问题时，领导班子成员要充分发表自己的意见，杜绝会上不说、会下乱说的自由主义现象。</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第三十七条 实行回避制度。学院党政联席会议讨论涉及与会成员本人及其亲属的事项时，本人须回避。</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第三十八条 与会人员如违反议事规则和会议纪律，应按照有关规定进行批评教育或追究其责任。</w:t>
      </w:r>
    </w:p>
    <w:p>
      <w:pPr>
        <w:pageBreakBefore w:val="0"/>
        <w:widowControl/>
        <w:kinsoku/>
        <w:wordWrap/>
        <w:overflowPunct/>
        <w:topLinePunct w:val="0"/>
        <w:autoSpaceDE/>
        <w:autoSpaceDN/>
        <w:bidi w:val="0"/>
        <w:spacing w:line="560" w:lineRule="exact"/>
        <w:ind w:firstLine="640" w:firstLineChars="200"/>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第三十九条 学校机关职能部门接受学院有关重要事项的报告，可根据情况要求学院一并呈报相关议题的党政联席会议记录。</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spacing w:line="560" w:lineRule="exact"/>
        <w:jc w:val="center"/>
        <w:outlineLvl w:val="9"/>
        <w:rPr>
          <w:rFonts w:hint="eastAsia" w:ascii="仿宋" w:hAnsi="仿宋" w:eastAsia="仿宋" w:cs="仿宋"/>
          <w:b/>
          <w:kern w:val="0"/>
          <w:sz w:val="32"/>
          <w:szCs w:val="32"/>
        </w:rPr>
      </w:pPr>
      <w:r>
        <w:rPr>
          <w:rFonts w:hint="eastAsia" w:ascii="仿宋" w:hAnsi="仿宋" w:eastAsia="仿宋" w:cs="仿宋"/>
          <w:b/>
          <w:kern w:val="0"/>
          <w:sz w:val="32"/>
          <w:szCs w:val="32"/>
        </w:rPr>
        <w:t>第六章 附 则</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第四十条 本制度适用于设党总支的学院及有关单位。其他部门、单位以领导班子会议作为最高决策形式，设有党政两个序列副处级职位的领导班子议事决策程序参照此制度规定执行。</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r>
        <w:rPr>
          <w:rFonts w:hint="eastAsia" w:ascii="仿宋" w:hAnsi="仿宋" w:eastAsia="仿宋" w:cs="仿宋"/>
          <w:kern w:val="0"/>
          <w:sz w:val="32"/>
          <w:szCs w:val="32"/>
        </w:rPr>
        <w:t xml:space="preserve">    第四十一条 本制度自发布之日起施行，过去有关规定与本制度不一致的，以本制度为准。</w:t>
      </w:r>
    </w:p>
    <w:p>
      <w:pPr>
        <w:pageBreakBefore w:val="0"/>
        <w:widowControl/>
        <w:kinsoku/>
        <w:wordWrap/>
        <w:overflowPunct/>
        <w:topLinePunct w:val="0"/>
        <w:autoSpaceDE/>
        <w:autoSpaceDN/>
        <w:bidi w:val="0"/>
        <w:spacing w:line="560" w:lineRule="exact"/>
        <w:jc w:val="left"/>
        <w:outlineLvl w:val="9"/>
        <w:rPr>
          <w:rFonts w:hint="eastAsia" w:ascii="仿宋" w:hAnsi="仿宋" w:eastAsia="仿宋" w:cs="仿宋"/>
          <w:kern w:val="0"/>
          <w:sz w:val="32"/>
          <w:szCs w:val="32"/>
        </w:rPr>
      </w:pP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5" w:name="_Toc30171"/>
      <w:bookmarkStart w:id="6" w:name="_Toc534377741"/>
      <w:bookmarkStart w:id="7" w:name="_Toc22109"/>
      <w:bookmarkStart w:id="8" w:name="_Toc495"/>
      <w:r>
        <w:rPr>
          <w:rFonts w:hint="eastAsia" w:ascii="黑体" w:hAnsi="黑体" w:eastAsia="黑体" w:cs="黑体"/>
          <w:color w:val="000000"/>
          <w:kern w:val="2"/>
          <w:sz w:val="36"/>
          <w:szCs w:val="36"/>
        </w:rPr>
        <w:t>柳州职业技术学院基层党组织考核办法（试行）</w:t>
      </w:r>
      <w:bookmarkEnd w:id="5"/>
      <w:bookmarkEnd w:id="6"/>
      <w:bookmarkEnd w:id="7"/>
      <w:bookmarkEnd w:id="8"/>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（柳职院党字〔2016〕28号）</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b/>
          <w:sz w:val="32"/>
          <w:szCs w:val="32"/>
        </w:rPr>
      </w:pP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充分发挥我校基层党组织在学校人才培养工作中的重要作用，以改革创新精神推动学校党的建设，促进党建工作进一步规范化、制度化和科学化，更好地发挥基层党组织的政治核心作用、战斗堡垒作用，根据《广西高校党建工作考核指标体系》，结合我校实际，制定本办法。</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一、考核的指导方针和基本原则</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（一）指导方针</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贯彻执行党的基本路线和教育方针，推进培育和践行社会主义核心价值观，培养高素质技能型人才，以维护学校的安全稳定，完成本部门教学、科研和管理服务任务的实际效果来检验基层党组织；以深入学习贯彻习近平总书记系列重要讲话精神，贯彻“创新、协调、绿色、开放、共享”五大发展理念，丰富和发展党组织的活动内容和工作方式；严格党内生活，严肃党的纪律，保证党员队伍的先进性和纯洁性，充分发挥基层党组织的政治核心作用、战斗堡垒作用。</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（二）基本原则</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 xml:space="preserve">1.着眼于基层党组织的全面建设，使基层党组织成为朝气蓬勃、能够带领广大教职员工在教学、科研、管理工作中开拓前进的战斗集体。 </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2.坚持以育人为目的，以教学、科研、服务为中心。结合教学、科研、服务等各项业务，确定党组织的工作思路，不断提高党员的政治素质和业务素质，促进本部门的教学、科研、管理等工作上质量、上水平。</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3.坚持从严治党，要严格制度，严格纪律，严格管理，增强党组织的凝聚力和战斗力。</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4.坚持继承与创新相结合，既要继承和发扬党组织建设方面的优良传统和成功经验，又要大胆实践，改革创新，改进和丰富支部活动内容和方式，增强基层党组织的生机和活力。</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5.坚持实事求是，各级党组织制定年度目标及任期目标要从实际出发，注重实效。</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二、考核内容</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对基层党组织的考核主要从党的思想建设（意识形态）、组织建设、作风建设、反腐倡廉建设、制度建设五个方面进行，设置了5项一级指标，16项二级指标和36 项考核要素。另设特色工作加分项，最高限加10分。总分值为105分。</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三、考核对象</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校内各基层党组织（各党总支部、直属党支部）</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四、考核要求、方式和程序</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1.考核要求</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基层党组织的建设关系到党的路线、方针、政策在学校的贯彻执行，关系到学校的人才培养和改革、发展。全校各级党组织应高度重视，加强领导，按照有关要求，大力加强基层党组织建设，认真对待考核工作。全体党员应提高认识，统一思想，积极参与这项工作，确保考核工作顺利进行，取得实效。全校性的基层党组织考核工作，每年进行一次。</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2.考核方式</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工作在校党委领导下进行，由党委组织部负责具体实施。从党委有关部门和党总支部抽调人员，组成考核小组，对基层党组织进行考核。考核采取听取汇报、召开座谈会、查阅有关资料、集中评分的方式进行。</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3.考核程序</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（1）考核前准备：各基层党组织认真组织党员学习，领会文件精神，明确考核工作的意义、内容和要求。</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（2）基层党组织自查自评：各基层党组织根据考核标准进行自查自评，全面进行工作总结，撰写总结报告，整理相关材料。各基层党组织要召开党员大会，向全体党员报告自评情况，工作报告要获得大会通过。</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组织考核：考核小组以适当形式分别召开党内外人员座谈会，查阅工作计划和总结，查阅党员发展、教育、管理工作等各方面的材料，查阅党员学习、活动记录和考勤情况，听取工作汇报。考核小组成员在进行综合分析的基础上，根据考核标准分别评分。考核小组填写考核结果汇总表，撰写考核工作总结，上报学校党委，由学校党委会研究决定各基层党组织的考核等级。考核等级一般分为优秀、良好、合格、不合格。</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4.一票否决</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考核时间段内发生意识形态及安全稳定责任事故或有党员受到党纪政纪处分的基层党组织，不能评为优秀。</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5.具体方案由学校党委组织部制订</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四、考核结果的应用</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考核结果将通过一定的形式公布，并作为考察各基层党组织工作绩效的重要内容，作为对基层党组织奖惩及干部调整、使用的重要依据。</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结果反馈由党委组织部向各基层党组织反馈，并提出整改建议和要求。各基层党组织召开支委会或全体党员大会，根据反馈的考核结果和整改建议，结合自身实际，认真进行总结，找出不足，理清原因，制定出切实有效的整改措施并落实到位。</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五、本办法由学校党委组织部负责解释，从公布之日起施行。</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9" w:name="_Toc19678"/>
      <w:bookmarkStart w:id="10" w:name="_Toc21209"/>
      <w:bookmarkStart w:id="11" w:name="_Toc30383"/>
      <w:bookmarkStart w:id="12" w:name="_Toc534377742"/>
      <w:r>
        <w:rPr>
          <w:rFonts w:hint="eastAsia" w:ascii="黑体" w:hAnsi="黑体" w:eastAsia="黑体" w:cs="黑体"/>
          <w:color w:val="000000"/>
          <w:kern w:val="2"/>
          <w:sz w:val="36"/>
          <w:szCs w:val="36"/>
        </w:rPr>
        <w:t>柳州职业技术学院从严管理干部实施办法（试行）</w:t>
      </w:r>
      <w:bookmarkEnd w:id="9"/>
      <w:bookmarkEnd w:id="10"/>
      <w:bookmarkEnd w:id="11"/>
      <w:bookmarkEnd w:id="12"/>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（柳职院党字〔2016〕29号）</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b/>
          <w:sz w:val="32"/>
          <w:szCs w:val="32"/>
        </w:rPr>
      </w:pP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第一章  总 则</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第一条</w:t>
      </w:r>
      <w:r>
        <w:rPr>
          <w:rFonts w:hint="eastAsia" w:ascii="仿宋" w:hAnsi="仿宋" w:eastAsia="仿宋" w:cs="仿宋"/>
          <w:sz w:val="32"/>
          <w:szCs w:val="32"/>
        </w:rPr>
        <w:t xml:space="preserve">  为进一步贯彻党要管党、从严治党的方针，切实加强干部的教育、管理和监督，提高领导班子和干部队伍的责任感、执行力，保证学校各项决策和工作部署的推进落实，为学校改革发展提供坚强的组织保证和人才支撑，根据中共中央办公厅《关于进一步从严管理干部的意见》和中共中央印发的《中国共产党廉洁自律准则》、《中国共产党纪律处分条例》、《中国共产党党内监督条例》、《中国共产党问责条例》等有关文件精神和上级组织有关规定，结合我校干部队伍实际，制定本实施办法。</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从严管理干部应该坚持以下原则：</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（一）党管干部的原则；</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（二）正面教育、事前监督的原则；</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（三）严格要求和关心爱护相结合的原则；</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（四）强化预防、及时发现、严肃处理的原则。</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第三条 </w:t>
      </w:r>
      <w:r>
        <w:rPr>
          <w:rFonts w:hint="eastAsia" w:ascii="仿宋" w:hAnsi="仿宋" w:eastAsia="仿宋" w:cs="仿宋"/>
          <w:sz w:val="32"/>
          <w:szCs w:val="32"/>
        </w:rPr>
        <w:t xml:space="preserve"> 本办法适用于学校党委管理的中层干部。学校内设的其他干部的管理，参照本办法执行。</w:t>
      </w: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第二章  学习、培训和教育引导</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加强思想政治建设，促进干部党性修养和作风养成。坚定理想信念，树立和弘扬党的优良作风，坚持用党纪党规、法律法规、校纪校规严格规范干部的言行。坚持用中国特色社会主义理论体系武装干部头脑、指导实践、推动工作。积极开展学习型党组织和学习型领导班子创建活动，采取专题调研、专题培训、集体研讨、案例分析等方式，组织干部深入学习掌握中国特色社会主义理论体系，努力形成讲党性、重原则、顾大局、干事业的良好风气。</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第五条  </w:t>
      </w:r>
      <w:r>
        <w:rPr>
          <w:rFonts w:hint="eastAsia" w:ascii="仿宋" w:hAnsi="仿宋" w:eastAsia="仿宋" w:cs="仿宋"/>
          <w:sz w:val="32"/>
          <w:szCs w:val="32"/>
        </w:rPr>
        <w:t>完善干部学习制度，推行干部学习制度化、常态化。学校各总支、支部要建立健全本部门干部的集中学习、调研考察、经验交流等制度，在干部中形成勤奋学习、善于思考的风气，帮助干部增强理论联系实际、解决复杂问题的能力，提高服务发展、服务师生、处理突发事件等能力。党委宣传部要通过组织专题报告、理论宣讲团、理论研讨会、印发学习资料等方式加强学习指导。</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完善干部培训机制，构建全方位、多角度的培训体系。党委组织部要每年制定干部培训计划，以增强党的理论和党性修养、提高创新和服务意识、提升领导力和执行力为重点，综合运用组织调训、集中培训、自主选学、境外培训、在线学习、考察调研等方式，加强干部培训工作，促进干部能力素质的全面提升。坚持对干部开展理想信念教育、革命传统教育、党史教育、校史校风教育、党性党风党纪教育等活动，引导干部严格遵守党的政治纪律、组织纪律和领导干部廉洁从政的各项规定。</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完善干部深入基层、联系师生制度，树立为人民服务的宗旨意识。各二级党组织要建立领导干部基层联系点、干部联系学生寝室、干部与困难师生结对帮扶、干部接访走访、专题调研等制度，促进干部工作重心下移，促进干部深入基层、服务师生。</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严格执行干部谈心谈话和诫勉谈话制度。</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（一）任职谈话。对提拔或调整的干部，由相关校领导对其进行任职谈话，把贯彻执行民主集中制、廉政勤政方面的要求作为重要谈话内容，如实反馈考察结果、提出工作建议。</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（二）日常谈话。校领导班子成员每年与分管或联系单位的党政主要负责人谈话；校党委组织部根据需要与中层干部进行谈心谈话。</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诫勉谈话。当干部在年度考核中被认定为基本称职、民主测评群众满意度偏低，组织上发现干部在政治思想、履行职责、工作作风、道德品质、廉政勤政、选人用人或学术道德等方面存在苗头性问题，由校领导班子成员对其进行诫勉谈话，开展批评教育，促使其尽快整改。</w:t>
      </w: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第三章  管理和监督</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严格执行民主集中制。各总支和支部要按照“三重一大”制度的要求，健全内部决策和监督制度，坚持重要事项重大问题集体讨论决定。各二级学院要认真贯彻学校党政联席会议制度，进一步完善议事规则和决策程序，凡属学院工作中的重大事项和重要问题，必须由党政联席会议讨论决定。要健全集体领导和个人分工负责相结合的制度，班子成员要相互支持、团结协作、敢于负责，形成推动工作的强大合力。</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校纪委、党委组织部要加强对二级学院执行党政联席会议制度的检查指导，对于干部违反民主集中制，不遵守、不执行集体决策，自行其是，或不按工作分工履行职责，给工作造成损失的，要认真调查核实，提出整改意见或干部调整意见。</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xml:space="preserve">  严格落实民主生活会。各二级党组织要严格按照上级党组织和学校党委要求，召开好一年一次的党员领导干部民主生活会和根据需要召开的专题民主生活会，非中共党员领导干部和非领导职务干部应列席会议。为提高会议质量，会前要广泛征求意见，干部要深入交心谈心；会上要突出主题、认真开展批评和自我批评、找准突出问题、明确整改方向；会后要做好会议情况通报，抓好整改落实。校领导班子成员要根据工作分工和联系制度的安排，参加二级党组织民主生活会进行指导。校纪委、党委组织部要派员列席民主生活会，及时全面了解班子及成员相关情况。</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xml:space="preserve">  严格执行重要情况报告和个人有关事项报告制度。</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（一）各二级党组织应及时向校党委及相关部门报告下列情况：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1.干部严重违反上级党组织和学校党委重要决策和部署的；</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2.干部发生失踪、出国（境）逾期不归等情况的；</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3.干部涉嫌违反法律法规、校纪校规并造成重大社会影响的；</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4.发生影响稳定的重要情况、突发事件或网络涉稳事件的；</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5.其他涉及中层干部的重要情况。</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（二）按照中共中央办公厅、国务院办公厅《关于领导干部报告个人有关事项的规定》的要求，按规定向校党委组织部集中报告本人的有关事项。</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（三）各二级党组织应结合民主生活会、年度考核、换届考察等，督促干部对照《中国共产党廉洁自律准则》进行检查和报告。</w:t>
      </w:r>
    </w:p>
    <w:p>
      <w:pPr>
        <w:pageBreakBefore w:val="0"/>
        <w:kinsoku/>
        <w:wordWrap/>
        <w:overflowPunct/>
        <w:topLinePunct w:val="0"/>
        <w:autoSpaceDE/>
        <w:autoSpaceDN/>
        <w:bidi w:val="0"/>
        <w:spacing w:line="59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xml:space="preserve">  严格工作纪律。中层干部须将主要精力用于管理工作。“双肩挑”干部要合理安排所承担的教学和科研工作，坚持到岗，保证履行岗位职责，每周工作时间承担教学任务一般平均不超过4课时，确有特殊情况，需承担更多教学任务的，须经学校同意。</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第十三条 </w:t>
      </w:r>
      <w:r>
        <w:rPr>
          <w:rFonts w:hint="eastAsia" w:ascii="仿宋" w:hAnsi="仿宋" w:eastAsia="仿宋" w:cs="仿宋"/>
          <w:sz w:val="32"/>
          <w:szCs w:val="32"/>
        </w:rPr>
        <w:t xml:space="preserve"> 严格会议考勤制度。校党委、校行政召开的中层干部参加的会议，由党委办公室、校长办公室会同党委组织部进行考勤；专项工作会议由会议主办部门进行考勤。中层干部因故不能参加会议，要在会前向负责召集会议的主办部门请假。会议结束后，考勤负责部门应及时将会议考勤表送交党委组织部，并作为干部考核的重要依据。</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第十四条 </w:t>
      </w:r>
      <w:r>
        <w:rPr>
          <w:rFonts w:hint="eastAsia" w:ascii="仿宋" w:hAnsi="仿宋" w:eastAsia="仿宋" w:cs="仿宋"/>
          <w:sz w:val="32"/>
          <w:szCs w:val="32"/>
        </w:rPr>
        <w:t xml:space="preserve"> 严格干部外出管理。</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实行干部外出请假、销假制度。干部在工作时间因公、因私离岗（离开办公所在城市），在国内出差、开会、考察、探亲、看病等短期外出，须按干部管理权限履行请假、销假手续。法定婚、丧、产假以及1个月以上病假，除履行人事处相关手续外，须提前报党委办公室备案。</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中层正职（含主持工作的副职）在工作日内，离开学校半天以上（含半天）1天以内的，需向分管校领导口头请假，外出1天以上的，需办理请假审批手续，经分管或联系校领导同意，报党委办公室备案。</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中层副职干部在工作日内，离开学校半天以上（含半天）1天以内的，需向部门正职领导口头请假，外出1天以上、3天以内的，需办理请假审批手续，经分管或联系校领导同意，报党委办公室备案；请假3天以上的，应由部门正职领导签注意见，经分管或联系校领导同意，报党委办公室备案。</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遇分管校领导外出，应向学校主要领导请假。</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中层干部经准假外出前应将自己的去向和联系方式告知本部门，保持信息畅通。外出返回后，应及时向分管领导和学院党委办公室销假。</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中层干部外出期间，均需事先明确本部门内工作授权人，安排好本职工作，保证工作正常运转。</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对不履行请假手续私自外出的，按旷工对待，并视情况给予批评教育或通报批评，累计出现3次的进行诫勉谈话，对经提醒仍不予改正的视情节轻重做出相应组织处理。</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二级学院党政主要负责人、行政教辅管理部门正副职一般不得同时请假。</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中层干部进修、培训、访学或攻读学位需按管理权限进行审批，按职能部门相关程序办理。中层正职（含主持工作副职）干部须分管或联系校领导同意，由党委组织部报请学校主要领导批准。中层副职干部须所在部门主要负责人同意，由分管或联系校领导批准。</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中层干部攻读学位一般要求非脱产，确因特殊情况需脱产学习的，须经校党委会研究同意，但脱产时间一般不超过一年。新提拔任职的中层干部，任职第一年内原则上不得外出脱产学习、进修、访学等。</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三）严格干部因公（私）出国（境）管理。中层干部因公因私出国（境），须按照学校有关规定办理出国（境）审批手续。对因公出国（境）擅自变更线路、延长期限造成不良影响或经济损失的，要严格依照有关规定对当事人进行处理。加强出国（境）证照管理，副处级以上干部的出国（境）证照必须交人事管理部门保管。</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第十五条</w:t>
      </w:r>
      <w:r>
        <w:rPr>
          <w:rFonts w:hint="eastAsia" w:ascii="仿宋" w:hAnsi="仿宋" w:eastAsia="仿宋" w:cs="仿宋"/>
          <w:sz w:val="32"/>
          <w:szCs w:val="32"/>
        </w:rPr>
        <w:t xml:space="preserve">  严格执行中层干部经济责任审计制度。建立经济责任审计分类管理制度，任中审计和离任（任期）审计相结合，对负有主要经济责任的部门负责人，坚持进行离任（任期）经济责任审计，加快推进任中经济责任审计。</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第十六条</w:t>
      </w:r>
      <w:r>
        <w:rPr>
          <w:rFonts w:hint="eastAsia" w:ascii="仿宋" w:hAnsi="仿宋" w:eastAsia="仿宋" w:cs="仿宋"/>
          <w:sz w:val="32"/>
          <w:szCs w:val="32"/>
        </w:rPr>
        <w:t xml:space="preserve">  严格规范干部兼职兼课行为。中层干部不准违反规定在校内外经济实体中兼职或兼职取酬，以及从事有偿中介活动。确因工作需要兼职的，须报学校党委审核批准。现职干部工作时间未经批准不得到校外兼职兼课。</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第十七条</w:t>
      </w:r>
      <w:r>
        <w:rPr>
          <w:rFonts w:hint="eastAsia" w:ascii="仿宋" w:hAnsi="仿宋" w:eastAsia="仿宋" w:cs="仿宋"/>
          <w:sz w:val="32"/>
          <w:szCs w:val="32"/>
        </w:rPr>
        <w:t xml:space="preserve">  严格执行中层干部职务任期制和干部轮岗交流制度。</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（一）对中层领导班子和领导干部按时进行换届，促进干部队伍的结构优化，激发干部队伍活力。健全干部正常退出机制，到达法定退休年龄的干部应按时退出行政领导岗位。</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坚持做好干部轮岗交流工作，积极加强机关与学院、党务与行政、机关部门之间、学院之间的干部交流，积极推荐干部到校外任职。对人财物等权力集中的重点部门和单位的主要负责人，要加强教育和管理，定期进行轮岗交流。</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三）严格做好干部离任交接制度。宣布干部职务任免决定后，离任干部与接任干部一般应在5个工作日内完成工作交接。工作交接的主要内容包括：整体工作、财务资产、人事、文档等。具体按《柳州职业技术学院中层任职交接管理暂行办法》执行。</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第十八条</w:t>
      </w:r>
      <w:r>
        <w:rPr>
          <w:rFonts w:hint="eastAsia" w:ascii="仿宋" w:hAnsi="仿宋" w:eastAsia="仿宋" w:cs="仿宋"/>
          <w:sz w:val="32"/>
          <w:szCs w:val="32"/>
        </w:rPr>
        <w:t xml:space="preserve">  健全干部监督机制，形成监督工作合力。</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加强组织监督。落实干部选拔任用“四项监督制度”和干部选拔任用责任追究制度。校党委每年在述职述廉时报告年度干部选拔任用工作情况，并在一定范围内接受对干部选拔任用工作和新选拔任用领导干部的民主评议（简称“一报告两评议”）。坚持在干部考察中，党委组织部书面征求学校纪检部门意见。</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加强群众监督。党委组织部负责做好考察预告、民主测评、考察谈话、任前公示、任前谈话等工作，发挥教代会和党代表的作用，落实群众对干部工作的知情权、参与权、表达权、监督权。校纪委、党委组织部完善干部监督机制，做好群众来信来访受理和举报调查工作。</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第十九条 </w:t>
      </w:r>
      <w:r>
        <w:rPr>
          <w:rFonts w:hint="eastAsia" w:ascii="仿宋" w:hAnsi="仿宋" w:eastAsia="仿宋" w:cs="仿宋"/>
          <w:sz w:val="32"/>
          <w:szCs w:val="32"/>
        </w:rPr>
        <w:t xml:space="preserve"> 建立健全干部关爱机制。坚持从严要求和关心爱护相结合，对干部做到政治关怀、工作关心、身心关注。各二级党组织要及时掌握干部的工作情况及思想动态，关注干部的身心健康，干部因病住院或家庭发生重大变故等情况的，要及时向校党委和组织部报告。干部遇到较大挫折时，分管或联系校领导要及时谈话进行疏导，帮助缓解压力、稳定思想。</w:t>
      </w: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第四章  考核、问责和组织处理</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第二十条</w:t>
      </w:r>
      <w:r>
        <w:rPr>
          <w:rFonts w:hint="eastAsia" w:ascii="仿宋" w:hAnsi="仿宋" w:eastAsia="仿宋" w:cs="仿宋"/>
          <w:sz w:val="32"/>
          <w:szCs w:val="32"/>
        </w:rPr>
        <w:t xml:space="preserve">  发挥考核对干部的导向、激励和约束作用。党委组织部要根据不同层次、不同类型干部特点，制定符合学校科学发展要求和岗位特点的考核办法，加强对干部的平时考核、专项考核、年度考核和任职考察，综合运用实绩分析、满意度测评、民意调查等多种方法，注重听取师生反映与评价，进行综合分析，切实提高考察考核的准确性和全面性。强化考核结果运用，作为干部选拔任用、培养教育、管理监督和激励约束的重要依据。完善考核结果反馈制度，考核结果向干部所在党组织和干部本人反馈，使考核结果与改进工作有机结合起来。</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第二十一条</w:t>
      </w:r>
      <w:r>
        <w:rPr>
          <w:rFonts w:hint="eastAsia" w:ascii="仿宋" w:hAnsi="仿宋" w:eastAsia="仿宋" w:cs="仿宋"/>
          <w:sz w:val="32"/>
          <w:szCs w:val="32"/>
        </w:rPr>
        <w:t xml:space="preserve">  建立健全责任追究制度，对失职渎职干部严肃问责。根据《中国共产党问责条例》和上级组织有关规定，对出现决策失误、工作失职、管理监督不力、滥用职权、群体性或突发事件处置失当等情况造成重大损失和恶劣影响的，以及作风懒散、业绩平庸等行为，由校纪委、党委组织部根据管理权限提出建议，对中层干部实行问责。问责方式包括：责令公开道歉、停职检查、引咎辞职、责令辞职、免职等。</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第二十二条</w:t>
      </w:r>
      <w:r>
        <w:rPr>
          <w:rFonts w:hint="eastAsia" w:ascii="仿宋" w:hAnsi="仿宋" w:eastAsia="仿宋" w:cs="仿宋"/>
          <w:sz w:val="32"/>
          <w:szCs w:val="32"/>
        </w:rPr>
        <w:t xml:space="preserve">  健全决策督办工作机制，提高干部执行力。对贯彻落实上级决策部署不力、落实学校重大决定不到位、办事效率不高、履行职责缺失，造成损失或不良影响的中层干部，视情节轻重，进行批评教育或组织处理。</w:t>
      </w: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第五章  组织领导和责任分解</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第二十三条</w:t>
      </w:r>
      <w:r>
        <w:rPr>
          <w:rFonts w:hint="eastAsia" w:ascii="仿宋" w:hAnsi="仿宋" w:eastAsia="仿宋" w:cs="仿宋"/>
          <w:sz w:val="32"/>
          <w:szCs w:val="32"/>
        </w:rPr>
        <w:t xml:space="preserve">  落实从严管理干部的政治责任。各级党组织要自觉担负起从严管理干部的政治责任，强化对干部的日常管理监督，将干部管理工作作为一项经常性、基础性的重要工作，贯穿于班子建设和学校发展的全过程。要按照分级管理和谁主管、谁负责的原则，实行从严管理干部责任制，一级抓一级，一级带一级。要坚持讲党性，勇于批评和制止干部的不良倾向，营造敢于坚持党性原则的良好氛围。</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第二十四条</w:t>
      </w:r>
      <w:r>
        <w:rPr>
          <w:rFonts w:hint="eastAsia" w:ascii="仿宋" w:hAnsi="仿宋" w:eastAsia="仿宋" w:cs="仿宋"/>
          <w:sz w:val="32"/>
          <w:szCs w:val="32"/>
        </w:rPr>
        <w:t xml:space="preserve">  切实履行从严管理干部职能。党委组织部要建立干部队伍状况定期分析制度，结合民主生活会情况、年度考核情况等定期向校党委汇报中层领导班子和领导干部的现实表现状况。要对班子建设和干部队伍建设形成准确判断，向校党委提出干部任用、调整及处理建议。纪委办公室要定期向校纪委汇报中层领导班子和领导干部履行党风廉政建设责任和廉洁自律、廉洁从政状况，研究制定解决问题的办法和措施。要不断总结新时期干部管理工作的规律，创新制度机制，改进办法措施，努力提高从严管理监督干部的工作水平。</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第二十五条</w:t>
      </w:r>
      <w:r>
        <w:rPr>
          <w:rFonts w:hint="eastAsia" w:ascii="仿宋" w:hAnsi="仿宋" w:eastAsia="仿宋" w:cs="仿宋"/>
          <w:sz w:val="32"/>
          <w:szCs w:val="32"/>
        </w:rPr>
        <w:t xml:space="preserve">  建立健全干部管理责任追究制度。要根据集体领导与个人分工负责相结合的原则，按照干部管理权限，进一步明确干部提名、推荐、决策、管理等各个环节的责任主体和责任内容，逐级建立从严管理干部责任制。对用人失察、失误，疏于管理监督，班子成员或分管人员连续多次违纪违规的，不仅要追究当事人责任，还要追究相关领导和干部管理部门的责任。</w:t>
      </w:r>
    </w:p>
    <w:p>
      <w:pPr>
        <w:pageBreakBefore w:val="0"/>
        <w:kinsoku/>
        <w:wordWrap/>
        <w:overflowPunct/>
        <w:topLinePunct w:val="0"/>
        <w:autoSpaceDE/>
        <w:autoSpaceDN/>
        <w:bidi w:val="0"/>
        <w:spacing w:line="590" w:lineRule="exact"/>
        <w:ind w:firstLine="643" w:firstLineChars="200"/>
        <w:jc w:val="center"/>
        <w:outlineLvl w:val="9"/>
        <w:rPr>
          <w:rFonts w:hint="eastAsia" w:ascii="仿宋" w:hAnsi="仿宋" w:eastAsia="仿宋" w:cs="仿宋"/>
          <w:b/>
          <w:sz w:val="32"/>
          <w:szCs w:val="32"/>
        </w:rPr>
      </w:pPr>
      <w:r>
        <w:rPr>
          <w:rFonts w:hint="eastAsia" w:ascii="仿宋" w:hAnsi="仿宋" w:eastAsia="仿宋" w:cs="仿宋"/>
          <w:b/>
          <w:sz w:val="32"/>
          <w:szCs w:val="32"/>
        </w:rPr>
        <w:t>第六章  附  则</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第二十六条</w:t>
      </w:r>
      <w:r>
        <w:rPr>
          <w:rFonts w:hint="eastAsia" w:ascii="仿宋" w:hAnsi="仿宋" w:eastAsia="仿宋" w:cs="仿宋"/>
          <w:sz w:val="32"/>
          <w:szCs w:val="32"/>
        </w:rPr>
        <w:t xml:space="preserve">  本办法由学校党委组织部负责解释，自发布之日起施行。</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3" w:name="_Toc25980"/>
      <w:bookmarkStart w:id="14" w:name="_Toc5838"/>
      <w:bookmarkStart w:id="15" w:name="_Toc534377743"/>
      <w:bookmarkStart w:id="16" w:name="_Toc449"/>
      <w:r>
        <w:rPr>
          <w:rFonts w:hint="eastAsia" w:ascii="黑体" w:hAnsi="黑体" w:eastAsia="黑体" w:cs="黑体"/>
          <w:color w:val="000000"/>
          <w:kern w:val="2"/>
          <w:sz w:val="36"/>
          <w:szCs w:val="36"/>
        </w:rPr>
        <w:t>柳州职业技术学院宣传思想阵地管理办法（试行）</w:t>
      </w:r>
      <w:bookmarkEnd w:id="13"/>
      <w:bookmarkEnd w:id="14"/>
      <w:bookmarkEnd w:id="15"/>
      <w:bookmarkEnd w:id="16"/>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（柳职院党字〔2016〕31号）</w:t>
      </w:r>
    </w:p>
    <w:p>
      <w:pPr>
        <w:pageBreakBefore w:val="0"/>
        <w:kinsoku/>
        <w:wordWrap/>
        <w:overflowPunct/>
        <w:topLinePunct w:val="0"/>
        <w:autoSpaceDE/>
        <w:autoSpaceDN/>
        <w:bidi w:val="0"/>
        <w:spacing w:line="580" w:lineRule="exact"/>
        <w:ind w:firstLine="672" w:firstLineChars="200"/>
        <w:outlineLvl w:val="9"/>
        <w:rPr>
          <w:rFonts w:hint="eastAsia" w:ascii="仿宋" w:hAnsi="仿宋" w:eastAsia="仿宋" w:cs="仿宋"/>
          <w:spacing w:val="8"/>
          <w:sz w:val="32"/>
          <w:szCs w:val="32"/>
        </w:rPr>
      </w:pPr>
    </w:p>
    <w:p>
      <w:pPr>
        <w:pageBreakBefore w:val="0"/>
        <w:kinsoku/>
        <w:wordWrap/>
        <w:overflowPunct/>
        <w:topLinePunct w:val="0"/>
        <w:autoSpaceDE/>
        <w:autoSpaceDN/>
        <w:bidi w:val="0"/>
        <w:spacing w:line="54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第一章  总 则</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第一条</w:t>
      </w:r>
      <w:r>
        <w:rPr>
          <w:rFonts w:hint="eastAsia" w:ascii="仿宋" w:hAnsi="仿宋" w:eastAsia="仿宋" w:cs="仿宋"/>
          <w:spacing w:val="8"/>
          <w:sz w:val="32"/>
          <w:szCs w:val="32"/>
        </w:rPr>
        <w:t xml:space="preserve">  为加强宣传思想阵地管理，努力构建教书育人、管理育人、服务育人长效机制，根据中央办公厅国务院办公厅《关于进一步加强和改进新形势下高校宣传思想工作的意见》等有关文件精神和上级有关规定，结合学校实际，制定本实施办法。</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第二条</w:t>
      </w:r>
      <w:r>
        <w:rPr>
          <w:rFonts w:hint="eastAsia" w:ascii="仿宋" w:hAnsi="仿宋" w:eastAsia="仿宋" w:cs="仿宋"/>
          <w:spacing w:val="8"/>
          <w:sz w:val="32"/>
          <w:szCs w:val="32"/>
        </w:rPr>
        <w:t xml:space="preserve"> 学校肩负着学习研究宣传马克思主义，培育和弘扬社会主义核心价值观，为实现中华民族伟大复兴的中国梦提供人才保障和智力支持的重要任务。做好宣传思想工作，加强学校宣传思想阵地建设，是一项战略工程、固本工程、铸魂工程，要做到守土有责、守土负责、守土尽责。</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第三条</w:t>
      </w:r>
      <w:r>
        <w:rPr>
          <w:rFonts w:hint="eastAsia" w:ascii="仿宋" w:hAnsi="仿宋" w:eastAsia="仿宋" w:cs="仿宋"/>
          <w:spacing w:val="8"/>
          <w:sz w:val="32"/>
          <w:szCs w:val="32"/>
        </w:rPr>
        <w:t xml:space="preserve">  本办法适用于学校各部门。</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第二章  管理监督</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第四条</w:t>
      </w:r>
      <w:r>
        <w:rPr>
          <w:rFonts w:hint="eastAsia" w:ascii="仿宋" w:hAnsi="仿宋" w:eastAsia="仿宋" w:cs="仿宋"/>
          <w:spacing w:val="8"/>
          <w:sz w:val="32"/>
          <w:szCs w:val="32"/>
        </w:rPr>
        <w:t xml:space="preserve"> 党委宣传部负责全校宣传思想阵地的统筹规划和统一管理。各部门按照学校统一要求，负责本部门宣传思想阵地的规划和管理。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第五条</w:t>
      </w:r>
      <w:r>
        <w:rPr>
          <w:rFonts w:hint="eastAsia" w:ascii="仿宋" w:hAnsi="仿宋" w:eastAsia="仿宋" w:cs="仿宋"/>
          <w:spacing w:val="8"/>
          <w:sz w:val="32"/>
          <w:szCs w:val="32"/>
        </w:rPr>
        <w:t xml:space="preserve"> 宣传思想阵地的建设部门是管理的责任主体，部门主要负责人是第一责任人。宣传思想阵地要按照“谁建设、谁负责，谁主管、谁负责”的原则，在有效管理的前提下，有序推进建设和使用。</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第三章 报告会、研讨会、讲座、论坛的管理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第六条</w:t>
      </w:r>
      <w:r>
        <w:rPr>
          <w:rFonts w:hint="eastAsia" w:ascii="仿宋" w:hAnsi="仿宋" w:eastAsia="仿宋" w:cs="仿宋"/>
          <w:spacing w:val="8"/>
          <w:sz w:val="32"/>
          <w:szCs w:val="32"/>
        </w:rPr>
        <w:t xml:space="preserve">  校内举办报告会、研讨会、讲座、论坛等活动，必须遵守国家的法律法规和学校的规章制度；必须有利于宣传科学理论、促进学术交流、传播先进文化、塑造美好心灵、弘扬社会正气，有利于人才培养、科学研究和社会服务，不得举办违法、违纪、违规的活动。</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第七条</w:t>
      </w:r>
      <w:r>
        <w:rPr>
          <w:rFonts w:hint="eastAsia" w:ascii="仿宋" w:hAnsi="仿宋" w:eastAsia="仿宋" w:cs="仿宋"/>
          <w:spacing w:val="8"/>
          <w:sz w:val="32"/>
          <w:szCs w:val="32"/>
        </w:rPr>
        <w:t xml:space="preserve">  校内举办报告会、研讨会、讲座、论坛等活动的举办主体必须是学校批准设立的学院、部门或学生会、学生班级、学生社团等，不得以个人名义举办上述活动。坚持分类指导，建立审批制度，实行归口管理。各部门、二级学院举办的报告会、研讨会、讲座、论坛等须向党委宣传部审批报备；学生会、学生班级、学生社团举办的报告会、研讨会、讲座、论坛等须由学生工作部或校团委审批，向党委宣传部报备。</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第八条</w:t>
      </w:r>
      <w:r>
        <w:rPr>
          <w:rFonts w:hint="eastAsia" w:ascii="仿宋" w:hAnsi="仿宋" w:eastAsia="仿宋" w:cs="仿宋"/>
          <w:spacing w:val="8"/>
          <w:sz w:val="32"/>
          <w:szCs w:val="32"/>
        </w:rPr>
        <w:t xml:space="preserve">  不允许在校内举办商品促销类报告、演讲活动。</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第九条</w:t>
      </w:r>
      <w:r>
        <w:rPr>
          <w:rFonts w:hint="eastAsia" w:ascii="仿宋" w:hAnsi="仿宋" w:eastAsia="仿宋" w:cs="仿宋"/>
          <w:spacing w:val="8"/>
          <w:sz w:val="32"/>
          <w:szCs w:val="32"/>
        </w:rPr>
        <w:t xml:space="preserve">  校外单位借用学校和各学院、部门所属的场所举办各类报告会、研讨会、讲座、论坛等活动，由党委宣传部审批，保卫处备案。</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第十条</w:t>
      </w:r>
      <w:r>
        <w:rPr>
          <w:rFonts w:hint="eastAsia" w:ascii="仿宋" w:hAnsi="仿宋" w:eastAsia="仿宋" w:cs="仿宋"/>
          <w:spacing w:val="8"/>
          <w:sz w:val="32"/>
          <w:szCs w:val="32"/>
        </w:rPr>
        <w:t xml:space="preserve">  各类报告会、研讨会、讲座、论坛需有现场主持人，主持人一般为举办部门的负责人。</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第十一条</w:t>
      </w:r>
      <w:r>
        <w:rPr>
          <w:rFonts w:hint="eastAsia" w:ascii="仿宋" w:hAnsi="仿宋" w:eastAsia="仿宋" w:cs="仿宋"/>
          <w:spacing w:val="8"/>
          <w:sz w:val="32"/>
          <w:szCs w:val="32"/>
        </w:rPr>
        <w:t xml:space="preserve">  举办报告会、研讨会、讲座、论坛实行一会一报制。主办部门原则上须提前一周，申请网上流程，填写《柳州职业技术学院报告会、研讨会、讲座、论坛申报表》，报党委宣传部审批备案后方可举行。</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第十二条</w:t>
      </w:r>
      <w:r>
        <w:rPr>
          <w:rFonts w:hint="eastAsia" w:ascii="仿宋" w:hAnsi="仿宋" w:eastAsia="仿宋" w:cs="仿宋"/>
          <w:spacing w:val="8"/>
          <w:sz w:val="32"/>
          <w:szCs w:val="32"/>
        </w:rPr>
        <w:t xml:space="preserve">  举办报告会、研讨会、讲座、论坛的部门的主要负责人是第一责任人，要加强责任意识，保持高度的政治敏锐性，切实履行对举办报告会、研讨会、讲座、论坛的管理职责。在活动进行过程中，如发现报告人的报告内容有意识形态领域问题，主办部门要及时制止并消除不良影响，同时及时向分管领导和党委宣传部报告情况。举办报告会、研讨会、讲座、论坛等活动，举办部门应有明确的安全措施，并有人员负责会场的安全工作。</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第十三条</w:t>
      </w:r>
      <w:r>
        <w:rPr>
          <w:rFonts w:hint="eastAsia" w:ascii="仿宋" w:hAnsi="仿宋" w:eastAsia="仿宋" w:cs="仿宋"/>
          <w:spacing w:val="8"/>
          <w:sz w:val="32"/>
          <w:szCs w:val="32"/>
        </w:rPr>
        <w:t xml:space="preserve">  邀请境外人员担任报告会、研讨会、讲座报告人，要严格按照《中共中央办公厅国务院办公厅印发&lt;关于在华举办国际会议的管理办法&gt;的通知》（中办发[2006]10号）的精神和《教育部关于印发&lt;关于在华举办国际会议管理办法的实施细则&gt;（试行）的通知》（教外际[2006]105号）的规定执行，报相关单位审批。未经批准一律不得举办。</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第四章  学校新闻网的管理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第十四条</w:t>
      </w:r>
      <w:r>
        <w:rPr>
          <w:rFonts w:hint="eastAsia" w:ascii="仿宋" w:hAnsi="仿宋" w:eastAsia="仿宋" w:cs="仿宋"/>
          <w:spacing w:val="8"/>
          <w:sz w:val="32"/>
          <w:szCs w:val="32"/>
        </w:rPr>
        <w:t xml:space="preserve">  学校新闻网站是指依托校园网，向校内外发布信息，提供信息查询、下载、上传服务的网站，分为校级网站、各部门二级网站和各专题网站。校级校园新闻网站由党委宣传部负责；其他校属各部门、各专题网站是各部门信息发布的平台，由各部门自行维护。</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第十五条</w:t>
      </w:r>
      <w:r>
        <w:rPr>
          <w:rFonts w:hint="eastAsia" w:ascii="仿宋" w:hAnsi="仿宋" w:eastAsia="仿宋" w:cs="仿宋"/>
          <w:spacing w:val="8"/>
          <w:sz w:val="32"/>
          <w:szCs w:val="32"/>
        </w:rPr>
        <w:t xml:space="preserve">  学校网络新闻由党委宣传部负责组织实施和管理。党委宣传部负责网络新闻的采编、审核和签发工作，确保正确的宣传舆论导向，管理和指导校内各部门组织实施的网络新闻宣传工作。</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 xml:space="preserve">第十六条 </w:t>
      </w:r>
      <w:r>
        <w:rPr>
          <w:rFonts w:hint="eastAsia" w:ascii="仿宋" w:hAnsi="仿宋" w:eastAsia="仿宋" w:cs="仿宋"/>
          <w:spacing w:val="8"/>
          <w:sz w:val="32"/>
          <w:szCs w:val="32"/>
        </w:rPr>
        <w:t xml:space="preserve"> 学校新闻网新闻稿件的采写：全校全局性重要活动、重要会议以及学校推出的涉及学校改革、发展、稳定的重要举措，由党委宣传部采写。非全校全局性的各类活动、会议等，执行 “谁主办谁负责报道” 的原则。特殊情况，需党委宣传部安排采写的，须提前报经党委宣传部同意。</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第十七条</w:t>
      </w:r>
      <w:r>
        <w:rPr>
          <w:rFonts w:hint="eastAsia" w:ascii="仿宋" w:hAnsi="仿宋" w:eastAsia="仿宋" w:cs="仿宋"/>
          <w:spacing w:val="8"/>
          <w:sz w:val="32"/>
          <w:szCs w:val="32"/>
        </w:rPr>
        <w:t xml:space="preserve">  学校网站新闻稿件的审核：严格执行“新闻信息来源所在部门负责制”的原则，严格审核把关本部门宣传报道的内容，确保信息的准确性、导向性和可靠性。学校新闻网站的新闻宣传稿件采用由党委宣传部负责终审。各部门报送的网络新闻稿件必须经本部门分管宣传工作的负责人审核同意。学校网络新闻的审核责任人为党委宣传部新闻宣传科科长，重大新闻信息需经校党委领导审核。</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第十八条</w:t>
      </w:r>
      <w:r>
        <w:rPr>
          <w:rFonts w:hint="eastAsia" w:ascii="仿宋" w:hAnsi="仿宋" w:eastAsia="仿宋" w:cs="仿宋"/>
          <w:spacing w:val="8"/>
          <w:sz w:val="32"/>
          <w:szCs w:val="32"/>
        </w:rPr>
        <w:t xml:space="preserve">  各部门在学校网站上发布信息或内容，要做到信息更新及时、准确、可靠，杜绝网页内容长期不更新的现象。由于本部门人事、机构、科研、教学、管理等信息的变化，而引起网站发布信息内容与现实不符，应由本部门在两个工作日内更新网站信息。</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第十九条</w:t>
      </w:r>
      <w:r>
        <w:rPr>
          <w:rFonts w:hint="eastAsia" w:ascii="仿宋" w:hAnsi="仿宋" w:eastAsia="仿宋" w:cs="仿宋"/>
          <w:spacing w:val="8"/>
          <w:sz w:val="32"/>
          <w:szCs w:val="32"/>
        </w:rPr>
        <w:t xml:space="preserve">  学校成立大学生通讯社，各学院成立大学生通讯分社。大学生通讯社受党委宣传部领导，各学院成立的大学生通讯分社接受大学生通讯社业务指导。大学生通讯社承担学校新闻网站、校报、官方微信公众号、官方微博、学校电视台新闻宣传报道任务。</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第二十条</w:t>
      </w:r>
      <w:r>
        <w:rPr>
          <w:rFonts w:hint="eastAsia" w:ascii="仿宋" w:hAnsi="仿宋" w:eastAsia="仿宋" w:cs="仿宋"/>
          <w:spacing w:val="8"/>
          <w:sz w:val="32"/>
          <w:szCs w:val="32"/>
        </w:rPr>
        <w:t xml:space="preserve">  任何单位和个人不得利用学校新闻网站制作、发布、传播危害国家安全、泄露国家秘密的内容或链接，不得侵犯国家、社会、集体、学校的利益和广大师生的合法权益，不得从事违法犯罪活动。不得传播有损国家机关荣誉和学校形象的信息。未经批准，不得对学校新闻网站中存储、处理或者传输的数据和应用程序进行删除、修改或添加。不准故意制作、传播计算机病毒等破坏性程序。</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第五章  出版物的管理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第二十一条</w:t>
      </w:r>
      <w:r>
        <w:rPr>
          <w:rFonts w:hint="eastAsia" w:ascii="仿宋" w:hAnsi="仿宋" w:eastAsia="仿宋" w:cs="仿宋"/>
          <w:spacing w:val="8"/>
          <w:sz w:val="32"/>
          <w:szCs w:val="32"/>
        </w:rPr>
        <w:t xml:space="preserve">  出版物的管理包括对外发行的出版物和内部出版物。《柳州职业技术学院学报》、《柳州职业技术学院报》均属于对外发行的出版物。内部出版物是指校内各单位及学生组织编辑出版的用于指导工作、交流信息的非卖性成册、拆页或散页印刷品，不包括机关公文性的简报等信息资料。</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第二十二条</w:t>
      </w:r>
      <w:r>
        <w:rPr>
          <w:rFonts w:hint="eastAsia" w:ascii="仿宋" w:hAnsi="仿宋" w:eastAsia="仿宋" w:cs="仿宋"/>
          <w:spacing w:val="8"/>
          <w:sz w:val="32"/>
          <w:szCs w:val="32"/>
        </w:rPr>
        <w:t xml:space="preserve">  校内有关部门因工作需要，要编辑出版内部出版物的，须经二级党组织审批后，报送党委宣传部审批备案。于党委宣传部首页的“下载专区”下载并填写《柳州职业技术学院内部出版物登记审批表》，经审核批准后方可编辑出版。定期统计年度发行期数、发行份额等数据，按照要求填写相关表格，统一报送党委宣传部，并自觉接受学校定期抽查和监督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第二十三条</w:t>
      </w:r>
      <w:r>
        <w:rPr>
          <w:rFonts w:hint="eastAsia" w:ascii="仿宋" w:hAnsi="仿宋" w:eastAsia="仿宋" w:cs="仿宋"/>
          <w:spacing w:val="8"/>
          <w:sz w:val="32"/>
          <w:szCs w:val="32"/>
        </w:rPr>
        <w:t xml:space="preserve">  《柳州职业技术学院学报》、《柳州职业技术学院报》按办刊批文规定出版发行。 </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第六章  学校电视台的管理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第二十四条</w:t>
      </w:r>
      <w:r>
        <w:rPr>
          <w:rFonts w:hint="eastAsia" w:ascii="仿宋" w:hAnsi="仿宋" w:eastAsia="仿宋" w:cs="仿宋"/>
          <w:spacing w:val="8"/>
          <w:sz w:val="32"/>
          <w:szCs w:val="32"/>
        </w:rPr>
        <w:t xml:space="preserve">  学校电视台参与学校重大视频新闻的采编制作及专题节目的采、摄、编工作。实行党委宣传部领导、指导老师指导下的台长负责制，分级管理、分工合作。</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 xml:space="preserve">第二十五条 </w:t>
      </w:r>
      <w:r>
        <w:rPr>
          <w:rFonts w:hint="eastAsia" w:ascii="仿宋" w:hAnsi="仿宋" w:eastAsia="仿宋" w:cs="仿宋"/>
          <w:spacing w:val="8"/>
          <w:sz w:val="32"/>
          <w:szCs w:val="32"/>
        </w:rPr>
        <w:t xml:space="preserve"> 台长由党委宣传部新闻宣传科科长兼任、副台长由党委宣传部新闻宣传科干事兼任。</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第二十六条</w:t>
      </w:r>
      <w:r>
        <w:rPr>
          <w:rFonts w:hint="eastAsia" w:ascii="仿宋" w:hAnsi="仿宋" w:eastAsia="仿宋" w:cs="仿宋"/>
          <w:spacing w:val="8"/>
          <w:sz w:val="32"/>
          <w:szCs w:val="32"/>
        </w:rPr>
        <w:t xml:space="preserve">  校园电视台必须坚守正确的舆论宣传政治方向。建立健全各种管理制度，严格节目审查；工作人员必须遵守国家的法律法规和学校的规章制度。</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第七章  广播站管理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第二十七条</w:t>
      </w:r>
      <w:r>
        <w:rPr>
          <w:rFonts w:hint="eastAsia" w:ascii="仿宋" w:hAnsi="仿宋" w:eastAsia="仿宋" w:cs="仿宋"/>
          <w:spacing w:val="8"/>
          <w:sz w:val="32"/>
          <w:szCs w:val="32"/>
        </w:rPr>
        <w:t xml:space="preserve">  校广播站隶属校团委领导，由校团委直接管理。任何组织和个人，不得在校园内擅自安装音响、广播。广播站开设的栏目、广播的内容涉及政策性强或政治观点难以鉴别的稿件必须经党委宣传部主管领导审定后才能播发。</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第二十八条</w:t>
      </w:r>
      <w:r>
        <w:rPr>
          <w:rFonts w:hint="eastAsia" w:ascii="仿宋" w:hAnsi="仿宋" w:eastAsia="仿宋" w:cs="仿宋"/>
          <w:spacing w:val="8"/>
          <w:sz w:val="32"/>
          <w:szCs w:val="32"/>
        </w:rPr>
        <w:t xml:space="preserve">  非广播站人员不得随意进入广播站，更不能擅自动用广播器材。在广播站内不得进行与规定的广播工作无关的活动。</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第二十九条</w:t>
      </w:r>
      <w:r>
        <w:rPr>
          <w:rFonts w:hint="eastAsia" w:ascii="仿宋" w:hAnsi="仿宋" w:eastAsia="仿宋" w:cs="仿宋"/>
          <w:spacing w:val="8"/>
          <w:sz w:val="32"/>
          <w:szCs w:val="32"/>
        </w:rPr>
        <w:t xml:space="preserve">  后勤与资产管理处负责维护广播站的广播器材，管理安装在室外的广播器材设施。</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第八章  新媒体的管理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第三十条</w:t>
      </w:r>
      <w:r>
        <w:rPr>
          <w:rFonts w:hint="eastAsia" w:ascii="仿宋" w:hAnsi="仿宋" w:eastAsia="仿宋" w:cs="仿宋"/>
          <w:spacing w:val="8"/>
          <w:sz w:val="32"/>
          <w:szCs w:val="32"/>
        </w:rPr>
        <w:t xml:space="preserve">  校园新媒体指以各部门和师生员工个人名义建设、认证并作为部门信息平台运行的新媒体平台，包括微博、微信、APP移动客户端等。</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第三十一条</w:t>
      </w:r>
      <w:r>
        <w:rPr>
          <w:rFonts w:hint="eastAsia" w:ascii="仿宋" w:hAnsi="仿宋" w:eastAsia="仿宋" w:cs="仿宋"/>
          <w:spacing w:val="8"/>
          <w:sz w:val="32"/>
          <w:szCs w:val="32"/>
        </w:rPr>
        <w:t xml:space="preserve">  新媒体的管理机制</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第一款  新媒体建设管理必须严格遵守国家各项法律法规，遵守学校各项相关规章制度，按照“谁主办，谁负责”的原则进行管理。新媒体建设管理部门必须建立完善的管理制度和运行机制，包括建立责任体系、落实工作队伍、完善发布审核机制等。</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第二款  党委宣传部是学校新媒体归口管理单位，其职责是制定新媒体发展规划，研究制定管理政策，统一管理、协调，监督检查与考评新媒体运营状况等。</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第三款  学校对校园新媒体实行登记备案制度。需要开通新媒体平台的部门和个人，事先须向党委宣传部提出申请，创建一周内，向党委宣传部备案，填写《柳州职业技术学院校园新媒体备案登记表》，所在部门责任人签字并加盖部门公章。账号名、后台管理人员或维护方式发生变更，应在一周内，以书面形式报党委宣传部备案。</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第四款  学校对校园新媒体实行分级管理制度。学校官方微博、微信为一级平台，由党委宣传部直接管理。各学院和职能部门官方微博、微信和其他新媒体平台为二级平台，由各学院和职能部门负责建设和管理，学院党组织负责人和职能部门主要负责人为本部门新媒体建设和管理第一责任人。学生班级、团学组织、社团创建的新媒体平台为三级平台，学生班级的新媒体平台归口所在学院管理，团学组织、社团的新媒体归口校团委管理。党委宣传部对二级、三级校园新媒体平台实行审批和年审制度，未通过审核的平台不得继续运行。</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第五款  以学校师生员工个人名义建立，主要用于工作交流，传播内容主要涉及学校事务的各类新媒体平台，如QQ群、微信群、聊天室等，实行管理员负责制，纳入创建人所在部门管理。除此以外，以个人名义创建的新媒体平台，不得以“柳州职业技术学院***”、“柳职院***”名义运营，且本人对所发信息负全部法律责任。</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第六款  任何部门和个人须遵守国家法律法规，不得在各自的新媒体平台制作、发布、传播危害国家安全、泄露国家秘密的内容和链接；不得侵犯国家、社会、集体、学校的利益和广大师生的合法权益，不得利用新媒体平台从事违法犯罪活动；不得传播有损国家机关荣誉和学校形象的信息。</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第三十二条</w:t>
      </w:r>
      <w:r>
        <w:rPr>
          <w:rFonts w:hint="eastAsia" w:ascii="仿宋" w:hAnsi="仿宋" w:eastAsia="仿宋" w:cs="仿宋"/>
          <w:spacing w:val="8"/>
          <w:sz w:val="32"/>
          <w:szCs w:val="32"/>
        </w:rPr>
        <w:t xml:space="preserve">  新媒体的工作机制</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第一款  建立新媒体内容发布联动机制。在涉及学校重大事项或突发事件危机应对时，各新媒体平台应按照学校官方微博、微信的发布信息进行转发，严禁私自发布相关信息。</w:t>
      </w:r>
    </w:p>
    <w:p>
      <w:pPr>
        <w:pageBreakBefore w:val="0"/>
        <w:kinsoku/>
        <w:wordWrap/>
        <w:overflowPunct/>
        <w:topLinePunct w:val="0"/>
        <w:autoSpaceDE/>
        <w:autoSpaceDN/>
        <w:bidi w:val="0"/>
        <w:spacing w:line="520" w:lineRule="exact"/>
        <w:ind w:firstLine="672" w:firstLineChars="200"/>
        <w:outlineLvl w:val="9"/>
        <w:rPr>
          <w:rFonts w:hint="eastAsia" w:ascii="仿宋" w:hAnsi="仿宋" w:eastAsia="仿宋" w:cs="仿宋"/>
          <w:spacing w:val="8"/>
          <w:sz w:val="32"/>
          <w:szCs w:val="32"/>
        </w:rPr>
      </w:pPr>
      <w:r>
        <w:rPr>
          <w:rFonts w:hint="eastAsia" w:ascii="仿宋" w:hAnsi="仿宋" w:eastAsia="仿宋" w:cs="仿宋"/>
          <w:spacing w:val="8"/>
          <w:sz w:val="32"/>
          <w:szCs w:val="32"/>
        </w:rPr>
        <w:t>第二款  建立新媒体内容发布审查机制。新媒体平台建设管理部门及相关责任人对所发布内容的真实性负责，严格执行“先审后发”制度，严禁发布不实、虚假和错误信息。官方微信稿件的审核：严格执行“稿件来源所在部门负责制”的原则，各部门严格审核把关本部门宣传报道的内容，确保信息的准确性、导向性和可靠性。官方微信的稿件采用由党委宣传部负责。各部门报送的稿件必须经本部门分管宣传工作的负责人审核同意。官方微信稿件的审核责任人为党委宣传部新闻宣传科科长。</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第三十三条</w:t>
      </w:r>
      <w:r>
        <w:rPr>
          <w:rFonts w:hint="eastAsia" w:ascii="仿宋" w:hAnsi="仿宋" w:eastAsia="仿宋" w:cs="仿宋"/>
          <w:spacing w:val="8"/>
          <w:sz w:val="32"/>
          <w:szCs w:val="32"/>
        </w:rPr>
        <w:t xml:space="preserve">  新媒体各平台责任部门必须切实加强账号管理和内容监管，确保网络安全和信息安全，对出现违规内容的新媒体平台，情节严重并造成不良后果的，将按照有关规定追究直接责任人和主管领导责任。</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第三十四条</w:t>
      </w:r>
      <w:r>
        <w:rPr>
          <w:rFonts w:hint="eastAsia" w:ascii="仿宋" w:hAnsi="仿宋" w:eastAsia="仿宋" w:cs="仿宋"/>
          <w:spacing w:val="8"/>
          <w:sz w:val="32"/>
          <w:szCs w:val="32"/>
        </w:rPr>
        <w:t xml:space="preserve">  互联网直播，须经党委宣传部审批备案，并遵守国家网信办出台的《互联网直播服务管理规定》及其他相关规定。</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第九章  宣传栏、橱窗、张贴物、悬挂物管理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第三十五条</w:t>
      </w:r>
      <w:r>
        <w:rPr>
          <w:rFonts w:hint="eastAsia" w:ascii="仿宋" w:hAnsi="仿宋" w:eastAsia="仿宋" w:cs="仿宋"/>
          <w:spacing w:val="8"/>
          <w:sz w:val="32"/>
          <w:szCs w:val="32"/>
        </w:rPr>
        <w:t xml:space="preserve">  学校宣传栏的选址、设计、安装由党委宣传部统一规划和管理，各部门的宣传栏的选址、设计、安装需经党委宣传部审批。</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第三十六条</w:t>
      </w:r>
      <w:r>
        <w:rPr>
          <w:rFonts w:hint="eastAsia" w:ascii="仿宋" w:hAnsi="仿宋" w:eastAsia="仿宋" w:cs="仿宋"/>
          <w:spacing w:val="8"/>
          <w:sz w:val="32"/>
          <w:szCs w:val="32"/>
        </w:rPr>
        <w:t xml:space="preserve">  由学校统一制作的宣传栏由党委宣传部按管理和使用的需要，分配给相关部门，并按照“谁使用、谁负责”的原则管理。各部门、学生组织必须指派专人负责管理。宣传栏橱窗内容须弘扬主旋律、积极向上，学校VI使用、用字要规范，做到定期更换、清洁，定期维护和检修。</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第三十七条</w:t>
      </w:r>
      <w:r>
        <w:rPr>
          <w:rFonts w:hint="eastAsia" w:ascii="仿宋" w:hAnsi="仿宋" w:eastAsia="仿宋" w:cs="仿宋"/>
          <w:spacing w:val="8"/>
          <w:sz w:val="32"/>
          <w:szCs w:val="32"/>
        </w:rPr>
        <w:t xml:space="preserve">  由学校各部门制作的宣传栏、橱窗，由制作或管理使用部门参照学校统一制作的宣传栏的管理要求做好管理工作。应安排专人做好宣传栏、橱窗的清洁、更新和管理工作。各宣传栏、橱窗右下角应有本宣传栏的管理使用部门标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 xml:space="preserve">第三十八条 </w:t>
      </w:r>
      <w:r>
        <w:rPr>
          <w:rFonts w:hint="eastAsia" w:ascii="仿宋" w:hAnsi="仿宋" w:eastAsia="仿宋" w:cs="仿宋"/>
          <w:spacing w:val="8"/>
          <w:sz w:val="32"/>
          <w:szCs w:val="32"/>
        </w:rPr>
        <w:t xml:space="preserve"> 校园张贴物内容须真实合法，形式整齐，用字规范。校内各部门的告示、通知、启示、海报等，必须签署正式名称，按规定张贴在宣传栏橱窗或公告栏内。</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第三十九条</w:t>
      </w:r>
      <w:r>
        <w:rPr>
          <w:rFonts w:hint="eastAsia" w:ascii="仿宋" w:hAnsi="仿宋" w:eastAsia="仿宋" w:cs="仿宋"/>
          <w:spacing w:val="8"/>
          <w:sz w:val="32"/>
          <w:szCs w:val="32"/>
        </w:rPr>
        <w:t xml:space="preserve">  学校教学区内严禁悬挂、张贴、摆放任何商业性的横幅标语及宣传广告。各种学生活动及学生会、各社团悬挂横（条）幅、海报，摆放宣传板、欢迎牌等，由校团委审批后在指定区域悬挂及摆放，并在悬挂物上标明责任人、责任部门及悬挂（摆放）期限，否则一律拆除。学生社团活动、学术讲座和群体性文体活动海报、展板一般集中在学生生活区域（学生宿舍区、餐厅、活动中心等）悬挂、张贴、摆放。校内各部门、校内商家张贴、悬挂横（条）幅标语、海报、宣传板、欢迎牌等宣传品需须提前到校团委填写相关审批表。由校团委组建校园文明纠察队，对校园环境进行巡查处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 xml:space="preserve">第四十条 </w:t>
      </w:r>
      <w:r>
        <w:rPr>
          <w:rFonts w:hint="eastAsia" w:ascii="仿宋" w:hAnsi="仿宋" w:eastAsia="仿宋" w:cs="仿宋"/>
          <w:spacing w:val="8"/>
          <w:sz w:val="32"/>
          <w:szCs w:val="32"/>
        </w:rPr>
        <w:t xml:space="preserve"> 非长期放置的所有横（条）幅、标语应于活动结束后两日内由主办部门负责清除。</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第四十一条</w:t>
      </w:r>
      <w:r>
        <w:rPr>
          <w:rFonts w:hint="eastAsia" w:ascii="仿宋" w:hAnsi="仿宋" w:eastAsia="仿宋" w:cs="仿宋"/>
          <w:spacing w:val="8"/>
          <w:sz w:val="32"/>
          <w:szCs w:val="32"/>
        </w:rPr>
        <w:t xml:space="preserve">  全校全局性重要活动、重要会议的横幅和展板由党委宣传部负责统筹设计制作。其他学校各类会议、活动的横幅、展板等制作遵循 “谁主办谁负责制作” 的原则。党委宣传部负责对横幅和展板的设计制作进行指导与监督，并对其内容、VI使用规范进行监督。</w:t>
      </w:r>
    </w:p>
    <w:p>
      <w:pPr>
        <w:pageBreakBefore w:val="0"/>
        <w:kinsoku/>
        <w:wordWrap/>
        <w:overflowPunct/>
        <w:topLinePunct w:val="0"/>
        <w:autoSpaceDE/>
        <w:autoSpaceDN/>
        <w:bidi w:val="0"/>
        <w:spacing w:line="520" w:lineRule="exact"/>
        <w:ind w:firstLine="675" w:firstLineChars="200"/>
        <w:jc w:val="center"/>
        <w:outlineLvl w:val="9"/>
        <w:rPr>
          <w:rFonts w:hint="eastAsia" w:ascii="仿宋" w:hAnsi="仿宋" w:eastAsia="仿宋" w:cs="仿宋"/>
          <w:b/>
          <w:spacing w:val="8"/>
          <w:sz w:val="32"/>
          <w:szCs w:val="32"/>
        </w:rPr>
      </w:pPr>
      <w:r>
        <w:rPr>
          <w:rFonts w:hint="eastAsia" w:ascii="仿宋" w:hAnsi="仿宋" w:eastAsia="仿宋" w:cs="仿宋"/>
          <w:b/>
          <w:spacing w:val="8"/>
          <w:sz w:val="32"/>
          <w:szCs w:val="32"/>
        </w:rPr>
        <w:t>第十章  附  则</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第四十二条</w:t>
      </w:r>
      <w:r>
        <w:rPr>
          <w:rFonts w:hint="eastAsia" w:ascii="仿宋" w:hAnsi="仿宋" w:eastAsia="仿宋" w:cs="仿宋"/>
          <w:spacing w:val="8"/>
          <w:sz w:val="32"/>
          <w:szCs w:val="32"/>
        </w:rPr>
        <w:t xml:space="preserve">  本办法由校党委宣传部负责解释。</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第四十三条</w:t>
      </w:r>
      <w:r>
        <w:rPr>
          <w:rFonts w:hint="eastAsia" w:ascii="仿宋" w:hAnsi="仿宋" w:eastAsia="仿宋" w:cs="仿宋"/>
          <w:spacing w:val="8"/>
          <w:sz w:val="32"/>
          <w:szCs w:val="32"/>
        </w:rPr>
        <w:t xml:space="preserve"> 其他未涉及的，以国家有关规定为准。</w:t>
      </w:r>
    </w:p>
    <w:p>
      <w:pPr>
        <w:pageBreakBefore w:val="0"/>
        <w:kinsoku/>
        <w:wordWrap/>
        <w:overflowPunct/>
        <w:topLinePunct w:val="0"/>
        <w:autoSpaceDE/>
        <w:autoSpaceDN/>
        <w:bidi w:val="0"/>
        <w:spacing w:line="520" w:lineRule="exact"/>
        <w:ind w:firstLine="675" w:firstLineChars="200"/>
        <w:outlineLvl w:val="9"/>
        <w:rPr>
          <w:rFonts w:hint="eastAsia" w:ascii="仿宋" w:hAnsi="仿宋" w:eastAsia="仿宋" w:cs="仿宋"/>
          <w:spacing w:val="8"/>
          <w:sz w:val="32"/>
          <w:szCs w:val="32"/>
        </w:rPr>
      </w:pPr>
      <w:r>
        <w:rPr>
          <w:rFonts w:hint="eastAsia" w:ascii="仿宋" w:hAnsi="仿宋" w:eastAsia="仿宋" w:cs="仿宋"/>
          <w:b/>
          <w:spacing w:val="8"/>
          <w:sz w:val="32"/>
          <w:szCs w:val="32"/>
        </w:rPr>
        <w:t>第四十四条</w:t>
      </w:r>
      <w:r>
        <w:rPr>
          <w:rFonts w:hint="eastAsia" w:ascii="仿宋" w:hAnsi="仿宋" w:eastAsia="仿宋" w:cs="仿宋"/>
          <w:spacing w:val="8"/>
          <w:sz w:val="32"/>
          <w:szCs w:val="32"/>
        </w:rPr>
        <w:t xml:space="preserve">  本办法自发布之日起施行。</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7" w:name="_Toc534377744"/>
      <w:bookmarkStart w:id="18" w:name="_Toc30943"/>
      <w:bookmarkStart w:id="19" w:name="_Toc17740"/>
      <w:bookmarkStart w:id="20" w:name="_Toc11148"/>
      <w:r>
        <w:rPr>
          <w:rFonts w:hint="eastAsia" w:ascii="黑体" w:hAnsi="黑体" w:eastAsia="黑体" w:cs="黑体"/>
          <w:color w:val="000000"/>
          <w:kern w:val="2"/>
          <w:sz w:val="36"/>
          <w:szCs w:val="36"/>
        </w:rPr>
        <w:t>柳州职业技术学院重点领域</w:t>
      </w:r>
      <w:bookmarkEnd w:id="17"/>
      <w:bookmarkStart w:id="21" w:name="_Toc534377745"/>
      <w:r>
        <w:rPr>
          <w:rFonts w:hint="eastAsia" w:ascii="黑体" w:hAnsi="黑体" w:eastAsia="黑体" w:cs="黑体"/>
          <w:color w:val="000000"/>
          <w:kern w:val="2"/>
          <w:sz w:val="36"/>
          <w:szCs w:val="36"/>
        </w:rPr>
        <w:t>（关键环节）监督检查暂行办法</w:t>
      </w:r>
      <w:bookmarkEnd w:id="18"/>
      <w:bookmarkEnd w:id="19"/>
      <w:bookmarkEnd w:id="20"/>
      <w:bookmarkEnd w:id="21"/>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（柳职院字〔2016〕17号）</w:t>
      </w:r>
    </w:p>
    <w:p>
      <w:pPr>
        <w:pageBreakBefore w:val="0"/>
        <w:kinsoku/>
        <w:wordWrap/>
        <w:overflowPunct/>
        <w:topLinePunct w:val="0"/>
        <w:autoSpaceDE/>
        <w:autoSpaceDN/>
        <w:bidi w:val="0"/>
        <w:spacing w:line="596"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根据上级有关文件精神和学校《关于印发&lt;中共柳州职业技术学院纪委落实党风廉政建设监督责任实施办法（试行）&gt;的通知》（柳职院党字〔2016〕5号）精神，为了确保纪检监察部门能够聚焦主业，落实“三转”，改进对涉及学校人、财、物等重点领域（关键环节）的监督检查，结合学校具体工作实际，特制定本暂行办法。</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建立再监督机制。厘清纪检监察部门与业务管理部门的关系，转变监督方式。业务工作由业务管理部门负责监督，纪检监察部门负责监督业务管理部门的业务监督情况，形成监督的再监督机制。对反映业务工作的违纪违规问题，由纪检监察部门组织调查核实，开展专项监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实行事前（后）备案制度。事前，业务管理部门负责将涉及学校人、财、物等方面工作需要监督的事项，提前3-5天向学校纪检监察部门报备（报备清单见附件，下同）。事后，3-5天内将相关材料报学校纪检监察部门备查。常规监督事项，由学校纪检监察部门有针对性地选择重点（关键）环节开展监督；学校重点工作和学校领导指定的重大项目的监督，由学校纪检监察部门报送学校纪委书记审示后进行全程监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3.对干部选拔任用、人员聘用、职称申报、招生录取等工作，纪检监察部门主要监督检查业务管理部门执行上级及学校有关文件规定的情况。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 对财务管理、科研经费、奖助学金、学生资助、国有资产、校办企业、办班办学创收等工作，纪检监察部门主要监督检查内部审计部门（或聘请社会专业机构）开展专项审计情况。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 对物资设备（服务）采购、基建（修缮）工程等事项，纪检监察部门视项目具体情况，对其关键环节进行监督。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对30万元以上（含30万元）的物资设备（服务）采购项目，纪检监察部门原则上应安排部门负责人参加项目申报院内论证会，并代表业主单位（学校）参加采购项目开评标现场监督（含视频、音频监督）。对30万元以下的物资设备（服务）采购项目，纪检监察部门可视项目具体情况，决定是否派出监督人员参加项目论证会和开评标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对30万元以上（含30万元）的物资设备采购项目的货物验收和基建（修缮）工程项目的竣工验收，纪检监察部门原则上应派出监督人员参加。对30万元以下的上述项目，纪检监察部门随机进行抽查（抽查率不低于30%）。</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（3）对按规定不属于政府采购范围的校内询价招标和市场询价采购项目，由学校业务管理部门牵头，会同申购部门组织不少于三人实施，纪检监察部门随机进行抽查（抽查率不低于30%）。</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（4）对零星基建维修工程、设计、监理、勘察、造价咨询等定点服务单位的采购，由学校业务管理部门牵头，组织财务等相关部门实施，纪检监察部门派出监督人员参加。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定期开展业务学习培训。每年度，业务管理部门应会同纪检监察部门，组织各职能部门（含二级教学管理部门）分管上述工作业务事项的负责人及具体经办人员，开展不少于1次的业务学习培训，解读国家的相关政策法规和学校的管理规定，总结工作经验，查找、分析存在问题，提升业务工作水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7.严明工作纪律，强化责任追究。学校纪检监察部门、业务职能部门（含二级教学管理部门）及其工作人员要严格依照国家和学校相关规定履行各自的职责。对不履行或不正确履行相关职责的部门和个人，按学校相关规定进行责任追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8. 本暂行办法由纪检监察室负责解释，自公布之日起实施。</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22" w:name="_Toc534377756"/>
      <w:bookmarkStart w:id="23" w:name="_Toc31312"/>
      <w:bookmarkStart w:id="24" w:name="_Toc9999"/>
      <w:bookmarkStart w:id="25" w:name="_Toc12819"/>
      <w:r>
        <w:rPr>
          <w:rFonts w:hint="eastAsia" w:ascii="黑体" w:hAnsi="黑体" w:eastAsia="黑体" w:cs="黑体"/>
          <w:color w:val="000000"/>
          <w:kern w:val="2"/>
          <w:sz w:val="36"/>
          <w:szCs w:val="36"/>
        </w:rPr>
        <w:t>柳州职业技术学院二级党组织</w:t>
      </w:r>
      <w:bookmarkEnd w:id="22"/>
      <w:bookmarkStart w:id="26" w:name="_Toc534377757"/>
      <w:r>
        <w:rPr>
          <w:rFonts w:hint="eastAsia" w:ascii="黑体" w:hAnsi="黑体" w:eastAsia="黑体" w:cs="黑体"/>
          <w:color w:val="000000"/>
          <w:kern w:val="2"/>
          <w:sz w:val="36"/>
          <w:szCs w:val="36"/>
        </w:rPr>
        <w:t>理论学习中心组学习制度（试行）</w:t>
      </w:r>
      <w:bookmarkEnd w:id="23"/>
      <w:bookmarkEnd w:id="24"/>
      <w:bookmarkEnd w:id="25"/>
      <w:bookmarkEnd w:id="26"/>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（柳职院党字〔2017〕1号）</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为推进我校各党总支部、直属党支部等二级党组织的理论学习中心组的学习活动，进一步加强干部队伍的思想理论建设，提高领导班子思想政治素质、政策理论水平，增强政治意识、大局意识、核心意识、看齐意识，提升为学校、本部门、院（部）发展谋划的能力，根据上级有关文件要求和我校实际情况，特制定本制度。</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一、指导思想</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高举中国特色社会主义伟大旗帜，坚持以马列主义、毛泽东思想、邓小平理论、“三个代表”重要思想、科学发展观为指导，以深入学习贯彻落实党的十八大和十八届三中、四中、五中、六中全会精神以及习近平总书记系列重要讲话精神为主线，全面贯彻党的教育方针，认真落实领导班子思想政治建设任务，不断提升学校各级领导班子的领导能力和理论水平，为学校改革发展提供精神动力和思想保证。</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二、学习组织</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各党总支部理论学习中心组由本院（部）范围内学校中层干部、党总支委员组成，党总支部书记（副书记）任中心组组长，另设一名学习秘书协助组长工作。</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各直属党支部理论学习中心组由本党支部范围内学校中层干部、党支部委员组成，直属党支部书记任中心组组长，另设一名学习秘书协助组长工作。</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中心组组长的主要职责是审定学习计划，确定学习主题和研讨专题，提出学习要求，主持集体学习研讨，指导和检查中心组成员的学习。各中心组可视情况扩大参加学习会议人员。</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三、学习内容</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1.深入学习贯彻中国特色社会主义理论体系，坚持不懈地学习贯彻马列主义、毛泽东思想、邓小平理论、“三个代表”重要思想，深入学习贯彻科学发展观和习近平总书记系列重要讲话精神。精心研读马列著作、毛泽东著作、邓小平著作和习近平总书记一系列重要论著，加深对马列主义、毛泽东思想和中国特色社会主义理论体系的领会和掌握。</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2.深入学习和掌握党的路线方针政策，认真学习党章党规，领会和把握党中央的重要工作部署和重要会议精神；深入学习党的历史、中国历史、世界历史和社会主义发展的历史，从历史经验中汲取丰富营养。</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3.把学习党的理论和学习政治、经济、科技、法律、文化、教育等方面的新知识结合起来，不断完善知识结构、提高综合素质、培养战略思维、开阔世界眼光，提高运用科学理论分析和解决实际问题的能力。</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各中心组每个时期的具体学习内容可根据上级党组织和学校党委的统一部署，结合自身实际进行安排。</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四、学习形式</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1.坚持理论和实践相结合。要着眼于马列主义的学习与运用，着眼于对实际问题的理论思考，着眼于新的实践和新的发展。紧紧围绕学校中心工作，把学习理论同研究解决学校改革发展稳定中的重大问题结合起来，同研究解决师生员工最关心、最直接、最现实的利益问题结合起来，使理论真正成为指导工作和决策的思想武器，成为推动学校发展的强大动力。</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2.认真开展专题调研。理论学习中心组要把理论学习与专题调研结合起来，深入基层、深入实际、深入群众，扎实开展调查和研究，并组织交流研讨，为提高学习质量、促进学习深化奠定基础。中心组成员要根据实际工作有针对性地开展调研，不断推进理论创新和实践创新，提高驾驭全局的能力、处理利益关系的能力、创新发展的能力，增强领导工作的原则性、系统性、预见性和创造性。</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3.精心组织集体学习研讨和个人自学。集体学习研讨是党组织理论学习中心组学习的主要形式，要精心设计学习主题，把重点发言和集体研讨、专题学习和系统学习结合起来，运用知识讲座、专家辅导、读书会、报告会、网络交流等形式进行学习，充分调动中心组成员的学习积极性。个人自学是党组织理论学习中心组集体学习研讨的基础，中心组要根据形势和任务的需要，对党员干部自学提出明确要求，做出具体规定。</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五、学习要求</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1.各级党组织要把切实加强和改进中心组学习作为重要工作摆在突出位置，列入重要议事日程，经常研究学习情况，提出改进措施，抓好督促落实。中心组组长要经常检查中心组成员坚持各项学习制度的情况，党委宣传部要密切配合，做好检查、考核和服务工作。</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2.确保学习时间及质量。各中心组要保证集体学习研讨的时间和质量，每年要集中一定时间学习，一般情况下，每学期集中学习不少于2次,每次学习时间不少于3小时。上级有其他专门要求的，应按照有关要求，增加学习次数及时间。</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3.严格考勤制度。各中心组自行安排的集中学习应严格执行考勤制度。因公外出等特殊情况不能参加集中学习的，必须向组长履行请假手续，并另行安排时间补学。中心组成员每年请假累计不得超过2次。</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4.严格规范学习管理。二级党组织中心组要根据学校党委要求和具体工作实际，制定年度学习计划并做好阶段性学习安排，对学习目的、学习专题、阅读书目、中心发言做出明确规定，提出具体要求。要建立中心组以及中心组成员个人学习档案，包括学习计划、学习笔记、心得体会、理论文章、调研报告、考勤记录等材料，由学习秘书整理和保管，留存备查。</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5.加强和改进学习通报。各级党组织要通过报刊、网络、新媒体、宣传橱窗等方式，及时向广大党员干部、师生员工通报理论学习中心组学习的情况和成果，引导和带动广大党员干部、师生员工的学习。</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六、检查考核</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1.加强日常督促检查。党委宣传部要定期对各党总支部、直属党支部理论学习中心组的学习情况进行督促检查。不定期调阅中心组理论学习的学习记录；派专人旁听中心组集中学习与交流情况。各党总支部、直属党支部理论学习中心组要严格执行各项规章制度、组织好学习活动并做好有关记录。</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2.严格年度考核。按照上级党委关于加强领导干部学习考核的相关精神，切实做好二级中心组学习考核工作。每年年中，中心组组长要形成书面学年度总结，向学校党委宣传部汇报开展理论学习情况。总结内容应包括党组织理论学习中心组组长履行职责的情况，中心组成员坚持学习制度、完成学习任务的情况，领导班子学习理论、加强思想政治建设、运用理论指导实践、完善决策、推进工作等情况。</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党委宣传部会同党委组织部，对各级基层党组织开展理论学习中心组学习情况进行考核，核查各中心组有关学习记录材料、审阅工作总结，并就有关情况向校党委汇报，对完成情况较好的中心组提出表扬，对未按质按量完成学习任务的中心组进行通报批评，并将各级党员干部参加党委中心组学习情况作为干部年度考核等次评定及选拔任用的重要依据。</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七、其他</w:t>
      </w:r>
    </w:p>
    <w:p>
      <w:pPr>
        <w:pageBreakBefore w:val="0"/>
        <w:kinsoku/>
        <w:wordWrap/>
        <w:overflowPunct/>
        <w:topLinePunct w:val="0"/>
        <w:autoSpaceDE/>
        <w:autoSpaceDN/>
        <w:bidi w:val="0"/>
        <w:spacing w:line="560" w:lineRule="exact"/>
        <w:ind w:firstLine="640" w:firstLineChars="200"/>
        <w:jc w:val="left"/>
        <w:outlineLvl w:val="9"/>
        <w:rPr>
          <w:rFonts w:hint="eastAsia" w:ascii="仿宋" w:hAnsi="仿宋" w:eastAsia="仿宋" w:cs="仿宋"/>
          <w:b/>
          <w:kern w:val="0"/>
          <w:sz w:val="32"/>
          <w:szCs w:val="32"/>
        </w:rPr>
      </w:pPr>
      <w:r>
        <w:rPr>
          <w:rFonts w:hint="eastAsia" w:ascii="仿宋" w:hAnsi="仿宋" w:eastAsia="仿宋" w:cs="仿宋"/>
          <w:sz w:val="32"/>
          <w:szCs w:val="32"/>
        </w:rPr>
        <w:t>本制度自印发之日起施行,由党委宣传部负责解释。</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27" w:name="_Toc534377761"/>
      <w:bookmarkStart w:id="28" w:name="_Toc29251"/>
      <w:bookmarkStart w:id="29" w:name="_Toc23674"/>
      <w:bookmarkStart w:id="30" w:name="_Toc17312"/>
      <w:r>
        <w:rPr>
          <w:rFonts w:hint="eastAsia" w:ascii="黑体" w:hAnsi="黑体" w:eastAsia="黑体" w:cs="黑体"/>
          <w:color w:val="000000"/>
          <w:kern w:val="2"/>
          <w:sz w:val="36"/>
          <w:szCs w:val="36"/>
        </w:rPr>
        <w:t>柳州职业技术学院关于严格规范</w:t>
      </w:r>
      <w:bookmarkEnd w:id="27"/>
      <w:bookmarkStart w:id="31" w:name="_Toc534377762"/>
      <w:r>
        <w:rPr>
          <w:rFonts w:hint="eastAsia" w:ascii="黑体" w:hAnsi="黑体" w:eastAsia="黑体" w:cs="黑体"/>
          <w:color w:val="000000"/>
          <w:kern w:val="2"/>
          <w:sz w:val="36"/>
          <w:szCs w:val="36"/>
        </w:rPr>
        <w:t>党支部组织生活的指导性意见</w:t>
      </w:r>
      <w:bookmarkEnd w:id="28"/>
      <w:bookmarkEnd w:id="29"/>
      <w:bookmarkEnd w:id="30"/>
      <w:bookmarkEnd w:id="31"/>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（柳职院党字〔2017〕23号）</w:t>
      </w:r>
    </w:p>
    <w:p>
      <w:pPr>
        <w:pageBreakBefore w:val="0"/>
        <w:kinsoku/>
        <w:wordWrap/>
        <w:overflowPunct/>
        <w:topLinePunct w:val="0"/>
        <w:autoSpaceDE/>
        <w:autoSpaceDN/>
        <w:bidi w:val="0"/>
        <w:spacing w:line="500" w:lineRule="exact"/>
        <w:jc w:val="center"/>
        <w:outlineLvl w:val="9"/>
        <w:rPr>
          <w:rFonts w:hint="eastAsia" w:ascii="仿宋" w:hAnsi="仿宋" w:eastAsia="仿宋" w:cs="仿宋"/>
          <w:sz w:val="32"/>
          <w:szCs w:val="32"/>
        </w:rPr>
      </w:pP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为贯彻落实党的十八届六中全会精神，推进“两学一做”学习教育常态化、制度化，推动全面从严治党向基层延伸，根据党章、党内有关规定和上级工作部署，结合我校实际，现就加强和规范党支部组织生活，提出如下意见。   </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一、总体要求</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的组织生活是党内政治生活的重要内容和载体，是党组织对党员进行教育管理和监管的重要形式，是推进全面从严治党的重要抓手。通过严格规范党支部组织生活，落实相关各项制度，实现“两学一做”学习教育常态化、制度化，切实增强组织生活的政治性、时代性、原则性、战斗性，促使党员牢固树立政治意识、大局意识、核心意识、看齐意识，模范遵守党章党规，做“四讲四有”合格党员，使每个党支部都成为坚强战斗堡垒，促进学校各项事业的发展。</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二、主要内容</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（一）严格规范“三会一课”制度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党支部必须定期召开支部党员大会、支委会、党小组会，按时上好党课。党员必须参加党员大会、党小组会和党课。</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1.关于支部党员大会。</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（1）时间要求：支部党员大会每季度至少召开1次，根据需要也可随时召开。</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参会人员：党支部全体党员参加。会议由支部委员会召集，由党支部书记主持，会议议题由支部委员会根据上级党组织的指示和工作需要确定。正式开会时，必须要有支部半数以上有表决权的正式党员参加，方可开会（有选举任务的，有选举权的到会党员人数超过应到会人数的五分之四，方为有效）。根据会议内容需要，可以吸收非党干部或入党积极分子列席。</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主要任务：传达学习党的路线、方针、政策和上级党组织的决议、指示；听取和审查支部委员会的工作报告，讨论决定本支部的重大问题和热点、难点问题；研究贯彻上级党组织的决议、指示；组织党员学习政治理论和党的基本知识；选举支部委员会，增补和撤销支部委员，选举出席上级党代会的代表；讨论接收新党员和预备党员转正；召开支部组织生活会；开展民主评议党员，评选优秀党员，讨论对犯错误党员的处分和处置不合格的党员；对需要决议的事项，应按民主集中制的原则形成决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2.关于支部委员会会议。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（1）时间要求：支委会一般每月召开1次，根据需要也可随时召开。</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参会人员：党支部全体委员参加。会议由支部书记或主持工作的支部委员主持。会议必须有半数以上的支委参加，所做出的决定才能有效（有3名委员的支部委员会，如果只有两名委员在，一般不应召开支委会，情况紧急可召开支部党员大会）。因工作需要，可召开支委扩大会议，吸收有关党员干部列席。</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主要任务：研究贯彻上级党组织的指示、决定和工作部署；研究支部工作计划和总结；讨论和研究思想政治工作和党员教育工作；听取支部委员会的工作汇报，分析党员和群众的思想状况；研究后备干部的培养，讨论发展党员和预备党员转正；讨论对党员的奖惩。支委会要贯彻民主集中制原则，坚持集体领导，充分发扬民主，对需要决议的事项，经过广泛讨论形成决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3.关于党小组会议。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（1）时间要求：党小组会一般每月召开1次，根据工作需要可增加次数。（注：由于我校不设党小组，因此，规定每月召开1次的党小组会应以支部党员大会形式召开。即我校支部党员大会应每月至少召开1次。）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（2）参会人员：党小组全体党员参加。会议由党小组长主持，会前要与党支部沟通，确定内容方法，通知党员做好准备。</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主要任务：主要是传达贯彻上级党组织的指示、决议，研究落实措施；组织党员学习政治理论和党的基本知识；讨论对入党积极分子的培养教育和发展党员、预备党员的转正；评选优秀党员，讨论对违纪党员的处分；开展以批评和自我批评为主要内容的谈心活动。重点开好组织生活会，听取党员思想、作风和廉政勤政、学习、工作情况汇报；围绕一个时期党和国家的重大决策，向组织表明自己的政治态度、政治立场，交流思想，开展批评和自我批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4.关于党课。</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（1）时间要求：至少每季度安排1次。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参加人员：党支部全体党员、发展对象和入党积极分子参加。由支部委员会安排，授课人一般由基层党组织书记或委员担任，也可聘请有一定理论水平、党性强、觉悟高、有威信的党员担任。党员领导干部尤其是党委、党总支书记要带头为党员干部上党课，每年至少上1次。也可组织党员通过观看红色教育视频和影片的形式进行授课。</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党课内容：党课教育的内容要从实际出发，主要包括七个方面，分别是理想信念教育、马克思主义基本理论教育、党章和党的基本知识教育、党的基本路线教育、形势政策教育、党性党风党纪和科学文化知识教育。在确立党课教育的选题时，要着眼于内容上的联系，把握侧重点，突出系统性，体现科学性，增强针对性，提高指导性。</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（二）严格规范组织生活会制度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组织生活会是以交流思想、总结经验教训、开展批评与自我批评为中心内容的组织活动制度，以党支部为单位召开，党支部全体党员参加，一般每半年召开1次。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主要内容：检查党员在贯彻党的路线方针政策和上级党组织的决议，贯彻民主集中制原则，在思想、工作、学习、生活等方面坚持党性原则，密切联系群众，遵纪守法、廉洁自律等方面的情况和问题，以及上一次组织生活会所制定的改进措施的落实情况。</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2.遵循原则：团结－批评－团结。</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3.基本程序：征求意见－交心谈心－查摆问题－自我批评－相互批评－剖析根源－明确整改方向。</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4.主要方法：敞开心扉、交换意见、沟通思想、互相帮助。</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5.工作要求：要突出主题，紧密联系党员和工作实际，认真开展批评与自我批评，讲党性不讲私情，讲真理不讲面子，做到见人见事见思想。实现消除隔阂、增进团结、统一思想、凝心聚力的目标。</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对流动党员，可根据实际组织参加流入地或流出地党组织的专题组织生活会。对年老体弱、长期患病等特殊情况的党员，党支部可根据实际，组织他们通过灵活多样的形式参加组织生活会。</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（三）严格规范民主评议党员工作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民主评议党员制度是加强党的建设的一项重要制度，是通过制度建设加强对党员进行经常性教育、管理和监督的有效方法，是从严治党、提高党员素质的重要措施。民主评议党员以党支部为单位进行，每年开展1次，主要是对照党章规定的党员标准、对照入党誓词，对党员的工作表现和作用发挥情况作出客观评议，可结合党支部年度组织生活会开展。流动党员一般应在其正式组织关系所在党支部参加民主评议。预备党员参加民主评议，但不定等次。年老体弱、长期患病、行动不便的党员，经其所在党支部同意，可不参加党员大会。民主评议党员大会，可邀请群众代表、服务对象列席，对党员进行评议，基层党委要派人到会指导。</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1.评议原则:坚持实事求是、民主公开、党内平等的原则。</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基本内容:主要包括五个方面。是否具有共产主义远大理想和中国特色社会主义信念，把实现现阶段的共同理想同脚踏实地地做好本职工作结合起来，全心全意为人民服务；是否在思想上政治上行动上同党中央保持一致；是否认真践行党的宗旨，是否密切联系群众、关心群众、艰苦奋斗，做到个人利益服从党和人民的，局部服从整体利益；是否坚决执行党组织的决议，严守党纪、政纪、国法，坚决做到令行禁止；是否站在改革发展前列、维护改革发展稳定大局，敢于担当，勇于创新。</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3.方法步骤: 学习教育－自我评价－党内外群众评议－组织考察－党员大会通过－进行表彰和处理。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（1）学习教育阶段。学习内容一般以党章、中国特色社会主义理论以及中央有关文件为基本内容，要结合实际和评议内容学习有关文件。着重抓好理想信念教育、宗旨教育、党风党纪教育。</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自我评价阶段。主要是对照党员标准和评议内容进行。要联系个人思想和工作实际，自觉清理思想，检查言行，肯定成绩，找准存在的问题及根源，在是否合格上进行自我认定。自评前，应认真、如实地写好个人总结材料，并主动征求党内外群众的意见。个人总结写好后要经党支部审定，然后由党员在党支部大会上进行自我总结。</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党内外群众评议阶段。先在党支部进行党内互评，评议中要认真开展批评和自我批评，敢于触及矛盾和问题，避免不负责任的评功摆好。对不宜公开批评的问题，可通过意见箱或同党员个别谈话等方式，充分发表意见。党内互评后，一般采用座谈会或民意测验的方法，听取党外群众对党支部和党员的意见。</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（4）组织考察阶段。召开支部委员会会议，将各方面对每个党员的评价和反映，进行综合分析，提出初步意见，有需要核实的情况，再进一步调查核实。</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（5）党员大会通过阶段。经组织考察后，提交党员大会讨论，按照少数服从多数的原则，形成正式组织意见。对确定为优秀党员和不合格党员的，要报上级党委审批。</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表彰、处理阶段。经过民主评议，对一致公认表现好的党员，由支部、总支通过口头或书面形式进行表扬，对突出的优秀党员，报学校党委给予表彰；对合格党员要给予肯定和鼓励；对不合格党员要按照有关政策，区别不同情况，提出妥善处置的意见，提交支部大会，按照民主集中制的原则进行表决。</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评议等次：一般分为优秀、合格、基本合格、不合格党员四个等次。通过评议，对优秀党员采取适当形式给予表扬和表彰（预备党员不宜评为优秀党员，切实表现突出的，可以给予口头表扬或奖励。对党性不强的党员，及时进行批评教育，限期改正；经教育仍无转变的，应劝其退党或除名。确定党员评议等次要注意区分主观原因和客观原因、个人原因和组织原因、一时表现和一贯表现，实事求是评定党员等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员无正当理由六个月不参加党的组织生活或不交纳党费，或不做党所分配的工作的，应评定为不合格等次。党员受党内警告处分的，当年不能评为优秀。受严重警告处分的，当年不能评为合格及以上等次；受撤销党内职务和留党察看一年处分的，当年评为不合格等次；受留党察看二年处分的，当年评为不合格等次，第二年不确定评定等次。涉嫌违法违纪被立案侦查尚未结案的，当年参加民主评议，但不定等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5.结果运用：对优秀党员和合格党员，评议材料由党组织存档。对于基本合格和不合格党员，要根据实际情况给予限期改正、劝其退党、党内除名的处置。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限期改正。对民主评议评定为不合格等次，或连续两年被评定为基本合格等次的党员，应当限期改正，对党员作出限期改正的处置，必须经过支部党员大会讨论，按照少数服从多数的原则作出决定，并报上级党组织批准。期限一般为一年，在限期改正期满时，要及时召开支部党员大会进行讨论，认为其仍未改正缺点错误，仍未达到合格党员的条件，党组织应当劝其退党，劝而不退的予以除名。一般不再延长限期改正的时间。限期改正不是党的纪律处分，党员在限期改正期间，其权利和义务不受影响。</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劝其退党。连续两年评定为不合格等次的，或三年内没有被评为合格及以上等次的，应当劝其退党。在确定是否劝退某个党员出党时，党组织一定要采取严肃认真的态度。对其表现要进行全面的历史的分析，弄清楚原因，分析有没有转变的可能和是否确实符合党章规定的劝退条件，实事求是地作出决定，努力做到本人心服口服，不伤感情。</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（3）党内除名。党内除名是对不具备党员条件的党员进行组织处理的一种形式。除名包括对自行脱党者除名、对要求退党者除名和对被劝告退党而坚持不退者除名。</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（四）严格规范党员党性定期分析</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实行党员党性定期分析评议是充分发扬党内民主，融教育、监督、管理于一体的加强党的建设的重要手段。党员党性定期分析以党支部为单位进行，原则上每年1次，可结合党支部年度组织生活会开展。</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1.分析对象：各党支部党员。</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主要内容：对照新时期保持共产党员先进性、纯洁性的要求，着重从理想信念、宗旨意识、工作业绩、作风建设、组织纪律五个方面进行党性分析。要根据不同党员群体先进性的具体要求和不同岗位的特点，确定符合实际的评议内容。</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（1）理想信念。是否具有坚定的共产主义理想和建设中国特色社会主义信念，对党忠诚，自觉实践“四讲四有”，做合格党员。</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宗旨意识。是否做到把党的宗旨落实到自己的本职工作和社会公益事业中，联系和服务群众，倾听群众呼声，关心群众疾苦，为身边的群众做好事、办实事、解难事。能否正确处理国家利益、人民利益和自身利益之间的关系，全心全意为广大群众服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工作业绩。根据党员不同的岗位责任，对党员在一定时期内的工作实绩进行总体评价。从党员的工作态度、工作能力、工作完成情况等方面，考察党员是否具有强烈的事业心和责任感，是否认真履行岗位职责，为本部门做出贡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（4）组织纪律。是否遵守党规党章、党的纪律和国家法律法规，在思想上政治上同党中央保持一致，自觉抵制不正之风和各种腐败现象，敢于同各种违法违纪行为作斗争。</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作风建设。主要对党员在学风、思想作风、工作作风、领导作风、生活作风方面的表现进行评议。既要看党员在继承和发扬党的优良传统和作风方面的表现,也要对党员在树立社会主义荣辱观、恪守职业道德、社会公德、家庭美德以及遵守法律法规等方面的表现进行评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3.方法步骤：开展思想动员，广泛征求意见，相互谈心交心，认真撰写党性分析材料，开好专题组织生活会，制定整改措施，通报分析评议情况。</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（1）开展思想动员。组织党员集中学习党章党规，开展宣传教育活动，使每名党员明确开展党员党性定期分析评议工作的重要意义和目的，提高党员对开展党员党性定期分析评议工作的认识。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（2）广泛征求意见。党支部通过发放征求意见表、设置意见箱、召开座谈会等方式，广泛征求群众对党员和党支部的意见和建议，并认真归纳梳理，分别如实向党员本人和党支部委员反馈。</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（3）相互谈心交心。党员领导干部与普通党员之间、领导班子成员之间、普通党员之间广泛开展谈心交心，沟通思想、找准问题、形成共识、增进团结。</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认真撰写党性分析材料。党员对照党章的规定、新时期党员保持先进性的具体要求以及本工作岗位的具体要求，查找自身不足和存在的突出问题，结合征求意见的情况，认真撰写党性分析材料。党员党性分析材料的主要内容为：查摆存在的主要问题、剖析思想根源、明确努力方向。党支部结合征求到的群众意见，围绕评价党支部内容认真撰写本支部工作年度工作报告。报告主要内容包括主要工作成效、存在的主要问题及努力方向等。</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开好专题组织生活会。以党支部为单位，召开专题组织生活会，组织党员互相评议。党员逐个进行对照检查、自我批评；党员之间互相评议，开展批评，互相帮助，共同提高；最后由全体与会党员按满意、基本满意、不满意三个等次进行民主测评。党员主要围绕“五讲五不讲”认真开展自我批评：讲问题不讲成绩，讲实话不讲空话，讲主观不讲客观，讲个人不讲组织，讲决心不讲怨言。党员领导干部要以普通党员的身份参加支部的党员互评活动，带头开展批评和自我批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（6）制定整改措施。党员根据党性分析评议中查摆出来的突出问题，并按照要求切实进行整改。党员要提出明确的整改措施、整改时限，作出整改承诺。党员领导干部的整改要为其他党员作出表率。</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7）通报分析评议情况。党支部要采取适当的方式，在一定范围内向党员和群众通报党性分析评议情况，充分听取群众意见，自觉接受群众监督。通报的内容包括：党员存在的主要问题、制定整改措施和进行整改的情况。</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（8）上报党性分析评议情况报告。党性分析评议结束后，党支部要将组织开展党性分析评议的有关情况进行总结，上报党总支和学校党委。</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结果运用：对评议出的优秀党员，党组织要采取适当形式给予表扬和表彰；党员民主评议结果作为党员干部年度考核的重要依据，民主评议为基本合格或不合格等次的，年度考核不能评定为优秀等次；干部考察对象是党员身份的应注明其近年党员民主评议结果；对评议出的不履行党员义务、不具备党员条件的党员，要认真做好教育转化工作，经教育帮助仍然不改正的，按照党章和党内有关规定进行组织处理。在操作过程中，严格按照支委会提出初步处置意见、支部党员大会讨论通过、基层党委复核审批等 “三个程序”，力求做到事实清楚、理由充分、处理恰当、手续完备。</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（五）严格规范经常性谈心谈话制度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在党内广泛开展谈心活动是我们党的优良传统，是发扬党内民主、增进党内团结、推动党的事业发展的有效途径和形式，对于加强党的自身建设、保持党的先进性具有重要意义。党支部负责人要经常与党员谈心谈话，做好思想政治工作，谈心谈话活动可与组织生活会、民主评议党员、党员党性定期分析等结合起来安排。</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谈心谈话对象：基层党组织领导班子成员之间、班子成员与党员之间、党员和党员之间要经常性进行谈心谈话，坦诚相见，交流思想，交换意见。党委主要负责人同班子成员之间必谈、班子成员相互之间必谈、班子成员和分管部门负责同志之间必谈、分管部门负责同志与一般干部职工之间必谈。党员领导干部要结合“一岗双责”要求和分管工作，开展谈心谈话活动。</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2.谈心谈话要求：要做到“六必谈”，即党员工作变动时必谈、受到表彰或处分时必谈、遇到困难或挫折时必谈、出现矛盾和意见分歧时必谈、群众有不良反映时必谈、党员干部退休时必谈。  </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谈心谈话方式方法：采取个别谈话、集体座谈、随机交流等形式进行，每年至少安排2次。同时，要广泛开展党支部委员与群众谈心交流活动，努力实现全覆盖。要针对不同谈心谈话对象，选好“话题”，突出谈心谈话重点，改进谈心谈话方式方法，营造实事求是、客观公正、坦诚相见的良好氛围，达到沟通思想、增进理解、促进团结、推动工作的效果。党员领导干部应当主动接受党员、干部的约谈。</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4.谈心谈话主要内容：了解和掌握谈心对象的思想、工作、作风、学习及家庭等方面的情况；发现谈心对象存在的缺点和问题，明确努力方向，提出改正的办法和要求；征询谈心对象对自己的意见、建议和要求，帮助自己查找存在的问题，剖析存在问题的根源；交流思想，倾听谈心对象呼声，了解他们的真实想法，沟通彼此的思想和感情；开展批评与自我批评，消除彼此间的误解和隔阂，化解相互间的分歧和矛盾，增进彼此间的熟知和信任。   </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（六）严格实行党员活动日制度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推行党员固定活动日制度，是从严加强组织生活新常态的要求，通过建立党员固定活动日制度，从严格管理党员、严肃组织生活，进一步落实“三会一课”等党内组织生活，确保从严治党、党要管党的各项措施落实到位。我校党员活动日原则上固定为每月第三周星期五下午，各党支部要围绕发挥党组织战斗堡垒作用和党员先锋模范作用，组织开展主题鲜明、内容丰富、方式新颖、实效明显的党组织活动，切实加强对党员的经常性教育。 </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1.明确活动日主题：党员活动日应当突出政治性，加强理想信念教育、党史教育、党性党风党纪教育、党的优良传统教育，深化党的基本理论和路线方针政策学习，帮助党员增强党性观念和党员意识。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创新方式方法：党员活动日的形式要灵活多样，可采取集中学习、举办培训班、举行报告会、组织专题研讨、参观党性教育基地、警示教育、技能比赛、实践锻炼、走访调研、志愿服务等多种方式进行，帮助党员加强党性锻炼。要以党支部为活动组织单位，支部内所属正式党员、预备党员和入党积极分子为活动主体。结合学校中心工作，创造性地开展活动，增强党组织和广大党员的政治责任、党员意识，推动党支部成为坚强战斗堡垒。</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精心安排活动：各党总支要抓实党员固定活动日制度，加强统筹协调和分类指导，各支部要认真研究活动日内容，做到年初有计划、季度有主题、每月有安排、活动有记录、工作有总结。结合党员活动日制度，在每年“七一”前后，各党总支、各党支部开展1次主题党日主题教育活动，引导党员增强荣誉感和责任感。</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（七）严格落实党员领导干部双重组织生活制度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员领导干部要牢固树立党员意识，破除“特殊党员”思想，带头执行党内各项组织生活制度，严格执行双重组织生活制度，以普通党员身份参加所在党支部组织生活，积极参加学习讨论，汇报交流思想情况，听取党员群众的意见建议，认真开展批评与自我批评，模范执行党支部通过的各项决议，自觉接受党组织和党员的监督。要带头为所在党支部党员或基层联系点党员上党课，带头宣讲上级党组织的决策部署，引导和带动其他党员认真参加组织生活。学校领导班子成员要定期、随机参加党支部的组织生活会，发现问题及时纠正。党员领导干部参加双重组织生活的情况要作为年度述职述廉和干部考察的重要内容。</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三、组织实施</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层层压实责任。规范党支部组织生活是基层党建工作考核的重要内容，各基层组织书记为第一责任人，各总支、直属支部每年对党支部组织生活作出总体安排，指导党支部严格规范落实组织生活。党支部书记作为支部组织生活的具体组织者和实施者，要认真履职尽责，制定年度和阶段性工作计划，并组织实施。</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创新方式方法。各总支、支部根据党员的特点和需求，创新组织生活的载体、形式、手段，坚持用好讲授辅导、交流讨论、现场观摩、远程教育等基本方式，大力探索体验式、开放式组织生活，推广“互联网+”“微党课”“微讲堂”等做法，提高组织生活的吸引力，保障组织生活全覆盖。</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强化工作保障。各总支、支部要开展组织生活制度的学习培训，做到领导干部熟悉制度、党支部精通制度、党员了解制度。各总支、支部应建立完善组织生活纪实、考勤、定期通报和公示、责任追究等相关制度，建立党员参加组织生活情况台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加强督促检查。党委组织部要开展督促检查，对于组织生活制度不健全，执行制度不规范不到位的，要责令限期整改，情节严重的要通报批评、追究责任。对执行组织生活制度不力、党内组织生活不正常的，党员无故不参加党内组织生活的，不得作为党内表彰对象。对于组织生活质量不高或搞简单化、娱乐化的党支部，视情节轻重情况，学校党委将进行约谈和相应处理。对无故不参加党的组织生活的党员，视情节轻重进行谈话提醒、警示告诫、限期整改等处置。</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p>
    <w:p>
      <w:pPr>
        <w:pageBreakBefore w:val="0"/>
        <w:kinsoku/>
        <w:wordWrap/>
        <w:overflowPunct/>
        <w:topLinePunct w:val="0"/>
        <w:autoSpaceDE/>
        <w:autoSpaceDN/>
        <w:bidi w:val="0"/>
        <w:spacing w:line="440" w:lineRule="exact"/>
        <w:ind w:firstLine="643" w:firstLineChars="200"/>
        <w:jc w:val="left"/>
        <w:outlineLvl w:val="9"/>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注：党支部日常会议、活动的项目和次数要求</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1.支部党员大会（每季度至少一次，我校不设党小组，党小组会要求每月一次，所以我校各党支部党员大会应每月一次 ）</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2.支部委员会会议（每月一次）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3.党课（每季一次）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4.组织生活会（半年一次）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5.民主评议党员会议（一年一次）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6.党员党性定期分析（一年一次）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7.谈心谈话（一年二次）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8.廉政建设形势报告（一年一次）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9.意识形态专题研究（一年一次）</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10.联系班级和支部（每年2次以上）</w:t>
      </w:r>
    </w:p>
    <w:p>
      <w:pPr>
        <w:pageBreakBefore w:val="0"/>
        <w:kinsoku/>
        <w:wordWrap/>
        <w:overflowPunct/>
        <w:topLinePunct w:val="0"/>
        <w:autoSpaceDE/>
        <w:autoSpaceDN/>
        <w:bidi w:val="0"/>
        <w:spacing w:line="44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11.党员活动日（每月相对固定1天，我校原则上固定为每月第三周星期五下午）（开展“三会一课”、交纳党费两项规定动作，同时结合实际开展组织生活会、民主评议党员、党员党性分析、民主议事、党务公开、谈心谈话、实践锻炼、服务群众、走访调研、重温入党誓词等自选动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32" w:name="_Toc534377763"/>
      <w:bookmarkStart w:id="33" w:name="_Toc31749"/>
      <w:bookmarkStart w:id="34" w:name="_Toc6164"/>
      <w:bookmarkStart w:id="35" w:name="_Toc1601"/>
      <w:r>
        <w:rPr>
          <w:rFonts w:hint="eastAsia" w:ascii="黑体" w:hAnsi="黑体" w:eastAsia="黑体" w:cs="黑体"/>
          <w:color w:val="000000"/>
          <w:kern w:val="2"/>
          <w:sz w:val="36"/>
          <w:szCs w:val="36"/>
        </w:rPr>
        <w:t>柳州职业技术学院</w:t>
      </w:r>
      <w:bookmarkEnd w:id="32"/>
      <w:bookmarkStart w:id="36" w:name="_Toc534377764"/>
      <w:r>
        <w:rPr>
          <w:rFonts w:hint="eastAsia" w:ascii="黑体" w:hAnsi="黑体" w:eastAsia="黑体" w:cs="黑体"/>
          <w:color w:val="000000"/>
          <w:kern w:val="2"/>
          <w:sz w:val="36"/>
          <w:szCs w:val="36"/>
        </w:rPr>
        <w:t>基层党组织按期换届提醒督促制度</w:t>
      </w:r>
      <w:bookmarkEnd w:id="33"/>
      <w:bookmarkEnd w:id="34"/>
      <w:bookmarkEnd w:id="35"/>
      <w:bookmarkEnd w:id="36"/>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（柳职院党字〔2017〕35号）</w:t>
      </w:r>
    </w:p>
    <w:p>
      <w:pPr>
        <w:pageBreakBefore w:val="0"/>
        <w:kinsoku/>
        <w:wordWrap/>
        <w:overflowPunct/>
        <w:topLinePunct w:val="0"/>
        <w:autoSpaceDE/>
        <w:autoSpaceDN/>
        <w:bidi w:val="0"/>
        <w:spacing w:line="58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按照《中共中央组织部关于建立健全基层党组织按期换届提醒督促机制的通知》（组通字〔2017〕31 号）的要求，为加强学校基层党组织建设，根据《中国共产党党章》和《中国共产党基层组织选举工作暂行条例》等党内有关规定，结合学校实际，制订本制度。</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一、</w:t>
      </w:r>
      <w:r>
        <w:rPr>
          <w:rFonts w:hint="eastAsia" w:ascii="仿宋" w:hAnsi="仿宋" w:eastAsia="仿宋" w:cs="仿宋"/>
          <w:color w:val="000000"/>
          <w:kern w:val="0"/>
          <w:sz w:val="32"/>
          <w:szCs w:val="32"/>
        </w:rPr>
        <w:t>基层党组织换届选举，是基层党组织建设的重要内容，是党内民主的重要实现形式，是党内政治生活正常化、制度化的重要标志。基层党组织按期换届，是严肃党内政治生活、增强基层党组织政治功能、保障党员民主权利的一项基本制度，是推动全面从严治党向基层延伸的必然要求。按期做好基层党组织的换届工作，是适应新形势新任务，进一步加强基层党组织领导班子建设、提高党建工作水平、增强党组织凝聚力和战斗力的需要。</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二、</w:t>
      </w:r>
      <w:r>
        <w:rPr>
          <w:rFonts w:hint="eastAsia" w:ascii="仿宋" w:hAnsi="仿宋" w:eastAsia="仿宋" w:cs="仿宋"/>
          <w:color w:val="000000"/>
          <w:kern w:val="0"/>
          <w:sz w:val="32"/>
          <w:szCs w:val="32"/>
        </w:rPr>
        <w:t>学校党委每届任期5年，校内各二级学院（部）党组织每届任期4年、各党支部每届任期2年。</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三、</w:t>
      </w:r>
      <w:r>
        <w:rPr>
          <w:rFonts w:hint="eastAsia" w:ascii="仿宋" w:hAnsi="仿宋" w:eastAsia="仿宋" w:cs="仿宋"/>
          <w:color w:val="000000"/>
          <w:kern w:val="0"/>
          <w:sz w:val="32"/>
          <w:szCs w:val="32"/>
        </w:rPr>
        <w:t>换届督促实施“提醒制”</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学校党委组织部负责组织校内各二级学院（部）党组织和各直属党支部的换届工作。各二级学院（部）党组织和各直属党支部任期届满前，党委组织部提前3个月进行提醒沟通，及时组织开展换届有关工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（二）校内各二级学院（部）党组织负责组织下属各党支部的换届工作。各党支部任期届满前，各二级学院（部）党组织提前2个月进行提醒沟通，及时组织开展换届工作。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（三）学校党委组织部每年3月和9月定期排查年内任期届满的基层党支部，向对应二级学院（部）党组织下发书面提醒通知。</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各二级学院（部）党组织接到通知后，必须在一个月内研究确定换届选举时间，并以书面形式报学校党委组织部备案。</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（四）同意换届请示后，学校党委组织部提醒各二级学院（部）党组织、各党支部完成换届选举后一周内须向上级党组织报告选举结果，并向党委组织部报备。</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四、</w:t>
      </w:r>
      <w:r>
        <w:rPr>
          <w:rFonts w:hint="eastAsia" w:ascii="仿宋" w:hAnsi="仿宋" w:eastAsia="仿宋" w:cs="仿宋"/>
          <w:color w:val="000000"/>
          <w:kern w:val="0"/>
          <w:sz w:val="32"/>
          <w:szCs w:val="32"/>
        </w:rPr>
        <w:t>校内各二级学院（部）党组织、各党支部中，如有特殊情况须提前或延期进行换届选举的，须经上级党组织批准。其中，各二级学院（部）党组织和各直属党支部须经学校党委批准，各二级学院（部）党组织下属各党支部须经所属二级学院（部）党组织批准。</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五、</w:t>
      </w:r>
      <w:r>
        <w:rPr>
          <w:rFonts w:hint="eastAsia" w:ascii="仿宋" w:hAnsi="仿宋" w:eastAsia="仿宋" w:cs="仿宋"/>
          <w:color w:val="000000"/>
          <w:kern w:val="0"/>
          <w:sz w:val="32"/>
          <w:szCs w:val="32"/>
        </w:rPr>
        <w:t>提前换届选举的几种特殊情况</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（一）委员缺额较多，使党组织工作受到影响的；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（二）委员会班子存在严重问题，党员强烈要求改选的；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（三）由于其他原因，上级党组织决定提前改选的。</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六、</w:t>
      </w:r>
      <w:r>
        <w:rPr>
          <w:rFonts w:hint="eastAsia" w:ascii="仿宋" w:hAnsi="仿宋" w:eastAsia="仿宋" w:cs="仿宋"/>
          <w:color w:val="000000"/>
          <w:kern w:val="0"/>
          <w:sz w:val="32"/>
          <w:szCs w:val="32"/>
        </w:rPr>
        <w:t>延期换届选举的几种特殊情况</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（一）多数委员被派遣临时外出工作，无法按期选举的；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（二）任期届满时，正集中一段时间完成某项紧迫任务难以改选的；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（三）遇到某些突发性事件或自然灾害等，党组织必须全力以赴去处理的；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（四）党组织存在问题正在进行整顿，改选条件不具备的；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（五）党员外出较多，大会达不到规定人数的；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（六）新建立的单位，选举条件不成熟的；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（七）由于其他原因，上级党组织决定延期改选的。</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七、</w:t>
      </w:r>
      <w:r>
        <w:rPr>
          <w:rFonts w:hint="eastAsia" w:ascii="仿宋" w:hAnsi="仿宋" w:eastAsia="仿宋" w:cs="仿宋"/>
          <w:color w:val="000000"/>
          <w:kern w:val="0"/>
          <w:sz w:val="32"/>
          <w:szCs w:val="32"/>
        </w:rPr>
        <w:t>延长换届选举时间的延长期一般不超过1年。</w:t>
      </w:r>
    </w:p>
    <w:p>
      <w:pPr>
        <w:pageBreakBefore w:val="0"/>
        <w:kinsoku/>
        <w:wordWrap/>
        <w:overflowPunct/>
        <w:topLinePunct w:val="0"/>
        <w:autoSpaceDE/>
        <w:autoSpaceDN/>
        <w:bidi w:val="0"/>
        <w:spacing w:line="580" w:lineRule="exact"/>
        <w:ind w:firstLine="643"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八、</w:t>
      </w:r>
      <w:r>
        <w:rPr>
          <w:rFonts w:hint="eastAsia" w:ascii="仿宋" w:hAnsi="仿宋" w:eastAsia="仿宋" w:cs="仿宋"/>
          <w:color w:val="000000"/>
          <w:kern w:val="0"/>
          <w:sz w:val="32"/>
          <w:szCs w:val="32"/>
        </w:rPr>
        <w:t>本制度由学校党委组织部负责解释，自发布之日起施行</w:t>
      </w:r>
    </w:p>
    <w:p>
      <w:pPr>
        <w:pageBreakBefore w:val="0"/>
        <w:kinsoku/>
        <w:wordWrap/>
        <w:overflowPunct/>
        <w:topLinePunct w:val="0"/>
        <w:autoSpaceDE/>
        <w:autoSpaceDN/>
        <w:bidi w:val="0"/>
        <w:outlineLvl w:val="9"/>
        <w:rPr>
          <w:rFonts w:hint="eastAsia" w:ascii="仿宋" w:hAnsi="仿宋" w:eastAsia="仿宋" w:cs="仿宋"/>
          <w:sz w:val="32"/>
          <w:szCs w:val="32"/>
        </w:rPr>
        <w:sectPr>
          <w:footerReference r:id="rId3" w:type="default"/>
          <w:pgSz w:w="11906" w:h="16838"/>
          <w:pgMar w:top="2098" w:right="1474" w:bottom="1984"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37" w:name="_Toc16061"/>
      <w:bookmarkStart w:id="38" w:name="_Toc3377"/>
      <w:bookmarkStart w:id="39" w:name="_Toc5788"/>
      <w:bookmarkStart w:id="40" w:name="_Toc24390"/>
      <w:bookmarkStart w:id="41" w:name="_Toc9512"/>
      <w:r>
        <w:rPr>
          <w:rFonts w:hint="eastAsia" w:ascii="黑体" w:hAnsi="黑体" w:eastAsia="黑体" w:cs="黑体"/>
          <w:color w:val="000000"/>
          <w:kern w:val="2"/>
          <w:sz w:val="36"/>
          <w:szCs w:val="36"/>
        </w:rPr>
        <w:t>柳州职业技术学院</w:t>
      </w:r>
      <w:bookmarkEnd w:id="37"/>
      <w:bookmarkStart w:id="42" w:name="_Toc31272"/>
      <w:r>
        <w:rPr>
          <w:rFonts w:hint="eastAsia" w:ascii="黑体" w:hAnsi="黑体" w:eastAsia="黑体" w:cs="黑体"/>
          <w:color w:val="000000"/>
          <w:kern w:val="2"/>
          <w:sz w:val="36"/>
          <w:szCs w:val="36"/>
        </w:rPr>
        <w:t>党员干部廉政教育约谈实施办法（试行）</w:t>
      </w:r>
      <w:bookmarkEnd w:id="38"/>
      <w:bookmarkEnd w:id="39"/>
      <w:bookmarkEnd w:id="40"/>
      <w:bookmarkEnd w:id="41"/>
      <w:bookmarkEnd w:id="42"/>
    </w:p>
    <w:p>
      <w:pPr>
        <w:pageBreakBefore w:val="0"/>
        <w:kinsoku/>
        <w:wordWrap/>
        <w:overflowPunct/>
        <w:topLinePunct w:val="0"/>
        <w:autoSpaceDE/>
        <w:autoSpaceDN/>
        <w:bidi w:val="0"/>
        <w:spacing w:line="596" w:lineRule="exact"/>
        <w:jc w:val="center"/>
        <w:outlineLvl w:val="9"/>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柳职院纪字〔2019〕1 号</w:t>
      </w:r>
      <w:r>
        <w:rPr>
          <w:rFonts w:hint="eastAsia" w:ascii="仿宋" w:hAnsi="仿宋" w:eastAsia="仿宋" w:cs="仿宋"/>
          <w:b w:val="0"/>
          <w:bCs w:val="0"/>
          <w:sz w:val="32"/>
          <w:szCs w:val="32"/>
          <w:lang w:eastAsia="zh-CN"/>
        </w:rPr>
        <w:t>）</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val="0"/>
          <w:bCs w:val="0"/>
          <w:sz w:val="32"/>
          <w:szCs w:val="32"/>
          <w:lang w:eastAsia="zh-CN"/>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深入推进我校全面从严治党，更好地贯彻落实党风廉政建设责任制，运用好监督执纪“咬耳扯袖、红脸出汗”第一种形态，切实加强对党员干部的早教育、早提醒，把问题消除在萌芽状态，根据《中国共产党党内监督条例》、《关于实行党风廉政建设责任制的规定》等相关规定，结合学校实际情况，制定本办法。</w:t>
      </w:r>
    </w:p>
    <w:p>
      <w:pPr>
        <w:pageBreakBefore w:val="0"/>
        <w:numPr>
          <w:ilvl w:val="0"/>
          <w:numId w:val="1"/>
        </w:numPr>
        <w:kinsoku/>
        <w:wordWrap/>
        <w:overflowPunct/>
        <w:topLinePunct w:val="0"/>
        <w:autoSpaceDE/>
        <w:autoSpaceDN/>
        <w:bidi w:val="0"/>
        <w:spacing w:line="596" w:lineRule="exact"/>
        <w:outlineLvl w:val="9"/>
        <w:rPr>
          <w:rFonts w:hint="eastAsia" w:ascii="仿宋" w:hAnsi="仿宋" w:eastAsia="仿宋" w:cs="仿宋"/>
          <w:sz w:val="32"/>
          <w:szCs w:val="32"/>
        </w:rPr>
      </w:pPr>
      <w:r>
        <w:rPr>
          <w:rFonts w:hint="eastAsia" w:ascii="仿宋" w:hAnsi="仿宋" w:eastAsia="仿宋" w:cs="仿宋"/>
          <w:sz w:val="32"/>
          <w:szCs w:val="32"/>
        </w:rPr>
        <w:t xml:space="preserve"> 约谈人和被约谈人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约谈人是校领导、二级部门（二级学院）领导、纪检监察机构负责人。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被约谈人是全校中共党员和履行管理职责的干部。</w:t>
      </w:r>
    </w:p>
    <w:p>
      <w:pPr>
        <w:pageBreakBefore w:val="0"/>
        <w:numPr>
          <w:ilvl w:val="0"/>
          <w:numId w:val="1"/>
        </w:numPr>
        <w:kinsoku/>
        <w:wordWrap/>
        <w:overflowPunct/>
        <w:topLinePunct w:val="0"/>
        <w:autoSpaceDE/>
        <w:autoSpaceDN/>
        <w:bidi w:val="0"/>
        <w:spacing w:line="596" w:lineRule="exact"/>
        <w:outlineLvl w:val="9"/>
        <w:rPr>
          <w:rFonts w:hint="eastAsia" w:ascii="仿宋" w:hAnsi="仿宋" w:eastAsia="仿宋" w:cs="仿宋"/>
          <w:sz w:val="32"/>
          <w:szCs w:val="32"/>
        </w:rPr>
      </w:pPr>
      <w:r>
        <w:rPr>
          <w:rFonts w:hint="eastAsia" w:ascii="仿宋" w:hAnsi="仿宋" w:eastAsia="仿宋" w:cs="仿宋"/>
          <w:sz w:val="32"/>
          <w:szCs w:val="32"/>
        </w:rPr>
        <w:t xml:space="preserve"> 约谈的种类</w:t>
      </w:r>
    </w:p>
    <w:p>
      <w:pPr>
        <w:pageBreakBefore w:val="0"/>
        <w:kinsoku/>
        <w:wordWrap/>
        <w:overflowPunct/>
        <w:topLinePunct w:val="0"/>
        <w:autoSpaceDE/>
        <w:autoSpaceDN/>
        <w:bidi w:val="0"/>
        <w:spacing w:line="596" w:lineRule="exact"/>
        <w:ind w:left="643"/>
        <w:outlineLvl w:val="9"/>
        <w:rPr>
          <w:rFonts w:hint="eastAsia" w:ascii="仿宋" w:hAnsi="仿宋" w:eastAsia="仿宋" w:cs="仿宋"/>
          <w:sz w:val="32"/>
          <w:szCs w:val="32"/>
        </w:rPr>
      </w:pPr>
      <w:r>
        <w:rPr>
          <w:rFonts w:hint="eastAsia" w:ascii="仿宋" w:hAnsi="仿宋" w:eastAsia="仿宋" w:cs="仿宋"/>
          <w:sz w:val="32"/>
          <w:szCs w:val="32"/>
        </w:rPr>
        <w:t>约谈种类包括工作约谈、警示约谈和诫勉约谈：</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shd w:val="clear" w:color="auto" w:fill="FFFFFF"/>
        </w:rPr>
        <w:t>工作约谈“重预防”，突出了解情况。</w:t>
      </w:r>
      <w:r>
        <w:rPr>
          <w:rFonts w:hint="eastAsia" w:ascii="仿宋" w:hAnsi="仿宋" w:eastAsia="仿宋" w:cs="仿宋"/>
          <w:sz w:val="32"/>
          <w:szCs w:val="32"/>
          <w:shd w:val="clear" w:color="auto" w:fill="FFFFFF"/>
        </w:rPr>
        <w:t>通过工作约谈，及时了解被谈话对象的思想状况，指导督促工作，做到“抓在日常、严在经常”，让党员干部充分感受到组织的温暖和关心，时刻拧紧纪律作风发条，激发干事创业</w:t>
      </w:r>
      <w:r>
        <w:rPr>
          <w:rFonts w:hint="eastAsia" w:ascii="仿宋" w:hAnsi="仿宋" w:eastAsia="仿宋" w:cs="仿宋"/>
          <w:sz w:val="32"/>
          <w:szCs w:val="32"/>
        </w:rPr>
        <w:t>激情。 </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sz w:val="32"/>
          <w:szCs w:val="32"/>
        </w:rPr>
      </w:pPr>
      <w:r>
        <w:rPr>
          <w:rFonts w:hint="eastAsia" w:ascii="仿宋" w:hAnsi="仿宋" w:eastAsia="仿宋" w:cs="仿宋"/>
          <w:b/>
          <w:bCs/>
          <w:sz w:val="32"/>
          <w:szCs w:val="32"/>
        </w:rPr>
        <w:t>2.警示约谈“重提醒”，突出遏制苗头。</w:t>
      </w:r>
      <w:r>
        <w:rPr>
          <w:rFonts w:hint="eastAsia" w:ascii="仿宋" w:hAnsi="仿宋" w:eastAsia="仿宋" w:cs="仿宋"/>
          <w:sz w:val="32"/>
          <w:szCs w:val="32"/>
        </w:rPr>
        <w:t>通过警示约谈，及时警示提醒党员干部在贯彻执行中国共产党廉洁自律准则，遵守政治纪律、组织纪律、廉洁纪律、群众纪律、工作纪律、生活纪律，贯彻落实中央八项规定精神等纪律作风建设方面存在的苗头性、倾向性问题，指出问题的严重性和危害性，防止小问题变成大错误。 </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sz w:val="32"/>
          <w:szCs w:val="32"/>
        </w:rPr>
      </w:pPr>
      <w:r>
        <w:rPr>
          <w:rFonts w:hint="eastAsia" w:ascii="仿宋" w:hAnsi="仿宋" w:eastAsia="仿宋" w:cs="仿宋"/>
          <w:b/>
          <w:bCs/>
          <w:sz w:val="32"/>
          <w:szCs w:val="32"/>
        </w:rPr>
        <w:t>3.诫勉谈话“重帮教”，突出纠偏扶正。</w:t>
      </w:r>
      <w:r>
        <w:rPr>
          <w:rFonts w:hint="eastAsia" w:ascii="仿宋" w:hAnsi="仿宋" w:eastAsia="仿宋" w:cs="仿宋"/>
          <w:sz w:val="32"/>
          <w:szCs w:val="32"/>
        </w:rPr>
        <w:t>对虽不构成违纪但造成不良影响，或者虽构成违纪但依据有关规定免予党纪政纪处分的党员干部</w:t>
      </w:r>
      <w:r>
        <w:rPr>
          <w:rFonts w:hint="eastAsia" w:ascii="仿宋" w:hAnsi="仿宋" w:eastAsia="仿宋" w:cs="仿宋"/>
          <w:sz w:val="32"/>
          <w:szCs w:val="32"/>
          <w:shd w:val="clear" w:color="auto" w:fill="FFFFFF"/>
        </w:rPr>
        <w:t>进行谈话、诫勉教育，</w:t>
      </w:r>
      <w:r>
        <w:rPr>
          <w:rFonts w:hint="eastAsia" w:ascii="仿宋" w:hAnsi="仿宋" w:eastAsia="仿宋" w:cs="仿宋"/>
          <w:sz w:val="32"/>
          <w:szCs w:val="32"/>
        </w:rPr>
        <w:t>提出有针对性的要求，</w:t>
      </w:r>
      <w:r>
        <w:rPr>
          <w:rFonts w:hint="eastAsia" w:ascii="仿宋" w:hAnsi="仿宋" w:eastAsia="仿宋" w:cs="仿宋"/>
          <w:sz w:val="32"/>
          <w:szCs w:val="32"/>
          <w:shd w:val="clear" w:color="auto" w:fill="FFFFFF"/>
        </w:rPr>
        <w:t>达到及时提醒、教育挽救的目的。诫勉约谈要严肃指出其存在问题，</w:t>
      </w:r>
      <w:r>
        <w:rPr>
          <w:rFonts w:hint="eastAsia" w:ascii="仿宋" w:hAnsi="仿宋" w:eastAsia="仿宋" w:cs="仿宋"/>
          <w:sz w:val="32"/>
          <w:szCs w:val="32"/>
        </w:rPr>
        <w:t>认真听取其对有关问题的解释和说明，</w:t>
      </w:r>
      <w:r>
        <w:rPr>
          <w:rFonts w:hint="eastAsia" w:ascii="仿宋" w:hAnsi="仿宋" w:eastAsia="仿宋" w:cs="仿宋"/>
          <w:sz w:val="32"/>
          <w:szCs w:val="32"/>
          <w:shd w:val="clear" w:color="auto" w:fill="FFFFFF"/>
        </w:rPr>
        <w:t>分清是非责任，</w:t>
      </w:r>
      <w:r>
        <w:rPr>
          <w:rFonts w:hint="eastAsia" w:ascii="仿宋" w:hAnsi="仿宋" w:eastAsia="仿宋" w:cs="仿宋"/>
          <w:sz w:val="32"/>
          <w:szCs w:val="32"/>
        </w:rPr>
        <w:t>明确需要注意的问题，</w:t>
      </w:r>
      <w:r>
        <w:rPr>
          <w:rFonts w:hint="eastAsia" w:ascii="仿宋" w:hAnsi="仿宋" w:eastAsia="仿宋" w:cs="仿宋"/>
          <w:sz w:val="32"/>
          <w:szCs w:val="32"/>
          <w:shd w:val="clear" w:color="auto" w:fill="FFFFFF"/>
        </w:rPr>
        <w:t>帮助</w:t>
      </w:r>
      <w:r>
        <w:rPr>
          <w:rFonts w:hint="eastAsia" w:ascii="仿宋" w:hAnsi="仿宋" w:eastAsia="仿宋" w:cs="仿宋"/>
          <w:sz w:val="32"/>
          <w:szCs w:val="32"/>
        </w:rPr>
        <w:t>深刻反思错误，</w:t>
      </w:r>
      <w:r>
        <w:rPr>
          <w:rFonts w:hint="eastAsia" w:ascii="仿宋" w:hAnsi="仿宋" w:eastAsia="仿宋" w:cs="仿宋"/>
          <w:sz w:val="32"/>
          <w:szCs w:val="32"/>
          <w:shd w:val="clear" w:color="auto" w:fill="FFFFFF"/>
        </w:rPr>
        <w:t>吸取教训，</w:t>
      </w:r>
      <w:r>
        <w:rPr>
          <w:rFonts w:hint="eastAsia" w:ascii="仿宋" w:hAnsi="仿宋" w:eastAsia="仿宋" w:cs="仿宋"/>
          <w:sz w:val="32"/>
          <w:szCs w:val="32"/>
        </w:rPr>
        <w:t>并要求约谈对象提出改正措施，限期整改。</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shd w:val="clear" w:color="auto" w:fill="FFFFFF"/>
        </w:rPr>
      </w:pPr>
      <w:r>
        <w:rPr>
          <w:rFonts w:hint="eastAsia" w:ascii="仿宋" w:hAnsi="仿宋" w:eastAsia="仿宋" w:cs="仿宋"/>
          <w:b/>
          <w:color w:val="000000"/>
          <w:sz w:val="32"/>
          <w:szCs w:val="32"/>
          <w:shd w:val="clear" w:color="auto" w:fill="FFFFFF"/>
        </w:rPr>
        <w:t xml:space="preserve">第三条  </w:t>
      </w:r>
      <w:r>
        <w:rPr>
          <w:rFonts w:hint="eastAsia" w:ascii="仿宋" w:hAnsi="仿宋" w:eastAsia="仿宋" w:cs="仿宋"/>
          <w:sz w:val="32"/>
          <w:szCs w:val="32"/>
        </w:rPr>
        <w:t>约谈的形式</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shd w:val="clear" w:color="auto" w:fill="FFFFFF"/>
        </w:rPr>
        <w:t>约谈形式包括</w:t>
      </w:r>
      <w:r>
        <w:rPr>
          <w:rFonts w:hint="eastAsia" w:ascii="仿宋" w:hAnsi="仿宋" w:eastAsia="仿宋" w:cs="仿宋"/>
          <w:sz w:val="32"/>
          <w:szCs w:val="32"/>
        </w:rPr>
        <w:t>个别约谈、集体约谈：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shd w:val="clear" w:color="auto" w:fill="FFFFFF"/>
        </w:rPr>
      </w:pPr>
      <w:r>
        <w:rPr>
          <w:rFonts w:hint="eastAsia" w:ascii="仿宋" w:hAnsi="仿宋" w:eastAsia="仿宋" w:cs="仿宋"/>
          <w:b/>
          <w:bCs/>
          <w:sz w:val="32"/>
          <w:szCs w:val="32"/>
        </w:rPr>
        <w:t>1.</w:t>
      </w:r>
      <w:r>
        <w:rPr>
          <w:rFonts w:hint="eastAsia" w:ascii="仿宋" w:hAnsi="仿宋" w:eastAsia="仿宋" w:cs="仿宋"/>
          <w:b/>
          <w:sz w:val="32"/>
          <w:szCs w:val="32"/>
        </w:rPr>
        <w:t>个别约谈</w:t>
      </w:r>
      <w:r>
        <w:rPr>
          <w:rFonts w:hint="eastAsia" w:ascii="仿宋" w:hAnsi="仿宋" w:eastAsia="仿宋" w:cs="仿宋"/>
          <w:b/>
          <w:bCs/>
          <w:sz w:val="32"/>
          <w:szCs w:val="32"/>
        </w:rPr>
        <w:t>。</w:t>
      </w:r>
      <w:r>
        <w:rPr>
          <w:rFonts w:hint="eastAsia" w:ascii="仿宋" w:hAnsi="仿宋" w:eastAsia="仿宋" w:cs="仿宋"/>
          <w:sz w:val="32"/>
          <w:szCs w:val="32"/>
        </w:rPr>
        <w:t>一般情况下，学校党政主要负责人负责约谈学校领导班子其他成员，也可以根据工作需要约谈二级部门（二级学院）主要负责人。学校领导班子其他成员按照职责分工负责约谈分管的二级部门（二级学院）负责人，二级部门（二级学院）负责人按照职责分工负责约谈分管科室（团队）的约谈对象。特殊情况下，由纪检监察机构负责人负责协调或组织个别约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2.集体约谈。</w:t>
      </w:r>
      <w:r>
        <w:rPr>
          <w:rFonts w:hint="eastAsia" w:ascii="仿宋" w:hAnsi="仿宋" w:eastAsia="仿宋" w:cs="仿宋"/>
          <w:sz w:val="32"/>
          <w:szCs w:val="32"/>
        </w:rPr>
        <w:t>对两名以上（含两名）被约谈人的约谈内容相同的，可以开展集体约谈活动。一般情况下，学校党政主要负责人、学校领导班子其他成员、二级部门（二级学院）主要负责人、二级部门（二级学院）其他负责人根据实际情况决定并开展集体约谈活动。特殊情况下，由纪检监察机构负责人负责协调或组织集体约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color w:val="000000"/>
          <w:sz w:val="32"/>
          <w:szCs w:val="32"/>
          <w:shd w:val="clear" w:color="auto" w:fill="FFFFFF"/>
        </w:rPr>
        <w:t xml:space="preserve">第四条  </w:t>
      </w:r>
      <w:r>
        <w:rPr>
          <w:rFonts w:hint="eastAsia" w:ascii="仿宋" w:hAnsi="仿宋" w:eastAsia="仿宋" w:cs="仿宋"/>
          <w:sz w:val="32"/>
          <w:szCs w:val="32"/>
        </w:rPr>
        <w:t>约谈的内容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约谈要根据不同谈话的要求，根据党员干部的实际情况，有针对性地确定谈话内容，要重点突出、有的放矢、务求实效，做到“九必谈”：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1.重要时间节点必谈。</w:t>
      </w:r>
      <w:r>
        <w:rPr>
          <w:rFonts w:hint="eastAsia" w:ascii="仿宋" w:hAnsi="仿宋" w:eastAsia="仿宋" w:cs="仿宋"/>
          <w:sz w:val="32"/>
          <w:szCs w:val="32"/>
        </w:rPr>
        <w:t>对重要时间节点可能出现的违规违纪现象,通过个别谈话、集体谈话的形式向党员干部开展约谈，重申纪律要求,提醒干部廉洁过节，狠刹“四风”问题，营造文明、健康、廉洁的节日氛围。听取基层党员干部群众的意见和建议，掌握基层党员干部的困难和意愿，帮助党员干部理顺情绪、增进理解、克服困难。</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2.重要风险岗位必谈。</w:t>
      </w:r>
      <w:r>
        <w:rPr>
          <w:rFonts w:hint="eastAsia" w:ascii="仿宋" w:hAnsi="仿宋" w:eastAsia="仿宋" w:cs="仿宋"/>
          <w:sz w:val="32"/>
          <w:szCs w:val="32"/>
        </w:rPr>
        <w:t>对涉及教育发展重大项目、重大工程、重大政策的重要部门、关键岗位，适时对相关责任人员进行约谈，了解落实上级重大决策部署的情况，提醒干部要严格遵守有关规定，保持廉洁自律和勤政务实的工作作风，确保重点工作、重要项目顺利推进、廉洁实施，保证资金安全、干部廉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3.干部提拔调整必谈。</w:t>
      </w:r>
      <w:r>
        <w:rPr>
          <w:rFonts w:hint="eastAsia" w:ascii="仿宋" w:hAnsi="仿宋" w:eastAsia="仿宋" w:cs="仿宋"/>
          <w:sz w:val="32"/>
          <w:szCs w:val="32"/>
        </w:rPr>
        <w:t>开展任前约谈，主要针对谈话对象近年来在廉洁自律方面的具体表现以及新任职位的特点和岗位要求。对提任的干部，侧重强调履行廉洁自律各项规定，要求在新的岗位上积极勤政廉政；对调整的干部，侧重促其正确对待工作调整，摆正位置，廉洁自律。</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4.受到处分处理必谈。</w:t>
      </w:r>
      <w:r>
        <w:rPr>
          <w:rFonts w:hint="eastAsia" w:ascii="仿宋" w:hAnsi="仿宋" w:eastAsia="仿宋" w:cs="仿宋"/>
          <w:sz w:val="32"/>
          <w:szCs w:val="32"/>
        </w:rPr>
        <w:t>通过约谈，了解约谈对象对所犯错误的认识和整改情况，做好思想教育和政策解释工作，促使其放下包袱，振作精神，改正错误，努力做好本职工作。通过谈心，帮助党员干部在心理最脆弱、思想最迷茫的时候，尽快减轻心理负担，解除思想顾虑，恢复健康积极的精神面貌。</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5.发现苗头倾向必谈。</w:t>
      </w:r>
      <w:r>
        <w:rPr>
          <w:rFonts w:hint="eastAsia" w:ascii="仿宋" w:hAnsi="仿宋" w:eastAsia="仿宋" w:cs="仿宋"/>
          <w:sz w:val="32"/>
          <w:szCs w:val="32"/>
        </w:rPr>
        <w:t>对党员干部存在的一些苗头性、倾向性问题，通过约谈，指出这些苗头性、倾向性问题可能发展造成的危害和后果，达到提醒和警示的效果。听取干部对有关问题的解释和说明，帮助党员干部分析原因、找出症结、及时整改，做到防患于未然，将问题消灭在萌芽状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6.履行“两个责任”不力必谈。</w:t>
      </w:r>
      <w:r>
        <w:rPr>
          <w:rFonts w:hint="eastAsia" w:ascii="仿宋" w:hAnsi="仿宋" w:eastAsia="仿宋" w:cs="仿宋"/>
          <w:sz w:val="32"/>
          <w:szCs w:val="32"/>
        </w:rPr>
        <w:t>在履行全面从严治党主体责任、第一责任人责任、班子成员“一岗双责”方面存在认识不到位、措施不落实的，通过约谈，提醒相关责任人保持头脑清醒，增强责任感和紧迫感，牢记和履行好自己的“一岗双责”，强化担当意识，确保干部队伍经得起考验。</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7.群众举报反映必谈。</w:t>
      </w:r>
      <w:r>
        <w:rPr>
          <w:rFonts w:hint="eastAsia" w:ascii="仿宋" w:hAnsi="仿宋" w:eastAsia="仿宋" w:cs="仿宋"/>
          <w:sz w:val="32"/>
          <w:szCs w:val="32"/>
        </w:rPr>
        <w:t>对于干部群众意见较多的、有信访举报反映但线索笼统不具可查性的，通过约谈，要求谈话对象作出实事求是的说明，帮助分析原因，促其正确对待群众意见，认真纠正自身问题，有则改之，无则加勉。</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8.思想问题突出必谈。</w:t>
      </w:r>
      <w:r>
        <w:rPr>
          <w:rFonts w:hint="eastAsia" w:ascii="仿宋" w:hAnsi="仿宋" w:eastAsia="仿宋" w:cs="仿宋"/>
          <w:sz w:val="32"/>
          <w:szCs w:val="32"/>
        </w:rPr>
        <w:t>对于“三观”不正信念缺失、工作浮躁作风虚夸、学习懒散玩风过盛、精神不振能力不足的党员干部，要通过约谈，认真查摆具体问题，深挖其思想根源，对症下药，解决思想问题，促进队伍建设。</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shd w:val="clear" w:color="auto" w:fill="FFFFFF"/>
        </w:rPr>
      </w:pPr>
      <w:r>
        <w:rPr>
          <w:rFonts w:hint="eastAsia" w:ascii="仿宋" w:hAnsi="仿宋" w:eastAsia="仿宋" w:cs="仿宋"/>
          <w:b/>
          <w:bCs/>
          <w:sz w:val="32"/>
          <w:szCs w:val="32"/>
        </w:rPr>
        <w:t>9.工作明显失误必谈。</w:t>
      </w:r>
      <w:r>
        <w:rPr>
          <w:rFonts w:hint="eastAsia" w:ascii="仿宋" w:hAnsi="仿宋" w:eastAsia="仿宋" w:cs="仿宋"/>
          <w:sz w:val="32"/>
          <w:szCs w:val="32"/>
        </w:rPr>
        <w:t>对于履职无所作为、工作滞后严重、出现明显失误的，要通过约谈，进行教育指导，了解问题原因，使约谈对象认识错误并加以改正。同时了解近期工作开展情况及下一阶段工作打算和设想，就工作中存在的问题和困难进行沟通交流，帮助党员干部理清思路、强化责任、担当作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color w:val="000000"/>
          <w:sz w:val="32"/>
          <w:szCs w:val="32"/>
          <w:shd w:val="clear" w:color="auto" w:fill="FFFFFF"/>
        </w:rPr>
        <w:t xml:space="preserve">第五条  </w:t>
      </w:r>
      <w:r>
        <w:rPr>
          <w:rFonts w:hint="eastAsia" w:ascii="仿宋" w:hAnsi="仿宋" w:eastAsia="仿宋" w:cs="仿宋"/>
          <w:sz w:val="32"/>
          <w:szCs w:val="32"/>
        </w:rPr>
        <w:t>约谈时间</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1.工作约谈，可以根据实际情况进行。有关“干部提拔调整”的约谈，应在正式任命以后、上岗之前进行。有关“重要时间节点”的约谈，应在重要时间节点之前进行。有关“重要风险岗位”的约谈，可以经常性地约谈，经常提醒。</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2.警示约谈，发现存在苗头性、倾向性问题时进行。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color w:val="000000"/>
          <w:sz w:val="32"/>
          <w:szCs w:val="32"/>
          <w:shd w:val="clear" w:color="auto" w:fill="FFFFFF"/>
        </w:rPr>
      </w:pPr>
      <w:r>
        <w:rPr>
          <w:rFonts w:hint="eastAsia" w:ascii="仿宋" w:hAnsi="仿宋" w:eastAsia="仿宋" w:cs="仿宋"/>
          <w:sz w:val="32"/>
          <w:szCs w:val="32"/>
        </w:rPr>
        <w:t>3.诫勉谈话，出现轻微违纪行为时进行。</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color w:val="000000"/>
          <w:sz w:val="32"/>
          <w:szCs w:val="32"/>
          <w:shd w:val="clear" w:color="auto" w:fill="FFFFFF"/>
        </w:rPr>
        <w:t xml:space="preserve">第六条  </w:t>
      </w:r>
      <w:r>
        <w:rPr>
          <w:rFonts w:hint="eastAsia" w:ascii="仿宋" w:hAnsi="仿宋" w:eastAsia="仿宋" w:cs="仿宋"/>
          <w:sz w:val="32"/>
          <w:szCs w:val="32"/>
        </w:rPr>
        <w:t>约谈的工作要求</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1.高度重视，精心组织。</w:t>
      </w:r>
      <w:r>
        <w:rPr>
          <w:rFonts w:hint="eastAsia" w:ascii="仿宋" w:hAnsi="仿宋" w:eastAsia="仿宋" w:cs="仿宋"/>
          <w:sz w:val="32"/>
          <w:szCs w:val="32"/>
        </w:rPr>
        <w:t>约谈活动是听取意见建议、增进了解、凝心聚力的重要抓手和有效载体。约谈人</w:t>
      </w:r>
      <w:r>
        <w:rPr>
          <w:rFonts w:hint="eastAsia" w:ascii="仿宋" w:hAnsi="仿宋" w:eastAsia="仿宋" w:cs="仿宋"/>
          <w:color w:val="000000"/>
          <w:kern w:val="0"/>
          <w:sz w:val="32"/>
          <w:szCs w:val="32"/>
        </w:rPr>
        <w:t>要切实担负起主体责任，</w:t>
      </w:r>
      <w:r>
        <w:rPr>
          <w:rFonts w:hint="eastAsia" w:ascii="仿宋" w:hAnsi="仿宋" w:eastAsia="仿宋" w:cs="仿宋"/>
          <w:sz w:val="32"/>
          <w:szCs w:val="32"/>
        </w:rPr>
        <w:t>要高度重视党员干部约谈工作，切实加强领导、履行责任，周密安排、认真组织，</w:t>
      </w:r>
      <w:r>
        <w:rPr>
          <w:rFonts w:hint="eastAsia" w:ascii="仿宋" w:hAnsi="仿宋" w:eastAsia="仿宋" w:cs="仿宋"/>
          <w:color w:val="000000"/>
          <w:kern w:val="0"/>
          <w:sz w:val="32"/>
          <w:szCs w:val="32"/>
        </w:rPr>
        <w:t>全面了解</w:t>
      </w:r>
      <w:r>
        <w:rPr>
          <w:rFonts w:hint="eastAsia" w:ascii="仿宋" w:hAnsi="仿宋" w:eastAsia="仿宋" w:cs="仿宋"/>
          <w:sz w:val="32"/>
          <w:szCs w:val="32"/>
        </w:rPr>
        <w:t>掌握党员干部情况，及时发现问题苗头，及时采取措施处理。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2.结合实际，注重实效。</w:t>
      </w:r>
      <w:r>
        <w:rPr>
          <w:rFonts w:hint="eastAsia" w:ascii="仿宋" w:hAnsi="仿宋" w:eastAsia="仿宋" w:cs="仿宋"/>
          <w:sz w:val="32"/>
          <w:szCs w:val="32"/>
        </w:rPr>
        <w:t>约谈前，应提前通知被约谈人，约谈人要提前了解被约谈人的有关情况，因人而异、有的放矢，确保约谈的质量。约谈后，要建立工作台账，加强汇总分析，实行跟踪管理，对约谈中反映出的普遍性问题，要认真分析，找出原因，从制度层面加以解决。</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3.认真负责，严肃纪律。</w:t>
      </w:r>
      <w:r>
        <w:rPr>
          <w:rFonts w:hint="eastAsia" w:ascii="仿宋" w:hAnsi="仿宋" w:eastAsia="仿宋" w:cs="仿宋"/>
          <w:sz w:val="32"/>
          <w:szCs w:val="32"/>
        </w:rPr>
        <w:t>要本着对组织、对事业、对干部高度负责的态度，认真开展约谈。谈话要严肃认真，既体现出党组织对党员干部的关心爱护，又让党员干部切身感受到组织纪律的严肃性。约谈中发现的重要情况，约谈人要及时向上一级领导报告，涉及违纪线索的要同时向学校纪委负责人报告。要严格保密纪律，对约谈内容特别是涉及信访举报、个人隐私以及其他不宜公开的内容要严格保密。</w:t>
      </w:r>
    </w:p>
    <w:p>
      <w:pPr>
        <w:pageBreakBefore w:val="0"/>
        <w:kinsoku/>
        <w:wordWrap/>
        <w:overflowPunct/>
        <w:topLinePunct w:val="0"/>
        <w:autoSpaceDE/>
        <w:autoSpaceDN/>
        <w:bidi w:val="0"/>
        <w:spacing w:line="596" w:lineRule="exact"/>
        <w:ind w:firstLine="643" w:firstLineChars="200"/>
        <w:jc w:val="left"/>
        <w:outlineLvl w:val="9"/>
        <w:rPr>
          <w:rFonts w:hint="eastAsia" w:ascii="仿宋" w:hAnsi="仿宋" w:eastAsia="仿宋" w:cs="仿宋"/>
          <w:sz w:val="32"/>
          <w:szCs w:val="32"/>
        </w:rPr>
      </w:pPr>
      <w:r>
        <w:rPr>
          <w:rFonts w:hint="eastAsia" w:ascii="仿宋" w:hAnsi="仿宋" w:eastAsia="仿宋" w:cs="仿宋"/>
          <w:b/>
          <w:bCs/>
          <w:sz w:val="32"/>
          <w:szCs w:val="32"/>
        </w:rPr>
        <w:t>4.规范管理，综合运用。</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工作约谈、警示约谈由约谈人自行组织实施。校领导、二级部门（二级学院）领导每年开展工作约谈活动不少于2次。</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诫勉谈话工作由学校纪委按有关规定组织实施。</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约谈结束后，约谈人应认真组织填写《廉政约谈记录表》（见附件），并在 3 个工作日内送交学校纪委存档，作为查询和统计依据，统计数据作为履行党风廉政建设主体责任的考核参考。</w:t>
      </w: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第七条</w:t>
      </w:r>
      <w:r>
        <w:rPr>
          <w:rFonts w:hint="eastAsia" w:ascii="仿宋" w:hAnsi="仿宋" w:eastAsia="仿宋" w:cs="仿宋"/>
          <w:sz w:val="32"/>
          <w:szCs w:val="32"/>
        </w:rPr>
        <w:t xml:space="preserve">  非中共党员、非履行日常管理职责的教职工需要进行廉政教育约谈的，参照本办法执行。</w:t>
      </w:r>
    </w:p>
    <w:p>
      <w:pPr>
        <w:pageBreakBefore w:val="0"/>
        <w:kinsoku/>
        <w:wordWrap/>
        <w:overflowPunct/>
        <w:topLinePunct w:val="0"/>
        <w:autoSpaceDE/>
        <w:autoSpaceDN/>
        <w:bidi w:val="0"/>
        <w:spacing w:line="596" w:lineRule="exact"/>
        <w:ind w:firstLine="643" w:firstLineChars="200"/>
        <w:jc w:val="left"/>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本制度由学院纪委负责解释。</w:t>
      </w:r>
    </w:p>
    <w:p>
      <w:pPr>
        <w:pageBreakBefore w:val="0"/>
        <w:kinsoku/>
        <w:wordWrap/>
        <w:overflowPunct/>
        <w:topLinePunct w:val="0"/>
        <w:autoSpaceDE/>
        <w:autoSpaceDN/>
        <w:bidi w:val="0"/>
        <w:spacing w:line="596" w:lineRule="exact"/>
        <w:ind w:firstLine="643" w:firstLineChars="200"/>
        <w:jc w:val="left"/>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本办法自印发之日起施行。</w:t>
      </w: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sz w:val="32"/>
          <w:szCs w:val="32"/>
        </w:rPr>
        <w:t>附件：《柳州职业技术学院廉政约谈记录表》</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pageBreakBefore w:val="0"/>
        <w:widowControl/>
        <w:kinsoku/>
        <w:wordWrap/>
        <w:overflowPunct/>
        <w:topLinePunct w:val="0"/>
        <w:autoSpaceDE/>
        <w:autoSpaceDN/>
        <w:bidi w:val="0"/>
        <w:spacing w:line="400" w:lineRule="exact"/>
        <w:jc w:val="left"/>
        <w:outlineLvl w:val="9"/>
        <w:rPr>
          <w:rFonts w:hint="eastAsia" w:ascii="仿宋" w:hAnsi="仿宋" w:eastAsia="仿宋" w:cs="仿宋"/>
          <w:sz w:val="32"/>
          <w:szCs w:val="32"/>
        </w:rPr>
      </w:pPr>
      <w:r>
        <w:rPr>
          <w:rFonts w:hint="eastAsia" w:ascii="仿宋" w:hAnsi="仿宋" w:eastAsia="仿宋" w:cs="仿宋"/>
          <w:sz w:val="32"/>
          <w:szCs w:val="32"/>
        </w:rPr>
        <w:t>附件：</w:t>
      </w:r>
    </w:p>
    <w:p>
      <w:pPr>
        <w:pageBreakBefore w:val="0"/>
        <w:widowControl/>
        <w:kinsoku/>
        <w:wordWrap/>
        <w:overflowPunct/>
        <w:topLinePunct w:val="0"/>
        <w:autoSpaceDE/>
        <w:autoSpaceDN/>
        <w:bidi w:val="0"/>
        <w:spacing w:line="596" w:lineRule="exac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柳州职业技术学院</w:t>
      </w:r>
    </w:p>
    <w:p>
      <w:pPr>
        <w:pageBreakBefore w:val="0"/>
        <w:widowControl/>
        <w:kinsoku/>
        <w:wordWrap/>
        <w:overflowPunct/>
        <w:topLinePunct w:val="0"/>
        <w:autoSpaceDE/>
        <w:autoSpaceDN/>
        <w:bidi w:val="0"/>
        <w:spacing w:line="596" w:lineRule="exact"/>
        <w:jc w:val="center"/>
        <w:outlineLvl w:val="9"/>
        <w:rPr>
          <w:rFonts w:hint="eastAsia" w:ascii="仿宋" w:hAnsi="仿宋" w:eastAsia="仿宋" w:cs="仿宋"/>
          <w:sz w:val="32"/>
          <w:szCs w:val="32"/>
        </w:rPr>
      </w:pPr>
      <w:r>
        <w:rPr>
          <w:rFonts w:hint="eastAsia" w:ascii="仿宋" w:hAnsi="仿宋" w:eastAsia="仿宋" w:cs="仿宋"/>
          <w:b/>
          <w:bCs/>
          <w:color w:val="000000"/>
          <w:kern w:val="0"/>
          <w:sz w:val="32"/>
          <w:szCs w:val="32"/>
        </w:rPr>
        <w:t>廉政约谈记录表</w:t>
      </w:r>
    </w:p>
    <w:tbl>
      <w:tblPr>
        <w:tblStyle w:val="17"/>
        <w:tblW w:w="8833" w:type="dxa"/>
        <w:jc w:val="center"/>
        <w:tblInd w:w="0" w:type="dxa"/>
        <w:tblLayout w:type="fixed"/>
        <w:tblCellMar>
          <w:top w:w="0" w:type="dxa"/>
          <w:left w:w="108" w:type="dxa"/>
          <w:bottom w:w="0" w:type="dxa"/>
          <w:right w:w="108" w:type="dxa"/>
        </w:tblCellMar>
      </w:tblPr>
      <w:tblGrid>
        <w:gridCol w:w="640"/>
        <w:gridCol w:w="8193"/>
      </w:tblGrid>
      <w:tr>
        <w:tblPrEx>
          <w:tblLayout w:type="fixed"/>
          <w:tblCellMar>
            <w:top w:w="0" w:type="dxa"/>
            <w:left w:w="108" w:type="dxa"/>
            <w:bottom w:w="0" w:type="dxa"/>
            <w:right w:w="108" w:type="dxa"/>
          </w:tblCellMar>
        </w:tblPrEx>
        <w:trPr>
          <w:trHeight w:val="510" w:hRule="atLeast"/>
          <w:jc w:val="center"/>
        </w:trPr>
        <w:tc>
          <w:tcPr>
            <w:tcW w:w="88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约谈人：                  部门、职务：</w:t>
            </w:r>
          </w:p>
        </w:tc>
      </w:tr>
      <w:tr>
        <w:tblPrEx>
          <w:tblLayout w:type="fixed"/>
          <w:tblCellMar>
            <w:top w:w="0" w:type="dxa"/>
            <w:left w:w="108" w:type="dxa"/>
            <w:bottom w:w="0" w:type="dxa"/>
            <w:right w:w="108" w:type="dxa"/>
          </w:tblCellMar>
        </w:tblPrEx>
        <w:trPr>
          <w:trHeight w:val="510" w:hRule="atLeast"/>
          <w:jc w:val="center"/>
        </w:trPr>
        <w:tc>
          <w:tcPr>
            <w:tcW w:w="88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被约谈人：                部门、职务：</w:t>
            </w:r>
          </w:p>
        </w:tc>
      </w:tr>
      <w:tr>
        <w:tblPrEx>
          <w:tblLayout w:type="fixed"/>
          <w:tblCellMar>
            <w:top w:w="0" w:type="dxa"/>
            <w:left w:w="108" w:type="dxa"/>
            <w:bottom w:w="0" w:type="dxa"/>
            <w:right w:w="108" w:type="dxa"/>
          </w:tblCellMar>
        </w:tblPrEx>
        <w:trPr>
          <w:trHeight w:val="510" w:hRule="atLeast"/>
          <w:jc w:val="center"/>
        </w:trPr>
        <w:tc>
          <w:tcPr>
            <w:tcW w:w="883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约谈种类:□ 工作约谈  □ 警示约谈  □ 诫勉谈话</w:t>
            </w:r>
          </w:p>
        </w:tc>
      </w:tr>
      <w:tr>
        <w:tblPrEx>
          <w:tblLayout w:type="fixed"/>
          <w:tblCellMar>
            <w:top w:w="0" w:type="dxa"/>
            <w:left w:w="108" w:type="dxa"/>
            <w:bottom w:w="0" w:type="dxa"/>
            <w:right w:w="108" w:type="dxa"/>
          </w:tblCellMar>
        </w:tblPrEx>
        <w:trPr>
          <w:trHeight w:val="510" w:hRule="atLeast"/>
          <w:jc w:val="center"/>
        </w:trPr>
        <w:tc>
          <w:tcPr>
            <w:tcW w:w="883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约谈形式:□ 个别约谈  □ 集体约谈</w:t>
            </w:r>
          </w:p>
        </w:tc>
      </w:tr>
      <w:tr>
        <w:tblPrEx>
          <w:tblLayout w:type="fixed"/>
          <w:tblCellMar>
            <w:top w:w="0" w:type="dxa"/>
            <w:left w:w="108" w:type="dxa"/>
            <w:bottom w:w="0" w:type="dxa"/>
            <w:right w:w="108" w:type="dxa"/>
          </w:tblCellMar>
        </w:tblPrEx>
        <w:trPr>
          <w:trHeight w:val="510" w:hRule="atLeast"/>
          <w:jc w:val="center"/>
        </w:trPr>
        <w:tc>
          <w:tcPr>
            <w:tcW w:w="883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约谈时间：  年 月 日 □ 上午 □ 下午   约谈地点：</w:t>
            </w:r>
          </w:p>
        </w:tc>
      </w:tr>
      <w:tr>
        <w:tblPrEx>
          <w:tblLayout w:type="fixed"/>
          <w:tblCellMar>
            <w:top w:w="0" w:type="dxa"/>
            <w:left w:w="108" w:type="dxa"/>
            <w:bottom w:w="0" w:type="dxa"/>
            <w:right w:w="108" w:type="dxa"/>
          </w:tblCellMar>
        </w:tblPrEx>
        <w:trPr>
          <w:trHeight w:val="2330" w:hRule="atLeast"/>
          <w:jc w:val="center"/>
        </w:trPr>
        <w:tc>
          <w:tcPr>
            <w:tcW w:w="640"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约谈</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主要</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内容</w:t>
            </w:r>
          </w:p>
        </w:tc>
        <w:tc>
          <w:tcPr>
            <w:tcW w:w="8193"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w:t>
            </w:r>
          </w:p>
        </w:tc>
      </w:tr>
      <w:tr>
        <w:tblPrEx>
          <w:tblLayout w:type="fixed"/>
          <w:tblCellMar>
            <w:top w:w="0" w:type="dxa"/>
            <w:left w:w="108" w:type="dxa"/>
            <w:bottom w:w="0" w:type="dxa"/>
            <w:right w:w="108" w:type="dxa"/>
          </w:tblCellMar>
        </w:tblPrEx>
        <w:trPr>
          <w:trHeight w:val="3552" w:hRule="atLeast"/>
          <w:jc w:val="center"/>
        </w:trPr>
        <w:tc>
          <w:tcPr>
            <w:tcW w:w="640"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整改意见和相关要求</w:t>
            </w:r>
          </w:p>
        </w:tc>
        <w:tc>
          <w:tcPr>
            <w:tcW w:w="8193"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w:t>
            </w:r>
          </w:p>
        </w:tc>
      </w:tr>
      <w:tr>
        <w:tblPrEx>
          <w:tblLayout w:type="fixed"/>
          <w:tblCellMar>
            <w:top w:w="0" w:type="dxa"/>
            <w:left w:w="108" w:type="dxa"/>
            <w:bottom w:w="0" w:type="dxa"/>
            <w:right w:w="108" w:type="dxa"/>
          </w:tblCellMar>
        </w:tblPrEx>
        <w:trPr>
          <w:trHeight w:val="2382" w:hRule="atLeast"/>
          <w:jc w:val="center"/>
        </w:trPr>
        <w:tc>
          <w:tcPr>
            <w:tcW w:w="640"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spacing w:line="360" w:lineRule="exact"/>
              <w:jc w:val="center"/>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被约谈人意见</w:t>
            </w:r>
          </w:p>
        </w:tc>
        <w:tc>
          <w:tcPr>
            <w:tcW w:w="8193" w:type="dxa"/>
            <w:tcBorders>
              <w:top w:val="nil"/>
              <w:left w:val="nil"/>
              <w:bottom w:val="single" w:color="auto" w:sz="4" w:space="0"/>
              <w:right w:val="single" w:color="auto" w:sz="4" w:space="0"/>
            </w:tcBorders>
            <w:shd w:val="clear" w:color="auto" w:fill="auto"/>
            <w:vAlign w:val="bottom"/>
          </w:tcPr>
          <w:p>
            <w:pPr>
              <w:pageBreakBefore w:val="0"/>
              <w:widowControl/>
              <w:kinsoku/>
              <w:wordWrap/>
              <w:overflowPunct/>
              <w:topLinePunct w:val="0"/>
              <w:autoSpaceDE/>
              <w:autoSpaceDN/>
              <w:bidi w:val="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签名：                    年   月   日</w:t>
            </w:r>
          </w:p>
        </w:tc>
      </w:tr>
    </w:tbl>
    <w:p>
      <w:pPr>
        <w:pageBreakBefore w:val="0"/>
        <w:kinsoku/>
        <w:wordWrap/>
        <w:overflowPunct/>
        <w:topLinePunct w:val="0"/>
        <w:autoSpaceDE/>
        <w:autoSpaceDN/>
        <w:bidi w:val="0"/>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43" w:name="_Toc17310"/>
      <w:bookmarkStart w:id="44" w:name="_Toc14640"/>
      <w:bookmarkStart w:id="45" w:name="_Toc28206"/>
      <w:r>
        <w:rPr>
          <w:rFonts w:hint="eastAsia" w:ascii="黑体" w:hAnsi="黑体" w:eastAsia="黑体" w:cs="黑体"/>
          <w:color w:val="000000"/>
          <w:kern w:val="2"/>
          <w:sz w:val="36"/>
          <w:szCs w:val="36"/>
        </w:rPr>
        <w:t>柳州职业技术学院党委会议议事规则</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仿宋" w:hAnsi="仿宋" w:eastAsia="仿宋" w:cs="仿宋"/>
          <w:color w:val="000000"/>
          <w:kern w:val="2"/>
          <w:sz w:val="32"/>
          <w:szCs w:val="32"/>
          <w:lang w:val="en-US" w:eastAsia="zh-CN"/>
        </w:rPr>
      </w:pPr>
      <w:r>
        <w:rPr>
          <w:rFonts w:hint="eastAsia" w:ascii="仿宋" w:hAnsi="仿宋" w:eastAsia="仿宋" w:cs="仿宋"/>
          <w:color w:val="000000"/>
          <w:kern w:val="2"/>
          <w:sz w:val="32"/>
          <w:szCs w:val="32"/>
          <w:lang w:val="en-US"/>
        </w:rPr>
        <w:t>柳职院党字〔2020〕1号</w:t>
      </w:r>
    </w:p>
    <w:p>
      <w:pPr>
        <w:pageBreakBefore w:val="0"/>
        <w:kinsoku/>
        <w:wordWrap/>
        <w:overflowPunct/>
        <w:topLinePunct w:val="0"/>
        <w:autoSpaceDE/>
        <w:autoSpaceDN/>
        <w:bidi w:val="0"/>
        <w:spacing w:line="596" w:lineRule="exact"/>
        <w:ind w:firstLine="630" w:firstLineChars="196"/>
        <w:jc w:val="center"/>
        <w:outlineLvl w:val="9"/>
        <w:rPr>
          <w:rFonts w:hint="eastAsia" w:ascii="仿宋" w:hAnsi="仿宋" w:eastAsia="仿宋" w:cs="仿宋"/>
          <w:b/>
          <w:sz w:val="32"/>
          <w:szCs w:val="32"/>
        </w:rPr>
      </w:pPr>
    </w:p>
    <w:p>
      <w:pPr>
        <w:pageBreakBefore w:val="0"/>
        <w:kinsoku/>
        <w:wordWrap/>
        <w:overflowPunct/>
        <w:topLinePunct w:val="0"/>
        <w:autoSpaceDE/>
        <w:autoSpaceDN/>
        <w:bidi w:val="0"/>
        <w:spacing w:line="596" w:lineRule="exact"/>
        <w:ind w:firstLine="630" w:firstLineChars="196"/>
        <w:jc w:val="center"/>
        <w:outlineLvl w:val="9"/>
        <w:rPr>
          <w:rFonts w:hint="eastAsia" w:ascii="仿宋" w:hAnsi="仿宋" w:eastAsia="仿宋" w:cs="仿宋"/>
          <w:b/>
          <w:sz w:val="32"/>
          <w:szCs w:val="32"/>
        </w:rPr>
      </w:pPr>
      <w:r>
        <w:rPr>
          <w:rFonts w:hint="eastAsia" w:ascii="仿宋" w:hAnsi="仿宋" w:eastAsia="仿宋" w:cs="仿宋"/>
          <w:b/>
          <w:sz w:val="32"/>
          <w:szCs w:val="32"/>
        </w:rPr>
        <w:t>一、总则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第-条</w:t>
      </w:r>
      <w:r>
        <w:rPr>
          <w:rFonts w:hint="eastAsia" w:ascii="仿宋" w:hAnsi="仿宋" w:eastAsia="仿宋" w:cs="仿宋"/>
          <w:sz w:val="32"/>
          <w:szCs w:val="32"/>
        </w:rPr>
        <w:t xml:space="preserve">  根据《中国共产党章程》《中华人民共和国高等教育法》《中国共产党普通高等学校基层组织工作条例》《关于坚持和完善普通高等学校党委领导下的校长负责制的实施意见》等法规文件,制定本规则。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坚持和加强党对学校工作的全面领导，以政治建设为统领全面加强党的建设，全面贯彻党的教育方针，坚持社会主义办学方向，落实立德树人根本任务，把党的领导贯穿办学治校、教书育人全过程。</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坚持党委领导下的校长负责制。学校党委对学校工作实行全面领导，履行管党治党、办学治校的主体责任，发挥把方向、管大局、作决策、抓班子、带队伍、保落实的领导作用，支持校长依法独立负责地行使职权，保证以人才培养为中心的各项任务完成。</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坚持民主集中制，实行集体领导和个人分工负责相结合的制度。凡属重大问题必须按照集体领导、民主集中、个别酝酿、会议决定的原则,由党委集体研究决定。</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学校党委经党员大会(或党员代表大会,以下同)选举产生，对党员大会负责并报告工作。学校党委在党员大会闭会期间领导学校工作。党委设立党委会，党委会主持党委经常工作。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二、议事决策范围</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第六条 </w:t>
      </w:r>
      <w:r>
        <w:rPr>
          <w:rFonts w:hint="eastAsia" w:ascii="仿宋" w:hAnsi="仿宋" w:eastAsia="仿宋" w:cs="仿宋"/>
          <w:sz w:val="32"/>
          <w:szCs w:val="32"/>
        </w:rPr>
        <w:t xml:space="preserve"> 学校党委通过召开党委会的方式，讨论决定以下事项: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（一）学校党的建设重要事项。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1.学习贯彻习近平新时代中国特色社会主义思想，落实党的路线方针政策和上级党组织决策部署、执行同级党代表大会决议决定的重大措施。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2.加强党的政治建设的重要事项、重要措施。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3.学校党委及领导班子任期目标，党委工作报告、纪委工作报告、校长工作报告等。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4.决定召开学校党员大会(党员代表大会)和党代表会议，并对提议事项先行审议、提出意见。</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5.选举学校党委书记、副书记和党委其他委员;通过学校党的纪律检查委员会全体会议选举产生的书记、副书记;增补和撤销党委委员等。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6.推选出席上级党的代表大会或代表会议的代表。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7.学校党建工作规划和年度工作计划。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8.师生思想政治工作、师德师风建设的重要事项。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9.意识形态工作和民族宗教工作的重要事项。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10.基层党组织和党员队伍建设的重要事项。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11.党的纪律检查工作、党风廉政建设和巡察工作的重要事项。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12.加强对学校工会、共青团、学生会、学生社团等群众组织,学术委员会、教学工作委员会、理事会等学术咨询组织，教职工代表大会、统一战线、老干部和离退休等工作领导的重要事项。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(二)事关学校改革发展稳定及教学、科研、行政管理工作的重要事项。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1.学校章程、学校总体发展规划、综合改革方案等重大事项。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2.教师队伍建设、学生培养、专业建设、校园建设等学校内涵发展的重要工作规划和工作计划，重要改革措施，重要规章制度。</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3.学校内部组织机构和人员编制的设置与调整。</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4.学校年度财务预算方案、决算情况的审定，大额度支出和年度追加预算，重大捐赠，以及其他大额度资金运作事项。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5.学校重要资产处置、重要办学资源配置、无形资产授权使用方案。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国家或地方各类重点建设项目、国内国(境)外科学技术文化交流与合作重要项目、重大合资合作项目、重要设备和大宗物资采购或购买服务、重大基本建设和大额度基建修缮项目等学校重大项目设立和安排方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7.学术委员会、教学工作委员会等学术组织建设,以及学校学术评价、审议、评定工作中的重要事项。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8.市厅级以上重大表彰推荐，校级重大表彰事项。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9.学校安全稳定重要事项和重大突发事件的处理。</w:t>
      </w:r>
    </w:p>
    <w:p>
      <w:pPr>
        <w:pageBreakBefore w:val="0"/>
        <w:kinsoku/>
        <w:wordWrap/>
        <w:overflowPunct/>
        <w:topLinePunct w:val="0"/>
        <w:autoSpaceDE/>
        <w:autoSpaceDN/>
        <w:bidi w:val="0"/>
        <w:spacing w:line="596"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(三)干部选拔任用和干部队伍建设的重要事项。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1.学校干部队伍建设规划和干部教育、管理、监督的重要事项。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2.学校党政机构、二级学院等内部组织机构领导班子成员的选拔任用。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3.学校全资、控股企业校方董事、监事及企业主要负责人人选。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4.学校中层以上干部在企业、社会团体的兼任职务。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5.推荐优秀年轻干部和上级党代会代表、人大代表、政协委员等人选。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(四)人才工作的重要事项。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1.学校人才工作规划、重要人才政策和重要人才工程计划。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2.人才工作体制机制创新、人才成长环境优化的重要措施。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3.人才政治把关的重要措施。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(五)大学文化建设和校风教风学风建设的重要事项。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(六)教职工薪酬体系、收入分配及福利待遇、奖励、惩处和其他事关师生员工切身利益的重要事项。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（七）需要党委会讨论决定的其他事项。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三、议事决策原则和程序</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党委会一般每周召开一次,遇有重要情况经党委书记同意可以随时召开。会议由党委书记召集并主持。党委书记不能参加会议的,可以委托党委副书记召集并主持。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党委会的出席成员为党委委员。会议必须有半数以上党委委员到会方可召开;讨论决定干部任免等重要事项,必须有三分之二以上党委委员到会。党委委员因故不能出席时，须在会前向党委书记请假。</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不是党委委员的行政领导班子成员可以列席党委会，议题相关部门负责人可以列席会议，涉及师生切身利益的重大议题可以邀请师生代表列席。列席人员有发言权，没有表决权。</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党委会议题由党委书记提出,也可以由党委其他委员或学校领导班子其他成员提出建议、经党委书记综合考虑后确定。重要议题党委书记应当在会前听取校长意见，意见不一致的议题应暂缓上会。集体决定重大事项前,党委书记、校长和有关领导班子成员要个别酝酿、充分沟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凡属学校党委委员自身职权范围内决定的事项，一般不提交党委会研究讨论。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xml:space="preserve">  党委会应当健全决策咨询机制,对拟研究讨论的重要事项，议题相关部门应深入开展调查研究，充分听取各方面意见，进行合法合规性审查和风险评估。对专业性、技术性较强的重要事项，应经过专家评估及技术、政策、法律咨询，涉及学术事务的重要事项，应充分听取学术委员会等学术组织意见;对事关师生员工切身利益的重要事项，应通过教职工代表大会或其他方式，广泛听取师生员工的意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xml:space="preserve">  党委会议题实行一事一报制度，议题相关材料应提前提交至学校党委办公室，学校党委办公室应提前将会议议题及相关材料送达有关参会人员。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xml:space="preserve">  党委会按既定议程逐项进行，无特殊情况或未经会议主持人同意，一般不临时动议议题。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第十三条  </w:t>
      </w:r>
      <w:r>
        <w:rPr>
          <w:rFonts w:hint="eastAsia" w:ascii="仿宋" w:hAnsi="仿宋" w:eastAsia="仿宋" w:cs="仿宋"/>
          <w:sz w:val="32"/>
          <w:szCs w:val="32"/>
        </w:rPr>
        <w:t>党委会议题由党委委员或分管校领导汇报，相关部门也可以参加汇报。</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第十四条</w:t>
      </w:r>
      <w:r>
        <w:rPr>
          <w:rFonts w:hint="eastAsia" w:ascii="仿宋" w:hAnsi="仿宋" w:eastAsia="仿宋" w:cs="仿宋"/>
          <w:sz w:val="32"/>
          <w:szCs w:val="32"/>
        </w:rPr>
        <w:t xml:space="preserve">  党委会议事和决策实行民主集中制，在充分讨论的基础上，按照少数服从多数的原则形成决议或决定。如对重要问题发生较大意见分歧，一般应当暂缓作出决定。党委书记、校长应当最后表态。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第十五条</w:t>
      </w:r>
      <w:r>
        <w:rPr>
          <w:rFonts w:hint="eastAsia" w:ascii="仿宋" w:hAnsi="仿宋" w:eastAsia="仿宋" w:cs="仿宋"/>
          <w:sz w:val="32"/>
          <w:szCs w:val="32"/>
        </w:rPr>
        <w:t xml:space="preserve">  党委会讨论决定重要事项时应当进行表决，表决可以根据讨论和决定事项的不同，采用口头、举手、无记名投票或者记名投票等方式进行，赞成票超过应到会党委委员半数为通过。未到会党委委员的意见可以用书面表达，但不得计入票数。会议讨论和决定多个事项,应当逐项表决；决定多名干部任免时，应当逐人表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紧急情况下不能及时召开党委会决策的，党委书记、副书记或者党委其他委员可以临机处置，事后应当及时向党委会报告并按程序予以确认。</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第十六条</w:t>
      </w:r>
      <w:r>
        <w:rPr>
          <w:rFonts w:hint="eastAsia" w:ascii="仿宋" w:hAnsi="仿宋" w:eastAsia="仿宋" w:cs="仿宋"/>
          <w:sz w:val="32"/>
          <w:szCs w:val="32"/>
        </w:rPr>
        <w:t xml:space="preserve">  党委会议题审议时应当通知相关部门负责人到会，听取意见，回答问询。</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第十七条</w:t>
      </w:r>
      <w:r>
        <w:rPr>
          <w:rFonts w:hint="eastAsia" w:ascii="仿宋" w:hAnsi="仿宋" w:eastAsia="仿宋" w:cs="仿宋"/>
          <w:sz w:val="32"/>
          <w:szCs w:val="32"/>
        </w:rPr>
        <w:t xml:space="preserve">  党委会决议分为以下几种：批准或通过；原则批准或通过，按要求作相应修改后实施或发布；暂不形成决议，责成相关部门另行提出意见再行研究，不予批准。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第十八条</w:t>
      </w:r>
      <w:r>
        <w:rPr>
          <w:rFonts w:hint="eastAsia" w:ascii="仿宋" w:hAnsi="仿宋" w:eastAsia="仿宋" w:cs="仿宋"/>
          <w:sz w:val="32"/>
          <w:szCs w:val="32"/>
        </w:rPr>
        <w:t xml:space="preserve">  党委会议题涉及与会人员本人及其亲属的，本人必须回避。</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第十九条 </w:t>
      </w:r>
      <w:r>
        <w:rPr>
          <w:rFonts w:hint="eastAsia" w:ascii="仿宋" w:hAnsi="仿宋" w:eastAsia="仿宋" w:cs="仿宋"/>
          <w:sz w:val="32"/>
          <w:szCs w:val="32"/>
        </w:rPr>
        <w:t xml:space="preserve"> 党委会作出的决定或决议，适合公开的应当依据有关规定及时公开。对需保密的会议内容和尚未正式公布的会议决定，参会人员应当遵守保密规定。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四、议定事项执行与监督</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第二十条</w:t>
      </w:r>
      <w:r>
        <w:rPr>
          <w:rFonts w:hint="eastAsia" w:ascii="仿宋" w:hAnsi="仿宋" w:eastAsia="仿宋" w:cs="仿宋"/>
          <w:sz w:val="32"/>
          <w:szCs w:val="32"/>
        </w:rPr>
        <w:t xml:space="preserve">  党委会决定的事项，由学校分管领导或相关部门负责组织实施。执行情况应当及时向党委书记或党委会汇报。明确由相关部门负责的，由学校党委办公室负责传达和督促检查。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学校党委应当建立有效的督查、评估和反馈机制，确保决策落实。</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第二十一条</w:t>
      </w:r>
      <w:r>
        <w:rPr>
          <w:rFonts w:hint="eastAsia" w:ascii="仿宋" w:hAnsi="仿宋" w:eastAsia="仿宋" w:cs="仿宋"/>
          <w:sz w:val="32"/>
          <w:szCs w:val="32"/>
        </w:rPr>
        <w:t xml:space="preserve">  党委会决定的事项，学校部门和个人应当及时执行；对执行不力的，应当依照有关规定问责追责；决策执行过程中需作重大调整的，应当提交党委会决定；需要复议的，按第九条规定重新提交议题。</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五、附则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第二十二条</w:t>
      </w:r>
      <w:r>
        <w:rPr>
          <w:rFonts w:hint="eastAsia" w:ascii="仿宋" w:hAnsi="仿宋" w:eastAsia="仿宋" w:cs="仿宋"/>
          <w:sz w:val="32"/>
          <w:szCs w:val="32"/>
        </w:rPr>
        <w:t xml:space="preserve">  学校党委办公室负责党委会的会务工作,主要包括:收集议题，印发会议材料，通知参会人员，做好会议记录，编发会议纪要，分送学校领导和有关部门，归档会议材料。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第二十三条  </w:t>
      </w:r>
      <w:r>
        <w:rPr>
          <w:rFonts w:hint="eastAsia" w:ascii="仿宋" w:hAnsi="仿宋" w:eastAsia="仿宋" w:cs="仿宋"/>
          <w:sz w:val="32"/>
          <w:szCs w:val="32"/>
        </w:rPr>
        <w:t>本规则由学校党委负责解释，具体工作由学校党委办公室承担。</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第二十四</w:t>
      </w:r>
      <w:r>
        <w:rPr>
          <w:rFonts w:hint="eastAsia" w:ascii="仿宋" w:hAnsi="仿宋" w:eastAsia="仿宋" w:cs="仿宋"/>
          <w:sz w:val="32"/>
          <w:szCs w:val="32"/>
        </w:rPr>
        <w:t>条  本规则自2020年1月1日起施行。原《柳州职业技术学院党委会议议事规则》同时废止。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46" w:name="_Toc27807"/>
      <w:bookmarkStart w:id="47" w:name="_Toc22395"/>
      <w:bookmarkStart w:id="48" w:name="_Toc29336"/>
      <w:r>
        <w:rPr>
          <w:rFonts w:hint="eastAsia" w:ascii="黑体" w:hAnsi="黑体" w:eastAsia="黑体" w:cs="黑体"/>
          <w:color w:val="000000"/>
          <w:kern w:val="2"/>
          <w:sz w:val="36"/>
          <w:szCs w:val="36"/>
        </w:rPr>
        <w:t>柳州职业技术学院坚持和完善党委领导下的校长负责制的若干措施</w:t>
      </w:r>
      <w:bookmarkEnd w:id="46"/>
      <w:bookmarkEnd w:id="47"/>
      <w:bookmarkEnd w:id="48"/>
    </w:p>
    <w:p>
      <w:pPr>
        <w:pageBreakBefore w:val="0"/>
        <w:kinsoku/>
        <w:wordWrap/>
        <w:overflowPunct/>
        <w:topLinePunct w:val="0"/>
        <w:autoSpaceDE/>
        <w:autoSpaceDN/>
        <w:bidi w:val="0"/>
        <w:spacing w:line="596" w:lineRule="exact"/>
        <w:ind w:firstLine="640" w:firstLineChars="200"/>
        <w:jc w:val="center"/>
        <w:outlineLvl w:val="9"/>
        <w:rPr>
          <w:rFonts w:hint="eastAsia" w:ascii="仿宋" w:hAnsi="仿宋" w:eastAsia="仿宋" w:cs="仿宋"/>
          <w:sz w:val="32"/>
          <w:szCs w:val="32"/>
        </w:rPr>
      </w:pPr>
      <w:r>
        <w:rPr>
          <w:rFonts w:hint="eastAsia" w:ascii="仿宋" w:hAnsi="仿宋" w:eastAsia="仿宋" w:cs="仿宋"/>
          <w:sz w:val="32"/>
          <w:szCs w:val="32"/>
        </w:rPr>
        <w:t>柳职院党字〔2020〕3号</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党委领导下的校长负责制是中国共产党对国家举办的普通高等学校领导的根本制度，是高等学校坚持社会主义办学方向的重要保证。为进一步认真贯彻执行好普通高等学校党委领导下的校长负责制，切实落实党对学校事业的全面领导。特制定若干措施如下：</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一、学校党委要切实发挥领导作用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一）学校党委全面领导学校工作，履行党章等规定的各项职责和管党治党、办学治校主体责任，把握学校发展方向，集体研究决定重大事项，监督重大决议执行，支持校长依法独立负责行使职权，保证以人才培养为中心的各项任务完成。</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（二）学校党委的主要职责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全面贯彻执行党的路线方针政策，贯彻执行党的教育方针，坚持社会主义办学方向，坚持立德树人，依法治校，贯彻落实上级党组织的决策部署和学校党员大会（党员代表大会）决议，带领全校师生员工推动学校科学发展，培养德智体美劳全面发展的社会主义建设者和接班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2.按照党要管党、全面从严治党的方针，加强学校党组织的政治建设、思想建设、组织建设、作风建设和纪律建设，把制度建设贯穿其中，深入推进反腐败斗争。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3.讨论决定事关学校改革发展稳定及教学、科研、管理、服务等工作的“三重一大”事项。讨论决定学校章程和基本管理制度。</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坚持党管干部原则，按照干部管理权限和有关程序，负责干部的选拔、任用、教育、培养、考核和监督，讨论决定学校内部组织机构的设置及其负责人的人选，依照有关程序推荐校级领导干部、优秀年轻干部和党代会代表、人大代表、政协委员等人选。做好老干部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5.坚持党管人才原则，讨论决定学校人才工作规划和重大人才政策，创新人才工作体制机制，优化人才成长环境，统筹推进学校各类人才队伍建设。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领导学校思想政治工作和德育工作，坚持用习近平新时代中国特色社会主义思想武装师生员工头脑，加强思想政治理论课建设，把培育和践行社会主义核心价值观融入立德树人全过程。履行好意识形态工作的主体责任，加强学校宣传思想文化网络阵地建设，牢牢掌握学校意识形态工作的领导权、管理权、话语权。维护学校安全稳定，促进和谐校园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7.加强大学文化建设，发挥文化育人作用，建设体现社会主义特点、时代特征、地方和学校特色的校园文化，培育良好校风学风教风。</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8.加强对学校二级学院、直属党支部等基层党组织的领导，做好发展党员和党员教育、管理、监督、服务工作，发展党内基层民主，充分发挥基层党组织的战斗堡垒作用和党员先锋模范作用。加强学校党委自身建设，把政治建设摆在首位，建设担当为要、实干为本、发展为重、奋斗为荣的领导班子。</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9.领导学校党的纪律检查工作，落实党风廉政建设和反腐败工作主体责任，支持学校纪委落实监督责任，加强对审计工作的领导，推进惩治和预防腐败体系建设，持之以恒推进正风反腐。加强党性党风教育，严明党的纪律，牢固树立群众观念，坚决反对和纠正“四风”，推进作风建设规范化、常态化、长效化。加强师德师风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10.做好统一战线工作，对校内民主党派的基层组织实行政治领导，支持他们依法按照各自的章程开展活动。积极发现和培养党外代表人士。支持统一战线成员发挥积极作用。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11.领导学校工会、共青团、科协、社科联、学生会等群众组织和教职工代表大会。做好关心下一代工作。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12.讨论决定其他事关师生员工切身利益的重要事项。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三）党委书记主持党委全面工作，负责落实党要管党、全面从严治党责任，组织党委重要活动，协调党委领导班子成员工作，督促检查党委决议贯彻落实，主动协调党委与校长之间的工作关系，支持校长开展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二、校长要在党委领导下依法行使职责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四）校长是学校的法定代表人，在学校党委领导下，贯彻党的教育方针，坚持依法治校和民主管理，组织实施学校党委有关决议，行使高等教育法、职业教育法等规定的各项职权，全面负责教学、科研、行政管理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（五）校长的主要职责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1.组织拟订和实施学校发展规划、基本管理制度、重要行政规章制度、重大教学科研改革措施、重要办学资源配置方案。组织制定和实施具体规章制度、年度工作计划。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2.组织拟订和实施学校内部组织机构的设置方案。按照国家法律和干部选拔任用工作有关规定，推荐副校长人选。根据学校党委会决定，按规定程序任免内部组织机构的负责人。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3.组织拟订和实施学校人才发展规划、重要人才政策和重大人才工程计划。负责教师队伍建设，依据有关规定聘任与解聘教师及内部其他工作人员。</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组织拟订和实施学校重大基本建设、年度经费预算等方案。落实党委会讨论决定的大额度资金使用、重大基建项目以及重大投资项目的安排事项，加强财务管理和审计监督。管理和保护学校资产，维护学校合法权益。</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5.组织开展教学活动和科学研究，创新人才培养机制，提高人才培养质量，推进文化传承创新，服务国家和地方经济社会发展，把学校办出特色、争创一流。</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6.组织开展思想品德教育和学生心理健康教育，负责学生学籍管理并实施奖励或处分，组织开展招生、就业工作和学生教育管理服务。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7.做好学校安全稳定、后勤保障和附属单位管理等工作。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8.组织开展学校对外交流与合作，依法代表学校与各级政府、社会各界和境外机构等签署合作协议，接受社会捐赠。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9.贯彻落实学校党委关于学校重大工作和重要事项的决议和决定，向党委报告执行情况，向教职工代表大会报告工作，组织处理教职工代表大会、学生代表大会、工会会员代表大会和团员代表大会有关行政工作的提案，以及其他关系师生员工切身利益的重要工作。支持学校各级党组织、民主党派基层组织、群众组织和学术组织开展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10.落实党风廉政建设和意识形态工作“一岗双责”。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11.履行法律法规和学校章程规定的其他职权。</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三、进一步规范决策机制与议事规则</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（六）学校应按期召开党员大会（党员代表大会），选举产生党的委员会。党的委员会对党员大会（党员代表大会）负责并报告工作。凡属学校工作中的重大问题和重要事项，均需提交学校党委会讨论决定。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（七）学校党委在党员大会（党员代表大会）闭会期间领导学校工作，应当通过召开党委会的方式履行以下职责: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1.听取和审议党委工作报告、纪委工作报告。</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2.讨论和决定贯彻执行党的路线方针政策和上级党组织重要决定、会议精神的实施意见。</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3.讨论和决定学校党建、教学、科研、管理、服务等工作的重大改革方案和改革措施，对事关师生员工切身利益的重大问题作出决策。</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4.讨论和决定学校的办学定位，讨论通过党委工作计划、工作报告和学校中长期发展规划。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5.讨论和决定党员大会（党员代表大会）会议方案和换届方案。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6.选举党委委员和党委书记、副书记，通过学校纪委全体委员会议选举产生的纪委书记、副书记。</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7.讨论和决定党委和纪委提交的有关重要事项。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8.研究决定其他需要党委会讨论决定的事项。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（八）党委会主持党委经常工作。会议由党委书记召集并主持。会议议题由学校领导班子成员提出，党委书记确定。党委会的主要任务是:</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1.讨论决定学习宣传和贯彻落实党的路线方针政策、法律法规和上级重要文件、会议精神的实施方案和重要措施，传达贯彻学校党代会的决议和决定。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2.讨论决定学校改革发展稳定和教学、科研、管理、服务等工作的重大事项。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3.按照干部管理权限和有关程序推荐、提名、决定任免干部，协助上级部门做好干部推荐工作。研究决定人才工作的重大事项。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研究决定学校思想政治、意识形态、德育、党风廉政建设、基层党建、安全稳定、统战、群团组织等工作的重大事项。审定报送上级部门的重要请示、报告，以及学校重要表彰及向上级组织推荐表彰的先进集体和个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5.审议党委会向党代会提交的工作报告；讨论决定学校党委、行政年度工作计划、工作总结、年度预决算、教职工代表大会校长工作报告；审议通过学校重要的规章制度和决定。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6.听取下级党组织书记履行党建工作责任制的情况汇报，研究下级党组织请示、报告的重要问题。</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7.讨论决定应由党委会决定的违纪违规干部的组织处理或纪律处分。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8.研究决定其他需要党委会讨论决定的重要事项。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党委会会议必须有半数以上党委委员到会方能召开；讨论决定干部任免等重要事项时，应有三分之二以上党委委员到会方能召开。表决事项时，以超过应到会党委委员人数的半数同意为通过。如对重要问题发生争论，双方人数接近，除了在紧急情况下必须按多数人意见执行外，应当暂缓作出决定。不是党委委员的行政领导班子成员可列席会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（九）校长办公会议是学校行政议事决策机构。会议由校长召集并主持。会议成员一般为学校行政领导班子成员。会议议题由学校领导班子成员提出，校长确定。会议的主要任务是:</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1.学习贯彻党的路线方针政策、法律法规和上级重要工作部署，研究提出拟由党委讨论决定的重要事项方案，具体部署落实党委决议的有关措施。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2.组织拟订和实施学校发展规划、重大改革方案、基本管理制度。组织制定和实施具体规章制度、年度工作计划。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3.组织拟订和实施学校内部组织管理机构的设置方案，以及学校人才发展规划、重要人才政策和重大人才工程计划等。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4.组织拟订和实施重大基本建设、重大投资项目、年度经费预算等方案，加强财务管理和审计监督。研究处理管理和保护学校资产、维护学校合法权益的重要事项。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5.研究处理教学、科研、管理、服务、外事、安全、稳定、学生、德育、招生、就业等工作的具体事项。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6.听取和审议二级学院、工作部门的重要工作汇报。研究处理工会、共青团、学生会等群众组织和教职工代表大会有关行政工作的提案。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7.审定校长向学校党委、教职工代表大会（工会会员代表大会）所作的工作报告。</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8.研究处理其他行政工作事项及突发事件等。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会议必须有半数以上成员到会方能召开。校长应在广泛听取包括列席人员在内的与会人员意见基础上，对讨论研究的事项作出决定。党委书记、副书记、纪委书记等可视议题情况参加会议。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建立健全决策机制。坚持科学决策、民主决策、依法决策，防止个人或少数人专断和议而不决、决而不行。对于行政工作方面的重大问题和重要事项，党委会进行决策前应经校长办公会研究审议。进行“三重一大”事项决策时，实行党委书记、校长末位表态制度。实行学校纪委副书记列席党委会和校长办公会制度。讨论决定学校重大问题，应在调查研究基础上提出建议方案，经领导班子成员沟通酝酿且无重大分歧后提交会议讨论决定。对干部任免建议方案，在提交党委会议讨论决定前，应在党委书记、校长、分管组织工作的副书记、纪委书记等范围内进行充分酝酿，并征求分管或联系校领导的意见。对专业性、技术性较强的重要事项，应经过专家评估及技术、政策、法律咨询。对事关师生员工切身利益的重要事项，应通过教职工代表大会或其他方式，广泛听取师生员工的意见建议。对会议决定事项如需变更、调整，应根据决策程序进行复议。</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四、进一步健全完善协调运行机制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（十一）党委领导下的校长负责制是一个不可分割的有机整体，必须坚持在党委的领导下，保证校长依法行使职权，建立健全党委统一领导、党政分工合作、协调运行的工作机制。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贯彻执行党的民主集中制原则。党委实行集体领导与个人分工负责相结合，集体讨论决定学校重大问题和重要事项。合理确定领导班子成员分工，明确工作职责。党委书记和校长一般不得直接分管干部人事、财务、工程项目和物资采购。领导班子成员要认真执行集体决定，按照分工积极主动开展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建立和完善领导班子成员定期沟通制度。党委书记和校长要相互信任，加强团结，及时交流工作情况。党委会议有关教学、科研、行政管理工作等议题，应在会前听取校长意见；校长办公会议的重要议题，应在会前听取党委书记意见。意见不一致的议题暂缓上会，待进一步交换意见、取得共识后再提交会议讨论。集体决定重大事项前，党委书记、校长和有关领导班子成员要个别酝酿、充分沟通。党委书记和校长要发扬民主，充分听取和尊重班子成员的意见，支持他们的工作。领导班子成员要落实谈心谈话制度，经常交流思想、交换意见，相互理解、相互支持，协调配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（十二）加强学术组织建设，健全以学术委员会为核心的学术管理体系与组织架构，保障学术组织依照章程行使职权，充分发挥其在学科建设、学术评价、学术发展和学风建设等方面的重要作用。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三）发挥教职工代表大会及群众组织作用，健全师生员工参与民主管理和监督的工作机制。教职工代表大会每年至少召开一次，对事关学校改革发展以及教职工切身利益的重大决策、重要问题解决方案进行审议并提出意见和建议。</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五、加强组织领导与监督检查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四）按照社会主义政治家、教育家标准，切实坚强学校领导班子建设，正确处理领导管理工作和个人学术研究的关系，确保有足够的时间和主要精力投入学校管理工作。党委书记和校长一般不担任科研项目主要负责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五）加强学校基层党组织建设，完善二级学院党组织会议和党政联席会议制度，集体讨论决定重大事项，保证党的路线方针政策和学校各项决定的贯彻落实。加强和改进思想政治工作，教育引导师生员工增强“四个意识”，坚定“四个自信”，做到“两个维护”。深入开展坚持中国共产党的领导的教育，深化师生员工对党委领导下的校长负责制的理解和认同，增强坚持和完善这一制度的自觉性和坚定性。</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十六）建立健全逐级工作报告制度。党委委员应及时向党委书记报告分管工作组织实施情况，副校长应及时向校长报告分管工作组织实施情况。校长定期向党委报告贯彻执行党委会议决策情况，向教职工代表大会报告学校行政工作。领导班子成员在民主生活会、任期述职述廉、年度工作总结中报告贯彻执行党委领导下的校长负责制的情况和履行“一岗双责”情况。学校党委要加强对领导班子成员贯彻执行党委领导下的校长负责制情况的监督，发现问题及时纠正。党委书记每年向上级党组织报告履行党建工作责任制等情况。</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49" w:name="_Toc5339"/>
      <w:bookmarkStart w:id="50" w:name="_Toc19748"/>
      <w:bookmarkStart w:id="51" w:name="_Toc27199"/>
      <w:r>
        <w:rPr>
          <w:rFonts w:hint="eastAsia" w:ascii="黑体" w:hAnsi="黑体" w:eastAsia="黑体" w:cs="黑体"/>
          <w:color w:val="000000"/>
          <w:kern w:val="2"/>
          <w:sz w:val="36"/>
          <w:szCs w:val="36"/>
        </w:rPr>
        <w:t>柳州职业技术学院教职工政治理论学习制度</w:t>
      </w:r>
      <w:bookmarkEnd w:id="49"/>
      <w:bookmarkEnd w:id="50"/>
      <w:bookmarkEnd w:id="51"/>
    </w:p>
    <w:p>
      <w:pPr>
        <w:pageBreakBefore w:val="0"/>
        <w:kinsoku/>
        <w:wordWrap/>
        <w:overflowPunct/>
        <w:topLinePunct w:val="0"/>
        <w:autoSpaceDE/>
        <w:autoSpaceDN/>
        <w:bidi w:val="0"/>
        <w:jc w:val="center"/>
        <w:outlineLvl w:val="9"/>
        <w:rPr>
          <w:rFonts w:hint="eastAsia" w:ascii="仿宋" w:hAnsi="仿宋" w:eastAsia="仿宋" w:cs="仿宋"/>
          <w:b/>
          <w:sz w:val="32"/>
          <w:szCs w:val="32"/>
        </w:rPr>
      </w:pPr>
      <w:r>
        <w:rPr>
          <w:rFonts w:hint="eastAsia" w:ascii="仿宋" w:hAnsi="仿宋" w:eastAsia="仿宋" w:cs="仿宋"/>
          <w:b/>
          <w:sz w:val="32"/>
          <w:szCs w:val="32"/>
        </w:rPr>
        <w:t>柳职院党字〔2020〕24号</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全面贯彻落实党的教育方针，进一步推进全校教职工政治理论学习制度化、规范化，强化教职工政治意识、责任意识、阵地意识和底线意识，切实增强贯彻执行党的路线方针政策的自觉性和坚定性，结合学校实际，特制定本制度。 </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高举中国特色社会主义伟大旗帜，全面贯彻落实党的十九大和十九届二中、三中、四中全会精神，深入贯彻落实习近平总书记关于职业教育的重要讲话和指示精神，贯彻落实全国教育大会、全国高校思想政治工作会议精神和《中共中央 国务院关于全面深化新时代教师队伍建设改革的意见》（中发〔2018〕4号）《中共中央 国务院关于加强和改进新形势下高校思想政治工作的意见》（中发〔2016〕31号）文件精神。坚持和巩固马克思主义指导地位，坚持把学习宣传贯彻习近平新时代中国特色社会主义思想作为首要任务，坚持社会主义办学方向,坚持立德树人根本任务，弘扬和践行社会主义核心价值观。深入贯彻落实学校第四次党代会精神，紧密联系学校事业发展实际，有计划、有针对性地开展政治理论学习，用马克思主义世界观、认识论、方法论提升教职工的政治理论素养，增强“四个意识”，坚定“四个自信”，做到“两个维护”，切实把理论学习成果转化为推动学校建成国内一流高职名校的思想保证和精神动力。</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二、学习内容</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坚持不懈学习马克思列宁主义、毛泽东思想和中国特色社会主义理论体系，深入学习领会习近平新时代中国特色社会主义思想的基本精神、基本内容、基本要求，用好《习近平新时代中国特色社会主义思想学习纲要》和《习近平新时代中国特色社会主义思想学习问答》等辅助读本，及时跟进学习习近平总书记最新重要讲话精神。 </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（二）党的路线、方针、政策和决议；党章党规党纪和党的基本知识；党史、新中国史、改革开放史，讲好红色故事，传承红色基因。</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（三）国家法律法规；教育部、自治区和学校有关师德师风建设的相关文件。</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（四）社会主义核心价值观；中华优秀传统文化和革命文化、社会主义先进文化。</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（五）推进中国特色社会主义事业所需要的经济、政治、文化、社会、生态、科技、军事、外交、民族、宗教等方面知识。</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（六）上级党组织要求学习的其他重要内容。</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三、学习形式</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学习形式以集体学习为主，采用精读文件、专题讨论、观看视频、读书班、辅导讲座与培训、理论宣讲、专题报告、经验交流、调研考察、文明实践等方式进行。利用好“学习强国”和“八桂先锋”等网络学习平台加强自主学习，全面提升学习效果。</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（二）创新学习方式方法，增强学习的吸引力、针对性和实效性。在读原著、学原文、悟原理中学，调查研究中学，新时代文明实践中学，做到学思用贯通、知信行统一。</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四、学习要求</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加强组织管理。各二级党组织（党总支、直属党支部）要将教职工政治理论学习列为基层党组织工作、师德师风建设的重要内容，统筹做好学习安排。建立教职工政治理论学习档案，包括学习计划、出勤情况、学习记录、学习总结等。教职工要做好学习笔记，撰写学习心得体会，鼓励教职工撰写政治理论学习文章。</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（二）确保学习时间及质量。每个学期集中学习不少于4次, 每次集中学习时间不少于2学时。上级有其他专门要求的，应按照有关要求，增加学习次数及时间。不得随意占用集体学习时间，确保学习时间、内容、人员、效果“四落实”。</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坚持学习理论和指导实践相结合。要注重学以致用、用以促学，把学习成果不断转化为解决实际问题、推动实际工作的过硬本领和能力。紧紧围绕学校中心工作，把学习理论同研究解决学校改革发展稳定中的重大问题结合起来，同研究解决师生员工最关心、最直接、最现实的利益问题结合起来，使理论真正成为指导工作和决策的思想武器，成为推动学校发展的强大动力。</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五、监督与考核</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（一）各二级党组织（党总支、直属党支部）及时总结学习情况和典型经验做法，及时加强亮点工作宣传报道，每个季度向党委宣传部报备1次教职工政治理论学习情况。</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将教职工参加政治理论学习情况作为二级党组织书记抓基层党建工作和中层干部年度考核的重要内容。将教职工参加政治理论学习的情况纳入教职工年度师德考核、评优评先的重要内容，对于无故缺席1次以上的，年度师德考核不能评为优秀等级，不能推荐参与年度评优评先。</w:t>
      </w:r>
    </w:p>
    <w:p>
      <w:pPr>
        <w:pageBreakBefore w:val="0"/>
        <w:shd w:val="clear" w:color="auto" w:fill="FFFFFF"/>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六、其他</w:t>
      </w:r>
    </w:p>
    <w:p>
      <w:pPr>
        <w:pageBreakBefore w:val="0"/>
        <w:shd w:val="clear" w:color="auto" w:fill="FFFFFF"/>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本制度自印发之日起施行,由党委宣传部负责解释。</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52" w:name="_Toc11590"/>
      <w:bookmarkStart w:id="53" w:name="_Toc30145"/>
      <w:bookmarkStart w:id="54" w:name="_Toc31814"/>
      <w:bookmarkStart w:id="55" w:name="_Toc5214"/>
      <w:r>
        <w:rPr>
          <w:rFonts w:hint="eastAsia" w:ascii="黑体" w:hAnsi="黑体" w:eastAsia="黑体" w:cs="黑体"/>
          <w:color w:val="000000"/>
          <w:kern w:val="2"/>
          <w:sz w:val="36"/>
          <w:szCs w:val="36"/>
        </w:rPr>
        <w:t>柳州职业技术学院新时代思想政治理论课教师队伍建设的实施意见</w:t>
      </w:r>
      <w:bookmarkEnd w:id="52"/>
      <w:bookmarkEnd w:id="53"/>
      <w:bookmarkEnd w:id="54"/>
      <w:bookmarkEnd w:id="55"/>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（柳职院党字〔2021〕41 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深入贯彻全国高校思想政治工作会议和学校思想政治理论课（以下简称“思政课”）教师座谈会精神，全面推进新时代学校思想政治理论课教师（以下简称“思政课教师”）队伍建设，根据中共中央办公厅、国务院办公厅印发的《关于深化新时代学校思想政治理论课改革创新的若干意见》（中办发〔2019〕47号），教育部印发的《新时代高等学校思想政治理论课教师队伍建设规定》（教育部令第46号），自治区党委教育工委、自治区教育厅印发的《贯彻落实教育部〈新时代高等学校思想政治理论课教师队伍建设规定〉的实施细则》（桂教工委宣〔2020〕4号），结合我校实际，制定本实施意见。</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 一、指导思想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坚持以马克思列宁主义、毛泽东思想、邓小平理论、 “三个代表”重要思想、科学发展观和习近平新时代中国特色社会主义思想为指导，坚持把立德树人作为中心环节，按照习近平总书记提出的“六要”“八个相统一”的定位和标准，聚焦提升思政课教师综合素质和专业化水平，遵循思政课教育教学基本规律和教师成长发展规律，推动思政课教师队伍建设的持续健康发展，努力建设一支政治坚定、业务精湛、师德高尚、结构合理的思政课教师队伍，不断提升思政课的亲和力和针对性，积极培育时代新人，培养德智体美劳全面发展的社会主义建设者和接班人，开创我校思政课建设新局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二、思政课教师的职责和要求</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（一）思政课教师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思政课是高等学校落实立德树人根本任务的关键课程，是必须按照国家要求设置的课程。思政课教师是指承担学校思政课教育教学和研究职责的专兼职教师，是学校教师队伍中开展马克思主义理论教育、用习近平新时代中国特色社会主义思想铸魂育人的中坚力量。专职思政课教师是指在学校马克思主义学院、承担思政课教学任务的专任教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（二）思政课教师岗位职责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思政课教师的首要岗位职责是讲好思政课。思政课教师要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为培养德智体美劳全面发展的社会主义建设者和接班人作出积极贡献。主要如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1.热爱中国共产党，热爱社会主义，始终与党中央保持高度一致。 遵纪守法，遵守教师职业道德，爱岗敬业，教书育人。关心并参与马克思主义学院的发展，为思政课教学改革和课程建设出力献策。</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2.积坚持不懈地对学生进行马克思主义教育，进行爱国主义、集体主义、社会主义、思想品德和法律教育，进行社会主义核心价值观教育，提高学生的思想政治素质，做大学生健康成长的指导者和引路人。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努力钻研教育教学理论和文化科学知识，积极参加业务进修和在职培训，勇于承担教学及教学改革任务，积极参加教研活动，不断创新教学方法，不断提高综合素质。严格执行课程标准和教学计划，认真备课、授课、辅导、批改作业，保证教学过程的完整性和教学效果的实效性。 </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4.积极参与科研课题申报、教学改革研究等工作。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5.积极在校内外开展党的理论、路线、方针、政策的宣讲。</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6.关心、爱护学生，尊重学生人格，客观公正地评定学生的品行和学业成绩。</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7.积极参加学校“三全育人”和“课程思政”相关工作，形成育人合力，构建学校“大思政”格局。</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（三）思政课教师的岗位要求</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思政课教师要加强教学研究，深化教学改革创新，抓好理论研究和宣传普及，做学习和实践马克思主义的典范，做为学为人的表率，做到政治强、情怀深、思维新、视野广、自律严、人格正。主要如下：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思政课教师要自觉用习近平新时代中国特色社会主义思想武装头脑。始终在政治立场、政治方向、政治原则、政治道路上同以习近平同志为核心的党中央保持高度一致，模范践行高等学校教师师德规范，增强“四个意识”，坚定“四个自信”，做到“两个维护”。</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思政课教师要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思政课教师要加强教学研究。坚持以思政课教学为核心的科研导向，深入研究思政课教学方法和教学重点难点问题，深入研究坚持和发展中国特色社会主义的重大理论和实践问题。积极将习近平新时代中国特色社会主义思想和党的创新理论融入思政课教学。</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思政课教师要积极推进教学改革创新。按照政治性和学理性相统一、价值性和知识性相统一、建设性和批判性相统一、理论性和实践性相统一、统一性和多样性相统一、主导性和主体性相统一、灌输性和启发性相统一、显性教育和隐性教育相统一的要求，增强思政课的思想性、理论性和亲和力、针对性，全面提高思政课质量和水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5.思政课教师要积极参与学校大学生思想政治教育工作，积极与专业课教师、辅导员结对共建，协同育人。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（四）思政课教师的任职资格条件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1.新任教师原则上是中国共产党党员，热爱祖国，热爱马克思主义理论教育事业，贯彻国家教育方针，具有正确的政治立场，具有较强的政治素质。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2.具有马克思主义理论一级学科或相关相近学科硕士及以上学位，具有较扎实的专业理论知识。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3.对新入职思政课教师，原则上在马克思主义学院或者是校内其它部门的岗位挂职锻炼1年，少安排或不安排教学任务。三年内，新入职思政课教师原则上必须取得高校教师资格认定。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4.遵守国家法律和法规，具有良好的职业道德和敬业精神，为人师表，教书育人，敬业爱岗，团结合作，勇于创新。</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有扎实的马克思主义理论基础和相应的教学水平、科研能力。能全面、熟练地履行岗位职责，教风端正，治学严谨。具备较高的教学水平，探索符合教育教学规律和大学生特点的教学方法，具备信息化教学能力。能独立从事马克思主义理论学科的科学研究，具备在相关刊物公开发表论文或主持相关课题的能力。</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6.无任何违法乱纪和道德败坏行为记录与处分。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（五）马克思主义学院设置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设置独立的马克思主义学院。马克思主义学院是学校思政课教学科研二级机构，统筹思政课教学科研和教师队伍的管理、培养、培训。马克思主义学院负责人是中国共产党党员，并有长期从事思政课教学或者马克思主义理论学科研究的经历；如缺少合适的人选，可以采取兼职等办法，从相关单位聘任。学校重点建设马克思主义学院作、思政课，在发展规划、人才引进、公共资源使用等方面给予优先保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三、主要工作任务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（一）加强教师队伍思想政治建设和师德师风建设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 xml:space="preserve">1.加强教师思想政治教育。坚持用习近平新时代中国特色社会主义思想武装头脑，建立常态化政治理论学习制度，开辟新阵地，创新方式方法，增强教育引导教师的针对性和实效性；加强意识形态领域工作，引导全体教师树牢“四个意识”、坚定“四个自信”、坚决做到“两个维护”。 </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健全师德师风建设长效机制。将师德教育融入教师职前培养、准入、职后培训和管理的全过程。加大对师德师风先进典型宣传力度，对师德失范事件第一时间查处并公布。将师德表现作为教师资格定期注册、评优晋升、职称评聘、考核评价等首要内容，实行师德师风一票否决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（二）做好思想政治理论课教师选配工作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1.学校配齐配强专职思政课教师队伍。根据全日制在校生总数，严格按照师生比不低于1∶350的比例核定专职思政课教师岗位，实行动态调整，不得挪作他用，并逐步优化年龄、专业和学缘结构。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学校建设专职为主、专兼结合、数量充足、素质优良的思政课教师队伍。注重吸引马克思主义理论、思想政治教育等相关专业的优秀研究生毕业生担任专职思政课教师；在与思政课教学内容相关的学科专业遴选优秀教师，培训合格后调入思政课教师队伍，专职从事思政课教学；将胜任思政课教学的党政管理干部、辅导员转岗为专职思政课教师；返聘符合岗位要求的退休优秀思政课教师承担一定数量的思政课教学任务；当统筹利用好校外人才资源，组织党政领导干部、专家学者、优秀企业家、时代楷模、百姓宣讲员等，进校园讲授思政课或者是开设思政课选修课。要明确授课人员的基本要求、评价标准和管理考核方法等，建立健全长效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学校支持马克思主义学院积极开展自治区思政课集群结对共建工作，支持马克思主义学院加大全区高校思政课校际协作力度，探索建立不同高校间思政课教师岗位交流制度，加强思政课教师柔性流动和协同机制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（三）健全和完善思想政治理论课教师培训体系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1.加强新入职教师培训。全面实行思想政治理论课教师资格准入制度，新入职教师需参加教育厅或者学校举办的岗前专项培训。要认真落实导师带徒制度，优秀老教师与青年教师结对。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2.壮大骨干队伍。鼓励和支持教师在职攻读硕、博士学位，提高教师学位学历层次。加大学科带头人和中青年骨干教师培养力度，有计划、有重点、分层次培养各级思想政治理论课名教师和骨干教师。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强化社会实践。积极组织教师开展社会实践、学习考察和学术交流活动。积极创造条件，统筹组织教师到改革开放前沿、欠发达地区、工农业生产基地调查研究，到革命历史纪念地、爱国主义教育基地学习考察，到企业、社区基层和政府部门等挂职锻炼，帮助教师了解国情，开阔视野，丰富教学素材，提升教学水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（四）切实提高思想政治理论课教学水平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思政课教师要以教材为教学基本遵循，在教材体系向教学体系转化上下功夫，做到融会贯通、精辟讲解。要积极了解和掌握大学生思想政治状况，探索符合教育教学规律和大学生特点的教学方法。实施集体备课制度，加强对各门课程教学设计的研究，加强对不同课程之间内容衔接的研究。开展思政课教学质量等级评定，组织教学观摩活动，推广先进教学方法，促进优质教学资源建设和共享。重视发挥多媒体和网络等信息技术的重要作用，开发网络教育资源，形成网上网下教学互动、校内校外资源共享。</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（五）切实提高思想政治理论课教师的科研能力</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要设立马克思主义理论研究专项课题经费，为思想政治理论课教师科研创造条件，鼓励思想政治理论课教师从事相关领域研究，不断提高科研能力。将思政课的课程建设、教材建设、教学方法改革、教师队伍建设、学科建设以及教学中重要理论和实际问题的研究等，在政策上予以倾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（六）全面加强党对思政课建设的领导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落实党委思政课建设责任。学校党委会每学期研究思政课建设时要将队伍建设摆在重要位置。思政课教师队伍建设情况是学校党委书记落实主体责任述职评议考核重要内容之一。学校将思政课教师队伍建设纳入教育事业发展和干部人才队伍建设总体规划，在资金投入上优先保障，在资源配置上优先满足，努力提高思政课教师的政治地位、社会地位、职业地位。</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压实学校主体责任。学校党委书记、校长是思政课建设的第一责任人，带头抓好思政课教师队伍建设，落实学校领导班子成员听课指导制度、联系思政课教师制度，关心参与思政课教师队伍建设。学校党委书记、校长每学期至少给学生讲授4个课时思政课，学校领导班子其他成员每学期至少讲授2个课时思政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四、保障措施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（一）完善教学管理制度和健全教学保障机制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按照上级要求，确保思想政治理论课的教学时数。坚持以中班教学（每班100名学生左右）为主体。建立完善教学督导制度，加强教学质量的管理和监督。学校每生每年不低于30元的标准，安排专项经费，用于教师学术交流、实践研修等，并随着学校经费的增长逐年增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（二）完善教师队伍建设的激励机制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按照每年10个月、每月2000元，落实思政课教师岗位奖励绩效，确保思想政治理论课教师的平均收入不低于本校相关专业院系教师的平均水平。学校要制定思政课教师岗位绩效奖励办法，健全激励机制。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（三）完善思想政治理论课教师职务（职称）评聘体系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完善专业技术职务（职称）评聘标准。学校要制定符合思政课教师职业特点和岗位要求的思政课教师专业技术职务（职称）评聘标准。根据思想政治理论课教师岗位职责要求，学校在职务（职称）评审中，注重考核教学能力和教学实绩，落实思政课教师单列评审。将思政课教师教学基本任务要求、教学实效、科研成果，以及思政课教师与专业课教师、辅导员结对共建工作情况等作为专业技术职务（职称）评聘必要条件。同等条件下优先考虑指导马克思主义理论类学生社团1 年以上且履职情况较好的思政课教师。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完善思政课教师教学和科研成果认定制度。学校要积极推行科研成果代表作制度，细化思政课教师科研成果认定办法，将思政课教师撰写的专著、论文、教学参考资料、调查报告、教书育人经验总结、在中央和地方主要媒体等重点报刊目录上发表的理论文章等纳入学术成果范围，对教学和科研成果排序等内容设置合理规则。在制定思政课教师专业技术职务（职称）评聘指标和排次定序依据时，要结合实际设置规则，不得将国外期刊论文发表情况和出国访学留学情况作为必要条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切实改革思政课教师评聘机制。学校要建立完善思政课教师教学考核制度，细化思政课教师教学考核和专业技术职务（职称）聘期考核要求，进一步提高评价中教学和教学研究占比。在专业技术职务（职称）评聘工作中单独设立马克思主义理论类别，校级专业技术职务（职称）评聘委员会要有同比例的马克思主义理论学科专家。按教师比例核定思政课教师专业技术职务（职称）各类岗位占比，高级专业技术职务（职称）岗位比例不低于学校平均水平，岗位指标不得挪作他用。实行不合格思政课教师退出机制，对不能胜任思政课教学的要及时调离或退出思政课教学岗位，对违反师德规范的按有关规定从严处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（四）加强对思政课教师师德师风考核管理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认真贯彻落实《柳州职业技术学院教师职业道德考核办法》和《柳州职业技术学院教师职业道德负面清单和失范行为处理办法》等学校相关管理制度，对在教育教学活动中损害党中央权威、违背党的路线方针政策者，对有严重师德和学术道德失范行为、影响恶劣者，按有关规定予以党纪处分、行政处分、撤销教师资格、解聘等处理，涉及违法犯罪的及时移交司法部门处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对不能胜任思政课教学和不服从学校、马克思主义学院教育教学工作安排者，以及三年内新入职思政课教师没有取得高校教师资格者，原则上调离思政课教师岗位。</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56" w:name="_Toc25960"/>
      <w:bookmarkStart w:id="57" w:name="_Toc14702"/>
      <w:bookmarkStart w:id="58" w:name="_Toc6581"/>
      <w:bookmarkStart w:id="59" w:name="_Toc21056"/>
      <w:r>
        <w:rPr>
          <w:rFonts w:hint="eastAsia" w:ascii="黑体" w:hAnsi="黑体" w:eastAsia="黑体" w:cs="黑体"/>
          <w:color w:val="000000"/>
          <w:kern w:val="2"/>
          <w:sz w:val="36"/>
          <w:szCs w:val="36"/>
        </w:rPr>
        <w:t>中共柳州职业技术学院委员会关于进一步健全落细落实习近平总书记重要讲话、重要指示批示精神和党中央决策部署长效机制的实施意见</w:t>
      </w:r>
      <w:bookmarkEnd w:id="56"/>
      <w:bookmarkEnd w:id="57"/>
      <w:bookmarkEnd w:id="58"/>
      <w:bookmarkEnd w:id="59"/>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（柳职院党字〔2021〕31号）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的十八大以来，学校以习近平新时代中国特色社会主义思想为指导，坚持把学习贯彻落实习近平总书记重要讲话、重要指示批示精神和党中央决策部署作为首要政治任务，以实际行动践行“两个维护”，用落实成效推动发展。为进一步落细落实习近平总书记重要讲话、重要指示批示精神和党中央决策部署，健全完善贯彻落实长效机制，不断开创事业发展新局面，根据《中共广西壮族自治区委员会关于进一步健全落细落实习近平总书记重要讲话、重要指示批示精神和党中央决策部署长效机制的意见》（桂发[2020]24号）精神，结合学校实际，现提出如下实施意见。</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一、总体要求</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全面贯彻党的十九大和十九届二中、三中、四中、五中全会精神，统筹推进“五位一体”总体布局，协调推进“四个全面”战略布局，紧紧围绕“闯出新路子、展现新作为、迈出新步伐、彰显新担当”的“四个新”总要求及“建设壮美广西 共圆复兴梦想”总目标总要求，全面落实“三大定位”新使命和“五个扎实”新要求，坚持新发展理念，坚持稳中求进工作总基调，以推动高质量发展为主题，准确把握新发展阶段，抢抓用好新发展机遇，积极融入新发展格局，进一步解放思想、改革创新、扩大开放、担当实干，严格抓落实责任，细化抓落实措施，完善抓落实机制，强化抓落实保障，以钉钉子精神推动习近平总书记重要讲话、重要指示批示精神和党中央决策部署落细落实，始终在思想上政治上行动上同以习近平同志为核心的党中央保持高度一致。深入实施“党建引领，聚力‘双高’，彰显特色，建成国内一流高职名校”的发展战略，加快推动学校各项事业高质量发展，为</w:t>
      </w:r>
      <w:r>
        <w:rPr>
          <w:rFonts w:hint="eastAsia" w:ascii="仿宋" w:hAnsi="仿宋" w:eastAsia="仿宋" w:cs="仿宋"/>
          <w:spacing w:val="2"/>
          <w:sz w:val="32"/>
          <w:szCs w:val="32"/>
        </w:rPr>
        <w:t>建设新时代中国特色社会主义壮美广西提供优秀技术技能人才支撑。</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（二）工作原则</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（1）坚持政治引领、做到“两个维护”。</w:t>
      </w:r>
      <w:r>
        <w:rPr>
          <w:rFonts w:hint="eastAsia" w:ascii="仿宋" w:hAnsi="仿宋" w:eastAsia="仿宋" w:cs="仿宋"/>
          <w:sz w:val="32"/>
          <w:szCs w:val="32"/>
        </w:rPr>
        <w:t>旗帜鲜明讲政治，增强政治意识，善于从政治上看问题，善于把握政治大局，不断提高政治判断力、政治领悟力、政治执行力。坚持政治立场不移、政治方向不偏，始终在大局下行动，处处为大局服务，确保贯彻落实及时、准确、到位，一以贯之做到“两个维护”。</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（2）坚持解放思想、改革创新。</w:t>
      </w:r>
      <w:r>
        <w:rPr>
          <w:rFonts w:hint="eastAsia" w:ascii="仿宋" w:hAnsi="仿宋" w:eastAsia="仿宋" w:cs="仿宋"/>
          <w:sz w:val="32"/>
          <w:szCs w:val="32"/>
        </w:rPr>
        <w:t>坚决反对形式主义，避免“一刀切”，注重结合实际，破除体制机制障碍，尊重基层首创，提升创造性抓落实水平，切实将习近平总书记重要讲话、重要指示批示精神和党中央决策部署转化为推动学校各项事业发展的工作实效和生动实践。</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（3）坚持系统观念、统筹推进。</w:t>
      </w:r>
      <w:r>
        <w:rPr>
          <w:rFonts w:hint="eastAsia" w:ascii="仿宋" w:hAnsi="仿宋" w:eastAsia="仿宋" w:cs="仿宋"/>
          <w:sz w:val="32"/>
          <w:szCs w:val="32"/>
        </w:rPr>
        <w:t>对标对表推进治理体系和治理能力现代化要求，健全系统完备、科学规范、运行有效的闭环落实机制，增强贯彻落实的整体性系统性协同性，推动贯彻落实工作制度化法治化规范化常态化。</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（4）坚持问题导向、务求实效。</w:t>
      </w:r>
      <w:r>
        <w:rPr>
          <w:rFonts w:hint="eastAsia" w:ascii="仿宋" w:hAnsi="仿宋" w:eastAsia="仿宋" w:cs="仿宋"/>
          <w:sz w:val="32"/>
          <w:szCs w:val="32"/>
        </w:rPr>
        <w:t>严格按照“务实、高效、优质、精准”要求，强化责任意识，以解决问题为指引，敢于直面问题，不回避矛盾，不掩盖问题，聚焦贯彻落实中的堵点难点痛点问题，总结有效经验，完善思路举措，加强督促检查，打通“最后一公里”，切实提升贯彻落实实效。</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（三）主要任务</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着力聚焦以下重点抓好落实：</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1.习近平新时代中国特色社会主义思想及党的理论路线方针政策，习近平总书记重要讲话、重要指示批示，特别是关于职业教育工作重要指示精神和重要论述。</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2.习近平总书记视察广西时重要讲话精神及对广西工作的重要指示批示精神，落实“四个新”总要求和“三大定位”新使命、“五个扎实”新要求。</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党中央、国务院召开的重要会议、出台的重要文件、做出的决策部署，特别是全国职业教育大会精神，以及《国家职业教育改革实施方案》《国务院办公厅关于深化产教融合的若干意见》《中国教育现代化2035》等中央、国务院关于职业教育的方针政策和重大决策部署。</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二、学习宣传机制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（一）第一时间学习。</w:t>
      </w:r>
      <w:r>
        <w:rPr>
          <w:rFonts w:hint="eastAsia" w:ascii="仿宋" w:hAnsi="仿宋" w:eastAsia="仿宋" w:cs="仿宋"/>
          <w:sz w:val="32"/>
          <w:szCs w:val="32"/>
        </w:rPr>
        <w:t>习近平总书记发表重要讲话、作出重要指示批示特别是对广西工作、职业教育作出重要指示批示以及党中央作出决策部署后，学校党委会会议列为第一议题，及时传达学习，先学一步、学深一层，全面准确领会其精神实质和核心要义，深刻把握其中蕴含的战略思想、重要观点和实践要求。同时纳入党委理论学习中心组学习。全校各级党组织及时组织传达学习。</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责任部门：党委办公室（学校办公室）、党委宣传部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（二）组织推动学习。</w:t>
      </w:r>
      <w:r>
        <w:rPr>
          <w:rFonts w:hint="eastAsia" w:ascii="仿宋" w:hAnsi="仿宋" w:eastAsia="仿宋" w:cs="仿宋"/>
          <w:sz w:val="32"/>
          <w:szCs w:val="32"/>
        </w:rPr>
        <w:t>组织党员全面深入学习贯彻落实习近平总书记重要讲话、重要指示批示精神和党中央决策部署要求，在学懂弄通做实上下功夫，分类梳理列出专题，作为理论学习中心组重点学习内容。充分利用好各种平台，通过专题研讨、举办读书班等方式，原原本本学、全面系统学、联系实际学，不断提高党员理论素养、政治素养，增强政治判断力、政治领悟力、政治执行力，做到融会贯通，内化于心、外化于行。</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责任部门：党委宣传部、直属党支部、二级学院党总支</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（三）组织宣传解读。</w:t>
      </w:r>
      <w:r>
        <w:rPr>
          <w:rFonts w:hint="eastAsia" w:ascii="仿宋" w:hAnsi="仿宋" w:eastAsia="仿宋" w:cs="仿宋"/>
          <w:sz w:val="32"/>
          <w:szCs w:val="32"/>
        </w:rPr>
        <w:t>围绕习近平总书记重要讲话、重要指示批示和党中央决策部署提出的重大理论观点、重大方针政策、重大工作举措，充分利用新时代文明实践所（站）、匠心书院、青年马克思主义者培养学校等平台，积极发挥新时代大学生宣讲团的宣传文化思想“轻骑兵”作用，领导干部带头解读、宣讲，把重要精神传达到党员干部、传达到基层，让广大党员、师生听得懂、能领会、可落实。充分发挥思政课、主题班团会主阵地、主渠道作用，充分利用易班网络思政平台，积极推进新思想、新理论、新政策进课堂、进教材、进学生头脑。统筹运用好校园网站、微信公众号、视频号、校报等校园全媒体力量，推出一批有深度有分量的综述、报道、评论、专访、理论文章和宣传解读文章，进行多角度、立体化宣传解读，营造学习贯彻的浓厚氛围。</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责任部门：党委宣传部、党委学生工作部（学生工作处）、校团委、团委、马克思主义学院、直属党支部、二级学院党总支</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三、细化分解机制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（一）细化贯彻落实举措</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习近平总书记对广西工作、职业教育作出重要指示批示，学校有关部门要牵头组织相关部门，结合学校实际情况，研究提出学习贯彻落实的意见建议。中央、国务院对职业教育作出重大决策部署，学校有关部门要及时制定学习贯彻落实的具体方案，把任务要求系统化方案化具体化，明确牵头单位、责任单位和落实时限。</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责任部门：党委办公室（学校办公室）、党委组织部、党委宣传部、党委学生工作部（学生工作处）、发展规划与质量管理处</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（二）实行清单台账管理。</w:t>
      </w:r>
      <w:r>
        <w:rPr>
          <w:rFonts w:hint="eastAsia" w:ascii="仿宋" w:hAnsi="仿宋" w:eastAsia="仿宋" w:cs="仿宋"/>
          <w:sz w:val="32"/>
          <w:szCs w:val="32"/>
        </w:rPr>
        <w:t>各部门要按照上级贯彻落实措施，结合工作实际，细化工作方案，制定任务清单，明确目标任务、具体责任人、工作标准、时限要求，确保每一项任务和措施都有人管、有人抓。要健全完善贯彻落实的工作台账，明确专人专责，实行全过程动态和全流程闭环管理。</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责任部门：各相关部门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四、协同落实机制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（一）强化高位推动。</w:t>
      </w:r>
      <w:r>
        <w:rPr>
          <w:rFonts w:hint="eastAsia" w:ascii="仿宋" w:hAnsi="仿宋" w:eastAsia="仿宋" w:cs="仿宋"/>
          <w:sz w:val="32"/>
          <w:szCs w:val="32"/>
        </w:rPr>
        <w:t>进一步健全完善重大事项和重点工作党委书记“第一责任人”责任制，完善工作机制，定期研究部署工作，协调解决困难和问题。进一步健全完善学校党委主要领导挂牌督办制度，党委领导班子成员结合所分管领域和部门开展挂牌督办，加强协调指导和督促检查。</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责任部门：党委办公室（学校办公室）</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（二）强化协调推动。</w:t>
      </w:r>
      <w:r>
        <w:rPr>
          <w:rFonts w:hint="eastAsia" w:ascii="仿宋" w:hAnsi="仿宋" w:eastAsia="仿宋" w:cs="仿宋"/>
          <w:sz w:val="32"/>
          <w:szCs w:val="32"/>
        </w:rPr>
        <w:t>对贯彻落实工作中的重大任务、重要举措，属于职能部门职责范围的，职能部门要及时跟进落实;涉及多个职能部门的，各部门之间要强化定期会商，牵头部门要主动召集相关责任部门协商对接，形成抓落实工作合力，协同联动落实;需要学校领导出面协调的，牵头部门提出方案和需要协调的关键点，由学校领导统筹协调落实;重大问题在完善方案、提出需要解决问题的基础上，报学校党委决策推动落实。</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责任部门：各相关部门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(三)强化系统推动。</w:t>
      </w:r>
      <w:r>
        <w:rPr>
          <w:rFonts w:hint="eastAsia" w:ascii="仿宋" w:hAnsi="仿宋" w:eastAsia="仿宋" w:cs="仿宋"/>
          <w:sz w:val="32"/>
          <w:szCs w:val="32"/>
        </w:rPr>
        <w:t>将习近平总书记的重要指示批示精神和中央、国务院重大决策部署要求贯穿到制定学校发展规划及各类专项规划工作全过程各方面，健全完善政策协调和工作协同机制，加强规划实施监测评估和绩效考评，确保规划各项目标任务落到实处。</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责任部门：发展规划与质量管理处</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五、激励监督机制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(一)加强考核监督。</w:t>
      </w:r>
      <w:r>
        <w:rPr>
          <w:rFonts w:hint="eastAsia" w:ascii="仿宋" w:hAnsi="仿宋" w:eastAsia="仿宋" w:cs="仿宋"/>
          <w:sz w:val="32"/>
          <w:szCs w:val="32"/>
        </w:rPr>
        <w:t>将习近平总书记重要讲话、重要指示批示精神和中央、国务院重大决策部署的贯彻落实情况，列入部门年度考核评价指标，作为领导干部考核的首要政治标准。加强贯彻落实习近平总书记重要讲话、重要指示批示精神和党中央重大决策部署情况的执纪监督检查，对抓工作落实高度重视、措施有力、成效显著的，予以通报表扬;对抓工作落实不力、消极应付，做选择、搞变通，空泛表态、敷衍塞责的，予以通报批评并追究相应责任。</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责任部门：党委组织部、党委宣传部、发展规划与质量管理处、纪委办公室（监察室）</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(二)强化整改提升。</w:t>
      </w:r>
      <w:r>
        <w:rPr>
          <w:rFonts w:hint="eastAsia" w:ascii="仿宋" w:hAnsi="仿宋" w:eastAsia="仿宋" w:cs="仿宋"/>
          <w:sz w:val="32"/>
          <w:szCs w:val="32"/>
        </w:rPr>
        <w:t>对督促检查中发现的不落实、落实不到位、执行偏差等问题，有关责任部门要及时制定整改方案，限期整改到位。对落实中存在的形式主义、官僚主义突出问题，要有针对性地开展专项治理。对落实中的好做法好经验，要及时总结推广，不断提高贯彻落实的效果、质量和水平。</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责任部门：党委组织部、党委宣传部、发展规划与质量管理处、纪委办公室（监察室）</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六、组织保障</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（一）健全责任体系。</w:t>
      </w:r>
      <w:r>
        <w:rPr>
          <w:rFonts w:hint="eastAsia" w:ascii="仿宋" w:hAnsi="仿宋" w:eastAsia="仿宋" w:cs="仿宋"/>
          <w:sz w:val="32"/>
          <w:szCs w:val="32"/>
        </w:rPr>
        <w:t>切实履行抓落实主体责任，对抓落实负总责，作决策要与抓落实同研究、同部署、同推进，推动解决贯彻落实中的突出问题。领导干部要强化责任意识，知责于心、担责于身、履责于行。领导班子主要负责人要切实担负起抓落实的第一责任人责任，直接主管的班子成员在职责范围内承担主要领导责任，参与决策和工作的班子成员在职责范围内承担重要领导责任，领导班子其他成员要按照分工各负其责，确保分管领域和部门工作高效推进、有效落实。</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（二）改进工作作风。</w:t>
      </w:r>
      <w:r>
        <w:rPr>
          <w:rFonts w:hint="eastAsia" w:ascii="仿宋" w:hAnsi="仿宋" w:eastAsia="仿宋" w:cs="仿宋"/>
          <w:sz w:val="32"/>
          <w:szCs w:val="32"/>
        </w:rPr>
        <w:t>深入贯彻落实习近平总书记关于进一步纠正“四风”、加强作风建设重要指示精神，大力弘扬“担当为要、实干为本、发展为重、奋斗为荣”理念，牢固树立正确政绩观，持续解决形式主义官僚主义突出问题，让广大党员干部把更多精力放在抓落实、干实事、谋发展上。领导干部要改进领导方式和工作方法，大兴改革创新之风、攻坚克难之风、真抓实干之风，着力破解突出矛盾和问题，防范化解风险挑战，推动学校各项事业高质量发展。</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（三）加强能力建设。</w:t>
      </w:r>
      <w:r>
        <w:rPr>
          <w:rFonts w:hint="eastAsia" w:ascii="仿宋" w:hAnsi="仿宋" w:eastAsia="仿宋" w:cs="仿宋"/>
          <w:sz w:val="32"/>
          <w:szCs w:val="32"/>
        </w:rPr>
        <w:t>深入加强学校领导班子建设、干部队伍建设，强化对领导干部的思想淬炼、政治历练、实践锻炼、专业训练，提高政治能力、调查研究能力、科学决策能力、改革攻坚能力、应急处置能力、群众工作能力、抓落实能力，增强把握形势变化、精准识别现象本质、清醒明辨行为是非、有效抵御风险挑战的能力，以过硬本领服务构建新发展格局，深入实施“党建引领，聚力‘双高’，彰显特色，建成国内一流高职名校”的发展战略，为奋力建设</w:t>
      </w:r>
      <w:r>
        <w:rPr>
          <w:rFonts w:hint="eastAsia" w:ascii="仿宋" w:hAnsi="仿宋" w:eastAsia="仿宋" w:cs="仿宋"/>
          <w:spacing w:val="2"/>
          <w:sz w:val="32"/>
          <w:szCs w:val="32"/>
        </w:rPr>
        <w:t>新时代中国特色社会主义壮美广西作出更大贡献。</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60" w:name="_Toc31066"/>
      <w:bookmarkStart w:id="61" w:name="_Toc534377759"/>
      <w:bookmarkStart w:id="62" w:name="_Toc17149"/>
      <w:bookmarkStart w:id="63" w:name="_Toc23183"/>
      <w:r>
        <w:rPr>
          <w:rFonts w:hint="eastAsia" w:ascii="黑体" w:hAnsi="黑体" w:eastAsia="黑体" w:cs="黑体"/>
          <w:color w:val="000000"/>
          <w:kern w:val="2"/>
          <w:sz w:val="36"/>
          <w:szCs w:val="36"/>
        </w:rPr>
        <w:t>中共柳州职业技术学院委员会</w:t>
      </w:r>
      <w:bookmarkEnd w:id="60"/>
      <w:bookmarkEnd w:id="61"/>
      <w:bookmarkEnd w:id="62"/>
      <w:bookmarkEnd w:id="63"/>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64" w:name="_Toc32486"/>
      <w:bookmarkStart w:id="65" w:name="_Toc20863"/>
      <w:bookmarkStart w:id="66" w:name="_Toc534377760"/>
      <w:bookmarkStart w:id="67" w:name="_Toc20349"/>
      <w:r>
        <w:rPr>
          <w:rFonts w:hint="eastAsia" w:ascii="黑体" w:hAnsi="黑体" w:eastAsia="黑体" w:cs="黑体"/>
          <w:color w:val="000000"/>
          <w:kern w:val="2"/>
          <w:sz w:val="36"/>
          <w:szCs w:val="36"/>
        </w:rPr>
        <w:t>贯彻落实意识形态工作责任制实施细则</w:t>
      </w:r>
      <w:bookmarkEnd w:id="64"/>
      <w:bookmarkEnd w:id="65"/>
      <w:bookmarkEnd w:id="66"/>
      <w:bookmarkEnd w:id="67"/>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（柳职院党字〔2017〕12号）</w:t>
      </w: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b/>
          <w:bCs/>
          <w:color w:val="000000"/>
          <w:kern w:val="0"/>
          <w:sz w:val="32"/>
          <w:szCs w:val="32"/>
        </w:rPr>
      </w:pP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rPr>
        <w:t>第一章</w:t>
      </w:r>
      <w:r>
        <w:rPr>
          <w:rFonts w:hint="eastAsia" w:ascii="仿宋" w:hAnsi="仿宋" w:eastAsia="仿宋" w:cs="仿宋"/>
          <w:bCs/>
          <w:color w:val="000000"/>
          <w:kern w:val="0"/>
          <w:sz w:val="32"/>
          <w:szCs w:val="32"/>
        </w:rPr>
        <w:t xml:space="preserve">  </w:t>
      </w:r>
      <w:r>
        <w:rPr>
          <w:rFonts w:hint="eastAsia" w:ascii="仿宋" w:hAnsi="仿宋" w:eastAsia="仿宋" w:cs="仿宋"/>
          <w:b/>
          <w:bCs/>
          <w:color w:val="000000"/>
          <w:kern w:val="0"/>
          <w:sz w:val="32"/>
          <w:szCs w:val="32"/>
        </w:rPr>
        <w:t>总</w:t>
      </w:r>
      <w:r>
        <w:rPr>
          <w:rFonts w:hint="eastAsia" w:ascii="仿宋" w:hAnsi="仿宋" w:eastAsia="仿宋" w:cs="仿宋"/>
          <w:bCs/>
          <w:color w:val="000000"/>
          <w:kern w:val="0"/>
          <w:sz w:val="32"/>
          <w:szCs w:val="32"/>
        </w:rPr>
        <w:t xml:space="preserve">  </w:t>
      </w:r>
      <w:r>
        <w:rPr>
          <w:rFonts w:hint="eastAsia" w:ascii="仿宋" w:hAnsi="仿宋" w:eastAsia="仿宋" w:cs="仿宋"/>
          <w:b/>
          <w:bCs/>
          <w:color w:val="000000"/>
          <w:kern w:val="0"/>
          <w:sz w:val="32"/>
          <w:szCs w:val="32"/>
        </w:rPr>
        <w:t>则</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第一条</w:t>
      </w:r>
      <w:r>
        <w:rPr>
          <w:rFonts w:hint="eastAsia" w:ascii="仿宋" w:hAnsi="仿宋" w:eastAsia="仿宋" w:cs="仿宋"/>
          <w:color w:val="000000"/>
          <w:kern w:val="0"/>
          <w:sz w:val="32"/>
          <w:szCs w:val="32"/>
        </w:rPr>
        <w:t xml:space="preserve">  为贯彻落实中共中央和上级党组织关于实施党委（党组）意识形态工作责任制的相关文件精神，进一步加强和改进学校意识形态工作，落实党管宣传、党管意识形态原则，牢牢掌握意识形态工作的领导权、主动权，巩固马克思主义在意识形态领域的指导地位，明确各级党组织和各级领导班子、领导干部的意识形态工作责任，切实担负起全面从严治党的主体责任,结合学校实际，制定本实施细则。</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第二条</w:t>
      </w:r>
      <w:r>
        <w:rPr>
          <w:rFonts w:hint="eastAsia" w:ascii="仿宋" w:hAnsi="仿宋" w:eastAsia="仿宋" w:cs="仿宋"/>
          <w:color w:val="000000"/>
          <w:kern w:val="0"/>
          <w:sz w:val="32"/>
          <w:szCs w:val="32"/>
        </w:rPr>
        <w:t xml:space="preserve">  意识形态工作是党的一项极端重要的工作，意识形态工作关乎旗帜、关乎道路、关乎国家政治安全、关乎学校办学方向，必须明确认识到意识形态的自觉是政治坚定的前提。全校各级党组织应当从全局和战略高度出发，进一步增强意识形态工作的自觉性和主动性，切实肩负起抓意识形态工作的重大政治责任和领导责任。进一步加强和改进意识形态工作，牢牢掌握意识形态工作领导权主动权，巩固马克思主义在学校意识形态领域的指导地位，巩固广大师生员工团结奋斗的共同思想基础，努力培养中国特色社会主义合格建设者和可靠接班人。</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第三条</w:t>
      </w:r>
      <w:r>
        <w:rPr>
          <w:rFonts w:hint="eastAsia" w:ascii="仿宋" w:hAnsi="仿宋" w:eastAsia="仿宋" w:cs="仿宋"/>
          <w:color w:val="000000"/>
          <w:kern w:val="0"/>
          <w:sz w:val="32"/>
          <w:szCs w:val="32"/>
        </w:rPr>
        <w:t xml:space="preserve">  按照分级负责、谁主管谁负责的原则，各级领导班子对本部门、二级学院（部）意识形态工作负主体责任，一级抓一级、层层抓落实。</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第四条</w:t>
      </w:r>
      <w:r>
        <w:rPr>
          <w:rFonts w:hint="eastAsia" w:ascii="仿宋" w:hAnsi="仿宋" w:eastAsia="仿宋" w:cs="仿宋"/>
          <w:color w:val="000000"/>
          <w:kern w:val="0"/>
          <w:sz w:val="32"/>
          <w:szCs w:val="32"/>
        </w:rPr>
        <w:t xml:space="preserve">  建立和完善意识形态工作统筹协调机制，成立由校党委书记、校长任组长，其他校领导任副组长，各职能部门、二级学院（部）负责人为成员的意识形态工作领导小组，领导小组办公室设在党委宣传部。切实形成党委统一领导、党政齐抓共管、宣传部组织协调、有关部门分工负责的工作格局。</w:t>
      </w:r>
    </w:p>
    <w:p>
      <w:pPr>
        <w:pageBreakBefore w:val="0"/>
        <w:widowControl/>
        <w:shd w:val="clear" w:color="auto" w:fill="FFFFFF"/>
        <w:kinsoku/>
        <w:wordWrap/>
        <w:overflowPunct/>
        <w:topLinePunct w:val="0"/>
        <w:autoSpaceDE/>
        <w:autoSpaceDN/>
        <w:bidi w:val="0"/>
        <w:spacing w:line="315" w:lineRule="atLeast"/>
        <w:ind w:firstLine="480"/>
        <w:jc w:val="left"/>
        <w:outlineLvl w:val="9"/>
        <w:rPr>
          <w:rFonts w:hint="eastAsia" w:ascii="仿宋" w:hAnsi="仿宋" w:eastAsia="仿宋" w:cs="仿宋"/>
          <w:color w:val="000000"/>
          <w:kern w:val="0"/>
          <w:sz w:val="32"/>
          <w:szCs w:val="32"/>
        </w:rPr>
      </w:pP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第二章  主要责任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第五条 </w:t>
      </w:r>
      <w:r>
        <w:rPr>
          <w:rFonts w:hint="eastAsia" w:ascii="仿宋" w:hAnsi="仿宋" w:eastAsia="仿宋" w:cs="仿宋"/>
          <w:color w:val="000000"/>
          <w:kern w:val="0"/>
          <w:sz w:val="32"/>
          <w:szCs w:val="32"/>
        </w:rPr>
        <w:t xml:space="preserve"> 校党委承担的意识形态工作主要责任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学校党委领导班子对学校意识形态工作负主体责任。党委书记是第一责任人。按照“党政同责”原则，校长对本校意识形态工作负重要责任。党委书记和校长都要旗帜鲜明地站在意识形态工作第一线，带头抓意识形态工作，带头管阵地把导向强队伍，带头批评错误观点和错误倾向，重要工作亲自部署、重要问题亲自过问、重大事件亲自处置，做到守土有责、守土负责、守土尽责。要根据工作需要主持党委会议专题研究意识形态工作，加强对本校党员尤其是党员领导干部意识形态工作的教育培训，增强责任意识，提高政治鉴别力。</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（二）校党委分管领导是意识形态工作直接责任人，积极协助党委书记、校长抓好意识形态领域统筹协调指导工作。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（三）党委领导班子成员根据工作分工，按照“一岗双责”要求，抓好分管部门、业务领域和联系院（部）的意识形态工作，对职责范围内的意识形态工作和思想政治工作负主要领导责任。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第六条</w:t>
      </w:r>
      <w:r>
        <w:rPr>
          <w:rFonts w:hint="eastAsia" w:ascii="仿宋" w:hAnsi="仿宋" w:eastAsia="仿宋" w:cs="仿宋"/>
          <w:color w:val="000000"/>
          <w:kern w:val="0"/>
          <w:sz w:val="32"/>
          <w:szCs w:val="32"/>
        </w:rPr>
        <w:t xml:space="preserve">  职能部门承担的意识形态工作主要责任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党委宣传部是校党委主管意识形态工作的职能部门，对意识形态工作负有指导、组织、协调、督查和抓好落实的职责。在统筹意识形态工作、统筹推进培养和践行社会主义核心价值观，统筹校园文化建设、统筹新闻宣传舆论引导、统筹网络文化建设和管理、统筹教师思想政治工作等方面负有牵头抓总的职责任务。</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委宣传部要牢牢把握宣传思想工作的政治方向和舆论导向，弘扬主旋律，传播正能量，努力使领导干部成为宣传思想工作的有力组织者，教师成为社会主义核心价值观的自觉传播者，大学生成为中国特色社会主义的坚定信仰者。</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加强对网络、校报、广播、电视台、宣传栏等宣传阵地的建设和管理，进一步完善制度和工作运行机制。</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认真落实“一会一报”制度，严格审批哲学社会科学类报告会、研讨会、讲座、论坛，定期对校内出版物进行审查，切实做到可管可控。</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对学校主网页的新闻发布、网络媒体及对内、对外宣传的采访报道的内容负具体审查责任，严格把好稿件审核关，明确稿件终审人员的岗位责任。加大网络舆情监控系统的投入，切实维护我校网络意识形态安全。</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党委组织部（党委统战部、人事处）要把意识形态工作纳入干部年度考核中，纳入党总支书记（副书记）抓基层党建工作的考核内容，并将意识形态工作作为领导班子和领导干部考察考核的主要方面，作为干部评价使用和奖惩的主要依据；把意识形态工作作为党员领导干部教育培训的重要内容，提高政治素养和抓意识形态工作的能力。</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党委统战部要从严管理,进一步加强对各民主党派和无党派、宗教信仰人士的政治引导，做好他们的思想政治工作，突出对党外知识分子的政治引领和政治吸纳，引导他们与党同心同德、同向同行。</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人事处要严把教师聘用考核政治关，把政治标准作为教师聘用、考核的基本标准；完善人才引进、进修、访学人员管理办法；同时将思想政治考核纳入教职员工的年度考核、职称晋升考核中。</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党委学生工作部要加强学生思想政治工作，防范和抵御境外敌对势力对学生思想的渗透。加强学生党团建设，充分发挥学生党团干部的自主管理和桥梁纽带作用；持续推进大学生思想政治教育，全面提升大学生思政工作的针对性和实效性；加强以辅导员、专业班主任为主要力量，学生党员为骨干力量的网络思政工作团队建设，形成全校全覆盖无死角的思政网络格局；做好学生自主管理的指导工作，确保自主管理的正确方向。</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教务与实训管理处要强化课堂教学的政治纪律，健全课堂教学管理体系；严格执行教师教学考核、教材使用、教学过程督导制度；建立健全校领导和教学管理人员听课制度；加大对课堂教学的价值导向评估把关力度，确保课堂教学正确的政治导向；坚持学术研究无禁区、课堂讲授有纪律，对在课堂教学中诽谤党的领导、抹黑社会主义、违反宪法的言论要依法依规作出相应的处理；同时把好教材的选购关。</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五）教职工发展中心要加强对教师培训的管理，利用岗前培训，宣讲意识形态工作相关规定，提高新入职教职工政治水平；扎实推进师德建设，制定出台师德建设长效机制的相关实施办法，严格执行教师在岗聘任、职称评审、评奖评优中师德师风“一票否决制”。</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（六）科技开发处要严格审批教师申请境外资金资助等项目；制定学术安全教育培训制度，负责哲学社会科学类横向课题的备案检查。</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七）校团委要加强对学生会、学生社团等阵地的管理，制定大学生社团成立和年度检查制度；对学生的文艺演出活动、学生会及学生社团活动，尤其是思想文化类学生社团活动的具体内容和形式负责审查和把关；深入实施“青年马克思主义者培育工程”，在学生中培育一大批政治骨干，发挥好他们的示范带动作用。</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（八）国际交流处要加强交流生管理，严把外籍教师的聘用关。制定中外合作办学、对外文化交流、学术交流合作管理规定，加强境外非政府组织在学校活动的管理。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（九）党委武装部负责全校安全稳定工作的综合协调和督察督办，配合做好校园安全预防、突发事件处置等工作。</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（十）思政部要强化思想政治理论课建设，定期研究解决存在的问题，推动中国特色社会主义理论体系进教材、进课堂、进学生头脑，不断提高思政课的教学质量。</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（十一）职业教育研究所（学报编辑部）要严格审查社科类学术论文的内容，决不允许论文中有诽谤党的领导、攻击社会主义制度、违反宪法的言论观点。</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（十二）纪检监察部门要把落实中央、上级党委和学校党委关于意识形态工作决策部署情况，纳入执行党的纪律尤其是政治纪律和政治规矩的监督检查范围。</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三）信息技术服务中心要加大依法管网治网力度，不断提升互联网建设、运用、管理水平。做好网络的技术保障和技术支持，全力做好占网、用网工作。加大对校园网防火墙等核心安全设备，维护网络意识形态的安全。</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（十四）图书馆对订购境外书籍报刊和学术文献数据库、接受捐赠出版物，要严格审查。</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十五）各部门、二级学院（部）在校内举行报告会、研讨会、讲座、论坛，要按照《柳州职业技术学院宣传思想阵地管理办法（试行）》（柳职院党字〔2016〕31号）文件规定，严格按照“谁主办、谁负责”的原则，切实落实一会一报制,履行审批手续。</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第七条</w:t>
      </w:r>
      <w:r>
        <w:rPr>
          <w:rFonts w:hint="eastAsia" w:ascii="仿宋" w:hAnsi="仿宋" w:eastAsia="仿宋" w:cs="仿宋"/>
          <w:color w:val="000000"/>
          <w:kern w:val="0"/>
          <w:sz w:val="32"/>
          <w:szCs w:val="32"/>
        </w:rPr>
        <w:t xml:space="preserve">  各职能部门在履行部门职责的同时，部门主要领导对本部门意识形态工作负主体责任，同时要跟学校党委签订落实意识形态工作主体责任的责任书。</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第八条  </w:t>
      </w:r>
      <w:r>
        <w:rPr>
          <w:rFonts w:hint="eastAsia" w:ascii="仿宋" w:hAnsi="仿宋" w:eastAsia="仿宋" w:cs="仿宋"/>
          <w:color w:val="000000"/>
          <w:kern w:val="0"/>
          <w:sz w:val="32"/>
          <w:szCs w:val="32"/>
        </w:rPr>
        <w:t>各二级学院（部）承担的意识形态工作主要责任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在校党委的统一领导下，做好本学院（部）意识形态领域方面的工作。各二级学院（部）领导班子对本学院（部）意识形态工作负主体责任；各二级学院（部）党总支书记为第一责任人，重要工作亲自部署、重要问题亲自过问、重大问题亲自处理。班子其他成员根据工作分工，按照“一岗双责”要求，对职责范围内的意识形态工作负领导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认真贯彻落实学校党委关于意识形态工作的决策部署和指示精神。牢牢把握正确的政治方向，严守政治纪律和政治规矩，严守组织纪律和宣传纪律，坚决维护党中央权威，在思想上、政治上、行动上与党中央保持高度一致。</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建立健全本学院（部）相应的工作机制，统筹协调、指导、监督本学院（部）在教学、科研、管理和服务中关于意识形态工作的要求；指导、检查、督查本学院（部）意识形态工作，加强对本学院（部）党员领导干部、师生员工意识形态教育培训，增强责任意识，提高政治鉴别力。</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四）每年至少安排两次有关意识形态安全的专题学习，定期分析研判本学院（部）意识形态领域情况。对本学院（部）发生的重大事件、重要情况、师生员工中重要的倾向性苗头性问题，有针对性地进行引导，并将处置过程和相关记录留存；及时向学校党委报告本学院（部）意识形态领域的重大情况并提出建设性意见，并在本学院（部）合适范围内及时通报，统一思想认识，明确工作方向，维护意识形态安全。</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五）加强对本学院（部）意识形态阵地的管理，包括：课堂、学院（部）网站、出版物、报告会、研讨会、讲座、论坛、演艺、展览活动等。按照“谁主办谁负责”和属地管理的原则，确保各类意识形态阵地可管可控。对主办的报告会、讲座、论坛等，要认真核查报告人的背景，全面了解其思想倾向和报告的主要内容，并报校党委宣传部审批；加强对宗教和对外文化交流活动、学术交流合作的管理，坚决封堵境外政治性有害出版物向校内渗透。</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六）建设、维护、管理好本学院（部）的网络，高度关注网上舆情。各二级学院（部）党总支书记要加强对本学院（部）的互联网管理，确保责任到人；要按照职责分工，监管好本学院（部）的主页，做大做强网上正面思想舆论，提高舆论引导水平；规范网上信息传播秩序，严密防范网上意识形态渗透，旗帜鲜明的开展网上舆论斗争。</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七）领导、组织对本学院（部）意识形态领域重大问题的处置。对否定中国共产党的领导、攻击中国特色社会主义制度的错误思潮和言论，敢抓敢管；对在各类媒体、出版物及论坛等公开场合发表同中央精神相违背的言论，散步传播政治谣言的教职工，应当旗帜鲜明地表明立场、亮明态度、坚持原则，依法依规做出处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八）加强师德师风建设和大学生思想政治工作，积极引导师生践行社会主义核心价值观。加强教师队伍管理，加强教师聘用、考核评审中的政治立场考察，将思想政治表现和课堂教学要求与职称评定、评优奖励等挂钩，严把政治关口。加强知识分子工作，注重从优秀青年教师、海外引进教师和专业骨干中发展党员，完善领导干部联系知识分子制度，加强与党外人士的联系和交流，领导班子成员要带头深入师生、联系师生，做好专业带头人及领军人物中代表人士的工作。</w:t>
      </w:r>
    </w:p>
    <w:p>
      <w:pPr>
        <w:pageBreakBefore w:val="0"/>
        <w:widowControl/>
        <w:shd w:val="clear" w:color="auto" w:fill="FFFFFF"/>
        <w:kinsoku/>
        <w:wordWrap/>
        <w:overflowPunct/>
        <w:topLinePunct w:val="0"/>
        <w:autoSpaceDE/>
        <w:autoSpaceDN/>
        <w:bidi w:val="0"/>
        <w:spacing w:line="315" w:lineRule="atLeast"/>
        <w:ind w:firstLine="480"/>
        <w:jc w:val="left"/>
        <w:outlineLvl w:val="9"/>
        <w:rPr>
          <w:rFonts w:hint="eastAsia" w:ascii="仿宋" w:hAnsi="仿宋" w:eastAsia="仿宋" w:cs="仿宋"/>
          <w:b/>
          <w:bCs/>
          <w:color w:val="000000"/>
          <w:kern w:val="0"/>
          <w:sz w:val="32"/>
          <w:szCs w:val="32"/>
        </w:rPr>
      </w:pP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第三章  考核与监督</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第九条</w:t>
      </w:r>
      <w:r>
        <w:rPr>
          <w:rFonts w:hint="eastAsia" w:ascii="仿宋" w:hAnsi="仿宋" w:eastAsia="仿宋" w:cs="仿宋"/>
          <w:color w:val="000000"/>
          <w:kern w:val="0"/>
          <w:sz w:val="32"/>
          <w:szCs w:val="32"/>
        </w:rPr>
        <w:t xml:space="preserve">  学校各部门、二级学院（部）要建立意识形态责任制体系和制度机制，确保意识形态工作落到实处。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第十条</w:t>
      </w:r>
      <w:r>
        <w:rPr>
          <w:rFonts w:hint="eastAsia" w:ascii="仿宋" w:hAnsi="仿宋" w:eastAsia="仿宋" w:cs="仿宋"/>
          <w:color w:val="000000"/>
          <w:kern w:val="0"/>
          <w:sz w:val="32"/>
          <w:szCs w:val="32"/>
        </w:rPr>
        <w:t xml:space="preserve">  建立健全意识形态工作责任制的检查考核机制，明确检查考核的内容、方法、程序，按照“一岗双责、党政同责”的要求，层层落实意识形态工作责任。由党委办公室牵头，会同党委组织部、党委宣传部、纪委组织实施，每年安排一次，与领导干部的年度考核结合进行。重点检查考核各级党组织履行意识形态工作主体责任情况；完成年度意识形态工作任务情况；领导班子和领导干部履行意识形态工作职责的情况；意识形态工作相关体制机制的建设和遵守情况；意识形态工作在各项工作中的落实情况等。检查考核情况在适当范围内通报，对检查考核中发现的问题，要及时研究解决，并督促整改落实。</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第十一条 </w:t>
      </w:r>
      <w:r>
        <w:rPr>
          <w:rFonts w:hint="eastAsia" w:ascii="仿宋" w:hAnsi="仿宋" w:eastAsia="仿宋" w:cs="仿宋"/>
          <w:color w:val="000000"/>
          <w:kern w:val="0"/>
          <w:sz w:val="32"/>
          <w:szCs w:val="32"/>
        </w:rPr>
        <w:t xml:space="preserve"> 校党委意识形态工作接受上级党委检查考核与监督，各部门、二级学院（部）意识形态工作接受校党委检查考核与监督，同时都接受全校党员的民主监督。</w:t>
      </w:r>
    </w:p>
    <w:p>
      <w:pPr>
        <w:pageBreakBefore w:val="0"/>
        <w:widowControl/>
        <w:shd w:val="clear" w:color="auto" w:fill="FFFFFF"/>
        <w:kinsoku/>
        <w:wordWrap/>
        <w:overflowPunct/>
        <w:topLinePunct w:val="0"/>
        <w:autoSpaceDE/>
        <w:autoSpaceDN/>
        <w:bidi w:val="0"/>
        <w:spacing w:line="315" w:lineRule="atLeast"/>
        <w:ind w:firstLine="480"/>
        <w:jc w:val="left"/>
        <w:outlineLvl w:val="9"/>
        <w:rPr>
          <w:rFonts w:hint="eastAsia" w:ascii="仿宋" w:hAnsi="仿宋" w:eastAsia="仿宋" w:cs="仿宋"/>
          <w:color w:val="000000"/>
          <w:kern w:val="0"/>
          <w:sz w:val="32"/>
          <w:szCs w:val="32"/>
        </w:rPr>
      </w:pP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第四章  责任追究</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第十二条</w:t>
      </w:r>
      <w:r>
        <w:rPr>
          <w:rFonts w:hint="eastAsia" w:ascii="仿宋" w:hAnsi="仿宋" w:eastAsia="仿宋" w:cs="仿宋"/>
          <w:color w:val="000000"/>
          <w:kern w:val="0"/>
          <w:sz w:val="32"/>
          <w:szCs w:val="32"/>
        </w:rPr>
        <w:t xml:space="preserve">  追责范围。各部门、二级学院（部）领导班子、领导干部有下列情形之一的，应当追究责任，视情节轻重，给予批评教育、诫勉谈话，责令作出书面检查、进行通报批评，给予组织处理或纪律处分。</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1.对党中央或者上级党组织安排部署的重大宣传教育任务、重大思想舆论斗争组织开展不力的；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2.在处置意识形态领域重大问题上，党政一把手没有站在第一线、没有带头与错误观点和错误倾向作斗争的；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3.职责范围内发生由意识形态领域问题引发群体性事件，应对不力、处置不当的；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4.对本部门、二级学院（部）发现的意识形态领域问题隐瞒不报、不予重视、不予处置的；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5.对所管理的党员干部和师生公开发表违背党章、党的决定决议和政策的言论放任不管、处置不力，造成严重影响的；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6.职责范围内的课堂教学、报告会、研讨会、讲座、论坛等有发表否定党的领导、攻击中国特色社会主义制度言论，造成严重影响的；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7.职责范围内编写的教材、公开发表的课题研究成果和公开发行的出版物、文艺作品等在意识形态方面有严重错误导向的；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8.本部门、二级学院（部）网页出现严重错误导向的；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9.对本部门、二级学院（部）外籍教师和海外引进人才考察审核不严、管理不到位，出现严重意识形态问题，造成恶劣影响的；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10.职责范围内出现境外非政府组织、宗教组织和各种基金会等进行政治渗透活动，造成恶劣影响的；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11.其他未能切实履行工作职责，造成严重后果的。</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第十三条 </w:t>
      </w:r>
      <w:r>
        <w:rPr>
          <w:rFonts w:hint="eastAsia" w:ascii="仿宋" w:hAnsi="仿宋" w:eastAsia="仿宋" w:cs="仿宋"/>
          <w:color w:val="000000"/>
          <w:kern w:val="0"/>
          <w:sz w:val="32"/>
          <w:szCs w:val="32"/>
        </w:rPr>
        <w:t xml:space="preserve"> 追责类型。实施责任追究应当实事求是，分清集体责任和个人责任，主要领导责任和重要领导责任。追究集体责任时，领导班子主要负责同志和直接分管的领导班子成员承担主要领导责任，参与决策的班子其他成员承担重要领导责任。对错误决策提出明确反对意见而没有采纳的，不承担领导责任。错误决策由领导干部个人决定或者批准的，追究该领导干部个人的责任。</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第十四条</w:t>
      </w:r>
      <w:r>
        <w:rPr>
          <w:rFonts w:hint="eastAsia" w:ascii="仿宋" w:hAnsi="仿宋" w:eastAsia="仿宋" w:cs="仿宋"/>
          <w:color w:val="000000"/>
          <w:kern w:val="0"/>
          <w:sz w:val="32"/>
          <w:szCs w:val="32"/>
        </w:rPr>
        <w:t xml:space="preserve">  问责权限。对校内各部门、二级学院（部）领导班子、领导干部进行问责，由学校党委依据有关规定实施。党委宣传部可向学校党委、纪委提出问责建议，由校党委、纪委研究并作出问责决定。对各部门、二级学院（部）领导班子、领导干部问责情况，由党委组织部备案。</w:t>
      </w:r>
    </w:p>
    <w:p>
      <w:pPr>
        <w:pageBreakBefore w:val="0"/>
        <w:widowControl/>
        <w:shd w:val="clear" w:color="auto" w:fill="FFFFFF"/>
        <w:kinsoku/>
        <w:wordWrap/>
        <w:overflowPunct/>
        <w:topLinePunct w:val="0"/>
        <w:autoSpaceDE/>
        <w:autoSpaceDN/>
        <w:bidi w:val="0"/>
        <w:spacing w:line="315" w:lineRule="atLeast"/>
        <w:ind w:firstLine="480"/>
        <w:jc w:val="left"/>
        <w:outlineLvl w:val="9"/>
        <w:rPr>
          <w:rFonts w:hint="eastAsia" w:ascii="仿宋" w:hAnsi="仿宋" w:eastAsia="仿宋" w:cs="仿宋"/>
          <w:color w:val="000000"/>
          <w:kern w:val="0"/>
          <w:sz w:val="32"/>
          <w:szCs w:val="32"/>
        </w:rPr>
      </w:pPr>
    </w:p>
    <w:p>
      <w:pPr>
        <w:pageBreakBefore w:val="0"/>
        <w:widowControl/>
        <w:shd w:val="clear" w:color="auto" w:fill="FFFFFF"/>
        <w:kinsoku/>
        <w:wordWrap/>
        <w:overflowPunct/>
        <w:topLinePunct w:val="0"/>
        <w:autoSpaceDE/>
        <w:autoSpaceDN/>
        <w:bidi w:val="0"/>
        <w:spacing w:line="315" w:lineRule="atLeas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第五章  附  则</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第十五条 </w:t>
      </w:r>
      <w:r>
        <w:rPr>
          <w:rFonts w:hint="eastAsia" w:ascii="仿宋" w:hAnsi="仿宋" w:eastAsia="仿宋" w:cs="仿宋"/>
          <w:color w:val="000000"/>
          <w:kern w:val="0"/>
          <w:sz w:val="32"/>
          <w:szCs w:val="32"/>
        </w:rPr>
        <w:t xml:space="preserve"> 本细则由校党委宣传部负责解释。</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 xml:space="preserve">第十六条 </w:t>
      </w:r>
      <w:r>
        <w:rPr>
          <w:rFonts w:hint="eastAsia" w:ascii="仿宋" w:hAnsi="仿宋" w:eastAsia="仿宋" w:cs="仿宋"/>
          <w:color w:val="000000"/>
          <w:kern w:val="0"/>
          <w:sz w:val="32"/>
          <w:szCs w:val="32"/>
        </w:rPr>
        <w:t xml:space="preserve"> 本细则自发文之日起施行。</w:t>
      </w:r>
    </w:p>
    <w:p>
      <w:pPr>
        <w:pageBreakBefore w:val="0"/>
        <w:kinsoku/>
        <w:wordWrap/>
        <w:overflowPunct/>
        <w:topLinePunct w:val="0"/>
        <w:autoSpaceDE/>
        <w:autoSpaceDN/>
        <w:bidi w:val="0"/>
        <w:spacing w:line="580" w:lineRule="exact"/>
        <w:ind w:firstLine="640" w:firstLineChars="200"/>
        <w:jc w:val="left"/>
        <w:outlineLvl w:val="9"/>
        <w:rPr>
          <w:rFonts w:hint="eastAsia" w:ascii="仿宋" w:hAnsi="仿宋" w:eastAsia="仿宋" w:cs="仿宋"/>
          <w:color w:val="000000"/>
          <w:kern w:val="0"/>
          <w:sz w:val="32"/>
          <w:szCs w:val="32"/>
        </w:rPr>
      </w:pP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68" w:name="_Toc25008"/>
      <w:bookmarkStart w:id="69" w:name="_Toc27033"/>
      <w:bookmarkStart w:id="70" w:name="_Toc4875"/>
      <w:bookmarkStart w:id="71" w:name="_Toc12593"/>
      <w:r>
        <w:rPr>
          <w:rFonts w:hint="eastAsia" w:ascii="黑体" w:hAnsi="黑体" w:eastAsia="黑体" w:cs="黑体"/>
          <w:color w:val="000000"/>
          <w:kern w:val="2"/>
          <w:sz w:val="36"/>
          <w:szCs w:val="36"/>
        </w:rPr>
        <w:t>柳州职业技术学院“双带头人”</w:t>
      </w:r>
      <w:bookmarkStart w:id="72" w:name="_Toc11343"/>
      <w:r>
        <w:rPr>
          <w:rFonts w:hint="eastAsia" w:ascii="黑体" w:hAnsi="黑体" w:eastAsia="黑体" w:cs="黑体"/>
          <w:color w:val="000000"/>
          <w:kern w:val="2"/>
          <w:sz w:val="36"/>
          <w:szCs w:val="36"/>
        </w:rPr>
        <w:t>教师党支部书记管理办法（试行）</w:t>
      </w:r>
      <w:bookmarkEnd w:id="68"/>
      <w:bookmarkEnd w:id="69"/>
      <w:bookmarkEnd w:id="70"/>
      <w:bookmarkEnd w:id="71"/>
      <w:bookmarkEnd w:id="72"/>
    </w:p>
    <w:p>
      <w:pPr>
        <w:pageBreakBefore w:val="0"/>
        <w:kinsoku/>
        <w:wordWrap/>
        <w:overflowPunct/>
        <w:topLinePunct w:val="0"/>
        <w:autoSpaceDE/>
        <w:autoSpaceDN/>
        <w:bidi w:val="0"/>
        <w:spacing w:line="590" w:lineRule="exact"/>
        <w:jc w:val="center"/>
        <w:outlineLvl w:val="9"/>
        <w:rPr>
          <w:rFonts w:hint="eastAsia" w:ascii="仿宋" w:hAnsi="仿宋" w:eastAsia="仿宋" w:cs="仿宋"/>
          <w:bCs/>
          <w:sz w:val="32"/>
          <w:szCs w:val="32"/>
        </w:rPr>
      </w:pPr>
      <w:bookmarkStart w:id="73" w:name="_Toc16729"/>
      <w:bookmarkStart w:id="74" w:name="_Toc31769"/>
      <w:bookmarkStart w:id="75" w:name="_Toc28989"/>
      <w:r>
        <w:rPr>
          <w:rFonts w:hint="eastAsia" w:ascii="仿宋" w:hAnsi="仿宋" w:eastAsia="仿宋" w:cs="仿宋"/>
          <w:bCs/>
          <w:sz w:val="32"/>
          <w:szCs w:val="32"/>
        </w:rPr>
        <w:t>（柳职院党字〔2021〕6 号）</w:t>
      </w:r>
      <w:bookmarkEnd w:id="73"/>
      <w:bookmarkEnd w:id="74"/>
      <w:bookmarkEnd w:id="75"/>
    </w:p>
    <w:p>
      <w:pPr>
        <w:pageBreakBefore w:val="0"/>
        <w:kinsoku/>
        <w:wordWrap/>
        <w:overflowPunct/>
        <w:topLinePunct w:val="0"/>
        <w:autoSpaceDE/>
        <w:autoSpaceDN/>
        <w:bidi w:val="0"/>
        <w:spacing w:line="590" w:lineRule="exact"/>
        <w:jc w:val="center"/>
        <w:outlineLvl w:val="9"/>
        <w:rPr>
          <w:rFonts w:hint="eastAsia" w:ascii="仿宋" w:hAnsi="仿宋" w:eastAsia="仿宋" w:cs="仿宋"/>
          <w:bCs/>
          <w:sz w:val="32"/>
          <w:szCs w:val="32"/>
        </w:rPr>
      </w:pP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 xml:space="preserve">根据自治区党委教育工委《关于印发&lt;广西高校教师党支部“双带头人”培育工程实施方案&gt;的通知》精神，为持续做好我校教师党支部书记“双带头人”培育、选拔和管理工作，加强学校教师党支部建设，促进学校人才培养和各项事业发展，特制订本办法。 </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全面贯彻落实党的十九大、十九届二中、三中、四中、五中全会精神，按照新时代党的建设总要求，全面贯彻党的教育方针，坚持立德树人，全面落实《关于加强新形势下高校教师党支部建设的意见》，推动全面从严治党向基层党组织延伸，把我校教师党支部书记队伍建设成为学校党建和业务双融合、双促进的中坚骨干力量，把教师党支部建设成为学校人才培养和改革发展的坚强战斗堡垒。</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二、选任标准</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双带头人”教师党支部书记，应为党性强、业务精、有威信、肯奉献的教师党员；应为所在二级学院、部门、团队的骨干，教学科研能力突出，业务工作先进，原则上应具有副高级及以上职称或博士研究生学历学位，符合“双高双强”要求。</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bCs/>
          <w:sz w:val="32"/>
          <w:szCs w:val="32"/>
        </w:rPr>
        <w:t>一是政治素质高。</w:t>
      </w:r>
      <w:r>
        <w:rPr>
          <w:rFonts w:hint="eastAsia" w:ascii="仿宋" w:hAnsi="仿宋" w:eastAsia="仿宋" w:cs="仿宋"/>
          <w:sz w:val="32"/>
          <w:szCs w:val="32"/>
        </w:rPr>
        <w:t>理想信念坚定，政治意识、大局意识、核心意识、看齐意识强，积极贯彻落实党的路线方针政策和上级党组织部署要求，对错误思潮敢于旗帜鲜明进行斗争，坚持立德树人，品德修养优，师德师风好。</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bCs/>
          <w:sz w:val="32"/>
          <w:szCs w:val="32"/>
        </w:rPr>
        <w:t>二是师生威信高。</w:t>
      </w:r>
      <w:r>
        <w:rPr>
          <w:rFonts w:hint="eastAsia" w:ascii="仿宋" w:hAnsi="仿宋" w:eastAsia="仿宋" w:cs="仿宋"/>
          <w:sz w:val="32"/>
          <w:szCs w:val="32"/>
        </w:rPr>
        <w:t>团结带领师生做好人才培养、科研和社会服务工作，服务意识强，乐于奉献，得到师生普遍信任。</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bCs/>
          <w:sz w:val="32"/>
          <w:szCs w:val="32"/>
        </w:rPr>
        <w:t>三是党务工作能力强。</w:t>
      </w:r>
      <w:r>
        <w:rPr>
          <w:rFonts w:hint="eastAsia" w:ascii="仿宋" w:hAnsi="仿宋" w:eastAsia="仿宋" w:cs="仿宋"/>
          <w:sz w:val="32"/>
          <w:szCs w:val="32"/>
        </w:rPr>
        <w:t>熟悉党建工作业务，有较强的组织协调能力，善于凝聚和发动群众。</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bCs/>
          <w:sz w:val="32"/>
          <w:szCs w:val="32"/>
        </w:rPr>
        <w:t>四是教学科研能力强。</w:t>
      </w:r>
      <w:r>
        <w:rPr>
          <w:rFonts w:hint="eastAsia" w:ascii="仿宋" w:hAnsi="仿宋" w:eastAsia="仿宋" w:cs="仿宋"/>
          <w:sz w:val="32"/>
          <w:szCs w:val="32"/>
        </w:rPr>
        <w:t>在教育教学、学术研究、实际应用等方面业务能力较为突出，能够团结带领师生完成好人才培养、教学科研、社会服务等各项工作。</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三、选任方式</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双带头人”教师党支部书记的选拔任用，严格遵循党章党规有关规定和程序，在学校党委的领导下，由二级学院党总支部和直属党支部负责实施，支部委员会或党员大会选举产生。也可采取公推直选、上级选派等方式产生拟任人选，按组织程序任用。对新成立的党支部以及暂时没有符合“双带头人”条件的教师党支部，书记人选可以由上一级党组织从相关专业范围内选派。</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四、主要职责任务</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sz w:val="32"/>
          <w:szCs w:val="32"/>
        </w:rPr>
        <w:t>（一）抓好党建主责主业。</w:t>
      </w:r>
      <w:r>
        <w:rPr>
          <w:rFonts w:hint="eastAsia" w:ascii="仿宋" w:hAnsi="仿宋" w:eastAsia="仿宋" w:cs="仿宋"/>
          <w:sz w:val="32"/>
          <w:szCs w:val="32"/>
        </w:rPr>
        <w:t xml:space="preserve">认真宣传执行党的路线方针政策和上级党组织的决议，严格执行“三会一课”、组织生活会、主题党日、民主评议党员等制度，做好在高层次人才、优秀青年教师中发展党员工作，做好党员组织关系管理、党费收缴、党员激励关爱帮扶和党纪处分、组织处置等基础性工作，加强调查研究，探索解决党支部建设重点难点问题。 </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sz w:val="32"/>
          <w:szCs w:val="32"/>
        </w:rPr>
        <w:t>（二）强化支部政治功能。</w:t>
      </w:r>
      <w:r>
        <w:rPr>
          <w:rFonts w:hint="eastAsia" w:ascii="仿宋" w:hAnsi="仿宋" w:eastAsia="仿宋" w:cs="仿宋"/>
          <w:sz w:val="32"/>
          <w:szCs w:val="32"/>
        </w:rPr>
        <w:t xml:space="preserve">紧扣习近平新时代中国特色社会主义思想入脑入心这个重点，推动“不忘初心、牢记使命”主题教育常态化制度化，积极探索、总结凝练加强支部政治建设、开展支部政治生活、组织教师政治学习、发挥政治把关作用等方面的经验举措，引领带动基层党组织全面进步、全面过硬。 </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sz w:val="32"/>
          <w:szCs w:val="32"/>
        </w:rPr>
        <w:t>（三）提升思想政治工作质量。</w:t>
      </w:r>
      <w:r>
        <w:rPr>
          <w:rFonts w:hint="eastAsia" w:ascii="仿宋" w:hAnsi="仿宋" w:eastAsia="仿宋" w:cs="仿宋"/>
          <w:sz w:val="32"/>
          <w:szCs w:val="32"/>
        </w:rPr>
        <w:t xml:space="preserve">发挥“双带头人”的独特优势，增强思想政治工作亲和力和针对性，按照“四有好老师（有理想信念、有道德情操、有扎实学识、有仁爱之心）”“四个引路人（学生锤炼品格的引路人、学生学习知识的引路人、学生创新思维的引路人、学生奉献祖国的引路人）”“四个相统一（教书和育人相统一、言传和身教相统一、潜心问道和关注社会相统一、学术自由和学术规范相统一）”的要求，着力做好教师思想政治工作和新时代知识分子工作，使学校教师成为先进思想文化的传播者、党执政的坚定支持者、学生健康成长的指导者。 </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sz w:val="32"/>
          <w:szCs w:val="32"/>
        </w:rPr>
        <w:t>（四）促进事业发展。</w:t>
      </w:r>
      <w:r>
        <w:rPr>
          <w:rFonts w:hint="eastAsia" w:ascii="仿宋" w:hAnsi="仿宋" w:eastAsia="仿宋" w:cs="仿宋"/>
          <w:sz w:val="32"/>
          <w:szCs w:val="32"/>
        </w:rPr>
        <w:t xml:space="preserve">把党的建设作为落实立德树人根本任务、建设高水平人才培养体系的重要牵引，推动党建工作与教学科研工作相互结合、有机融入，及时把政治素质好的骨干教师培养发展为党员，把专业基础好的党员教师培养发展为教学科研骨干，做好组织师生、宣传师生、凝聚师生、服务师生工作，把党组织的领导力和组织力转化为推进中心工作的强大动力，实现基层党建工作与教学科研工作双促进、双提高。 </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b/>
          <w:sz w:val="32"/>
          <w:szCs w:val="32"/>
        </w:rPr>
        <w:t>（五）抓好支部班子建设。</w:t>
      </w:r>
      <w:r>
        <w:rPr>
          <w:rFonts w:hint="eastAsia" w:ascii="仿宋" w:hAnsi="仿宋" w:eastAsia="仿宋" w:cs="仿宋"/>
          <w:sz w:val="32"/>
          <w:szCs w:val="32"/>
        </w:rPr>
        <w:t>着力健全和配强支部班子，完善“双带头人”教师党支部书记后备人才长效培养机制，注重配备熟悉和热爱党务工作的青年党员、学术骨干担任支部副书记或委员。强化班子政治、业务学习，加强教育引导、搭建锻炼平台、拓宽发展空间。支部书记以身作则当好“领头雁”，指导支委提升履职尽责能力，增强班子凝聚力，提升支部战斗力。</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五、工作考核</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建立工作目标责任制，“双带头人”教师党支部书记要根据学校党委、二级学院党总支部工作要求，结合工作实际，在征求党员群众意见的基础上，制订任期和年度工作目标和计划，报上一级党组织审核。加强考核考评，每年通过民主评议对其履职情况进行考核，建立完善“双带头人”教师党支部书记任期履职情况档案。对作风不实、履职不到位、党员群众有反映的，及时批评教育，督促整改；对岗位目标任务完成情况差、党员群众反映强烈等不称职的，按有关规定及时予以调整。</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对“双带头人”教师党支部书记的考核，每年进行一次，由学校党委组织部和二级学院党总支部共同组织实施。在“双带头人”教师党支部书记向支部全体党员述职的基础上，由支部全体党员综合评议，党总支部审核后报学校党委组织部审核，确定考核等次。考核等次分为“好”“较好”“一般”“差”四个等次。考核指标体系见附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b/>
          <w:sz w:val="32"/>
          <w:szCs w:val="32"/>
        </w:rPr>
      </w:pPr>
      <w:r>
        <w:rPr>
          <w:rFonts w:hint="eastAsia" w:ascii="仿宋" w:hAnsi="仿宋" w:eastAsia="仿宋" w:cs="仿宋"/>
          <w:b/>
          <w:sz w:val="32"/>
          <w:szCs w:val="32"/>
        </w:rPr>
        <w:t>六、工作保障</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学校党委把“双带头人”教师党支部书记培育、选拔和管理工作纳入党建工作责任体系，担负主体责任，二级学院党组织担负直接责任，二级学院党组织书记为第一责任人，有关工作纳入二级学院党建工作、思想政治教育工作考核，作为二级学院党组织书记抓党建工作年度述职评议考核的重要内容。学校各级党组织要为“双带头人”教师党支部书记提供工作条件和待遇保障。</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1.根据工作需要，“双带头人”教师党支部书记应列席二级学院党组织班子会议和党政联席会，参与重要事项讨论决策。二级学院教师的考核评价、职务晋升、岗位聘任、职称评聘、人才推荐等，应听取其意见。</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2.学校各级党组织要为“双带头人”教师党支部书记提供党务培训和专业培训的平台和机会，保证每年参加集中学习培训时间在56学时以上。</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3.将党建工作纳入学校整体工作计算工作量，“双带头人”教师党支部书记享受一定的党务工作量（补贴）。</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4.将担任“双带头人”教师党支部书记工作经历作为选拔任用干部的重要条件，作为专业技术职务（职称）评定的重要参考。</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5.学校各级党组织应为“双带头人”教师党支部书记提供必要的人力、物力、场地，支持开展党支部日常工作和理论研究、实践探索。</w:t>
      </w: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p>
    <w:p>
      <w:pPr>
        <w:pStyle w:val="19"/>
        <w:pageBreakBefore w:val="0"/>
        <w:kinsoku/>
        <w:wordWrap/>
        <w:overflowPunct/>
        <w:topLinePunct w:val="0"/>
        <w:autoSpaceDE/>
        <w:autoSpaceDN/>
        <w:bidi w:val="0"/>
        <w:spacing w:line="540" w:lineRule="exact"/>
        <w:ind w:firstLine="640"/>
        <w:outlineLvl w:val="9"/>
        <w:rPr>
          <w:rFonts w:hint="eastAsia" w:ascii="仿宋" w:hAnsi="仿宋" w:eastAsia="仿宋" w:cs="仿宋"/>
          <w:sz w:val="32"/>
          <w:szCs w:val="32"/>
        </w:rPr>
      </w:pPr>
      <w:r>
        <w:rPr>
          <w:rFonts w:hint="eastAsia" w:ascii="仿宋" w:hAnsi="仿宋" w:eastAsia="仿宋" w:cs="仿宋"/>
          <w:sz w:val="32"/>
          <w:szCs w:val="32"/>
        </w:rPr>
        <w:t xml:space="preserve"> 附件：“双带头人”教师党支部书记考核指标体系</w:t>
      </w:r>
    </w:p>
    <w:p>
      <w:pPr>
        <w:pageBreakBefore w:val="0"/>
        <w:kinsoku/>
        <w:wordWrap/>
        <w:overflowPunct/>
        <w:topLinePunct w:val="0"/>
        <w:autoSpaceDE/>
        <w:autoSpaceDN/>
        <w:bidi w:val="0"/>
        <w:outlineLvl w:val="9"/>
        <w:rPr>
          <w:rFonts w:hint="eastAsia" w:ascii="仿宋" w:hAnsi="仿宋" w:eastAsia="仿宋" w:cs="仿宋"/>
          <w:b/>
          <w:bCs/>
          <w:sz w:val="32"/>
          <w:szCs w:val="32"/>
        </w:rPr>
      </w:pPr>
      <w:r>
        <w:rPr>
          <w:rFonts w:hint="eastAsia" w:ascii="仿宋" w:hAnsi="仿宋" w:eastAsia="仿宋" w:cs="仿宋"/>
          <w:b/>
          <w:bCs/>
          <w:sz w:val="32"/>
          <w:szCs w:val="32"/>
        </w:rPr>
        <w:br w:type="page"/>
      </w:r>
    </w:p>
    <w:p>
      <w:pPr>
        <w:pStyle w:val="19"/>
        <w:pageBreakBefore w:val="0"/>
        <w:kinsoku/>
        <w:wordWrap/>
        <w:overflowPunct/>
        <w:topLinePunct w:val="0"/>
        <w:autoSpaceDE/>
        <w:autoSpaceDN/>
        <w:bidi w:val="0"/>
        <w:spacing w:line="540" w:lineRule="exact"/>
        <w:ind w:firstLine="0" w:firstLineChars="0"/>
        <w:jc w:val="left"/>
        <w:outlineLvl w:val="9"/>
        <w:rPr>
          <w:rFonts w:hint="eastAsia" w:ascii="仿宋" w:hAnsi="仿宋" w:eastAsia="仿宋" w:cs="仿宋"/>
          <w:b/>
          <w:bCs/>
          <w:sz w:val="32"/>
          <w:szCs w:val="32"/>
        </w:rPr>
      </w:pPr>
      <w:r>
        <w:rPr>
          <w:rFonts w:hint="eastAsia" w:ascii="仿宋" w:hAnsi="仿宋" w:eastAsia="仿宋" w:cs="仿宋"/>
          <w:b/>
          <w:bCs/>
          <w:sz w:val="32"/>
          <w:szCs w:val="32"/>
        </w:rPr>
        <w:t>附件：</w:t>
      </w:r>
    </w:p>
    <w:p>
      <w:pPr>
        <w:pageBreakBefore w:val="0"/>
        <w:widowControl/>
        <w:shd w:val="clear" w:color="auto" w:fill="FFFFFF"/>
        <w:kinsoku/>
        <w:wordWrap/>
        <w:overflowPunct/>
        <w:topLinePunct w:val="0"/>
        <w:autoSpaceDE/>
        <w:autoSpaceDN/>
        <w:bidi w:val="0"/>
        <w:spacing w:line="560" w:lineRule="exact"/>
        <w:jc w:val="center"/>
        <w:outlineLvl w:val="9"/>
        <w:rPr>
          <w:rFonts w:hint="eastAsia" w:ascii="仿宋" w:hAnsi="仿宋" w:eastAsia="仿宋" w:cs="仿宋"/>
          <w:b/>
          <w:bCs/>
          <w:spacing w:val="-6"/>
          <w:kern w:val="0"/>
          <w:sz w:val="32"/>
          <w:szCs w:val="32"/>
        </w:rPr>
      </w:pPr>
      <w:r>
        <w:rPr>
          <w:rFonts w:hint="eastAsia" w:ascii="仿宋" w:hAnsi="仿宋" w:eastAsia="仿宋" w:cs="仿宋"/>
          <w:b/>
          <w:bCs/>
          <w:spacing w:val="-6"/>
          <w:kern w:val="0"/>
          <w:sz w:val="32"/>
          <w:szCs w:val="32"/>
        </w:rPr>
        <w:t>“双带头人”教师党支部书记考核指标体系</w:t>
      </w:r>
    </w:p>
    <w:p>
      <w:pPr>
        <w:pageBreakBefore w:val="0"/>
        <w:widowControl/>
        <w:shd w:val="clear" w:color="auto" w:fill="FFFFFF"/>
        <w:kinsoku/>
        <w:wordWrap/>
        <w:overflowPunct/>
        <w:topLinePunct w:val="0"/>
        <w:autoSpaceDE/>
        <w:autoSpaceDN/>
        <w:bidi w:val="0"/>
        <w:spacing w:line="560" w:lineRule="exact"/>
        <w:jc w:val="center"/>
        <w:outlineLvl w:val="9"/>
        <w:rPr>
          <w:rFonts w:hint="eastAsia" w:ascii="仿宋" w:hAnsi="仿宋" w:eastAsia="仿宋" w:cs="仿宋"/>
          <w:b/>
          <w:bCs/>
          <w:spacing w:val="-6"/>
          <w:kern w:val="0"/>
          <w:sz w:val="32"/>
          <w:szCs w:val="32"/>
        </w:rPr>
      </w:pPr>
    </w:p>
    <w:tbl>
      <w:tblPr>
        <w:tblStyle w:val="17"/>
        <w:tblW w:w="9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560"/>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358" w:type="dxa"/>
            <w:shd w:val="clear" w:color="auto" w:fill="auto"/>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一级指标</w:t>
            </w:r>
          </w:p>
        </w:tc>
        <w:tc>
          <w:tcPr>
            <w:tcW w:w="1560" w:type="dxa"/>
            <w:shd w:val="clear" w:color="auto" w:fill="auto"/>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二级指标</w:t>
            </w:r>
          </w:p>
        </w:tc>
        <w:tc>
          <w:tcPr>
            <w:tcW w:w="6804" w:type="dxa"/>
            <w:shd w:val="clear" w:color="auto" w:fill="auto"/>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三级指标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8" w:hRule="atLeast"/>
          <w:jc w:val="center"/>
        </w:trPr>
        <w:tc>
          <w:tcPr>
            <w:tcW w:w="1358" w:type="dxa"/>
            <w:vMerge w:val="restart"/>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b/>
                <w:bCs/>
                <w:color w:val="000000"/>
                <w:kern w:val="0"/>
                <w:sz w:val="24"/>
                <w:szCs w:val="24"/>
                <w:lang w:bidi="ar"/>
              </w:rPr>
              <w:t>1.支部工作</w:t>
            </w: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1.1 发挥政治引领方面的主体作用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1.把坚定正确的政治方向放在党支部建设的首位，用习近平新时代中国特色社会主义思想武装支部党员头脑，不断增强党员“四个意识”、坚定“四个自信”、坚决做到“两个维护”。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2.认真宣传执行党的路线方针政策和上级党组织的决议，使支部党员、干部师生始终在思想上政治上行动上同以习近平同志为核心的党中央保持高度一致。</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3.严格用党章党规规范党员行为，指导党员加强党性修养，营造良好的政治生态。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4.积极参与本部门重要事项讨论决策，在人才引进、教育教学、科研管理等重大事项中发挥政治把关作用。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4" w:hRule="atLeast"/>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1.2 发挥规范 党的组织生活方面的主体作用</w:t>
            </w: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以提升组织力为重点，落实支部标准化规范化建设，扎实推进“创优争星”工程，推进“不忘初心、牢记使命”主题教育常态化制度化，严格落实“三会一课”、主题党日活动、谈心谈话、民主生活会、组织生活会及民主评议党员等党支部组织生活。</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2.按期规范做好换届工作，注重配备熟悉和热爱党务工作的青年党员学术骨干担任副书记或委员。</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3.在高层次人才、优秀青年教师中发展党员成效显著。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4.党员组织关系管理、党费收缴、党员激励关爱帮扶和党纪处分、组织处置等基础性工作扎实。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5.把纪律和规矩挺在前面，支部党员模范遵守师德规范、践行学术道德、严守纪律底线。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2" w:hRule="atLeast"/>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1.3 发挥团结 凝聚师生方面的主体作用</w:t>
            </w: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1.加强教师理想信念教育，健全完善教师党员党内学习制度、教师政治理论学习制度，组织开展理论学习、实践锻炼、社会服务，全面提升教师思想素质和实践能力。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2.做好新时代知识分子工作，加强党情国情世情教育、社会主义核心价值观教育，关心了解教师思想状况，做好政治吸纳、团结凝聚、教育引导工作。</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3.落实意识形态工作责任，有效防止各类错误思想文化侵蚀，教育引导教师在课堂教学、论坛讲座等活动中坚持正确的政治方向、政治立场、政治原则。</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4.丰富服务载体，健全帮扶机制，党支部成为党员之家、教师之家，有效解决教师实际问题、增强教师归属感获得感。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3" w:hRule="atLeast"/>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1.4 发挥促进 学校和本部门中心工作方面的主体作用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1.全面落实学校党委决策部署和中心工作任务，引领带动师生积极投身改革发展，维护学校和谐稳定。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2.有效发挥政治功能、组织功能和服务功能，着力推进课程育人、科研育人等育人体系建设，增强思想政治工作针对性和亲和力，提高人才培养质量。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3.教育引导教师党员在日常工作生活中亮出党员身份、立起先进标尺、树立先锋形象，成为“四有好老师”的表率，充分发挥先锋模范作用。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restart"/>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b/>
                <w:bCs/>
                <w:color w:val="000000"/>
                <w:kern w:val="0"/>
                <w:sz w:val="24"/>
                <w:szCs w:val="24"/>
                <w:lang w:bidi="ar"/>
              </w:rPr>
              <w:t>2.个人素质和能力</w:t>
            </w: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2.1 思想政治素质</w:t>
            </w: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1.政治立场坚定，党性修养好，自觉做中国特色社会主义的坚定信仰者和忠实实践者。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2.政治责任履行好，让党支部的主体作用贯穿于教育教学、科学研究、管理服务工作全过程。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3.政治担当到位，积极主动做好教师思想政治工作，组织支部党员坚决与错误思想和言行作斗争。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2.2 党建工作能力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1.热爱党的工作，熟悉了解教师党支部情况。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2.掌握党建工作规律，善于创新、勇于实践，支部建设取得良好业绩。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3.善于开展思想政治工作和知识分子工作，具有较强的影响力、号召力和凝聚力。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2.3 教学科研水平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1.教学科研工作基础扎实，基本素质好，应具有副高级及以上专业技术职务）或者博士研究生学历学位。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2.教育教学、科学研究、实践应用等方面业绩突出。</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3.在专业领域具有较强的学术影响力，得到师生的普遍认可和信任。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2.4 师德师风状况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1.清正廉洁，以身作则，纪律意识和规矩意识强。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2.师德高尚，敬业爱生，群众威信和组织评价好。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3.作风优良，勇于担当，奉献精神和服务意识强。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restart"/>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b/>
                <w:bCs/>
                <w:color w:val="000000"/>
                <w:kern w:val="0"/>
                <w:sz w:val="24"/>
                <w:szCs w:val="24"/>
                <w:lang w:bidi="ar"/>
              </w:rPr>
              <w:t>3.标志性成果</w:t>
            </w: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3.1党建工作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1.获得校级及以上党组织表彰奖励。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2.承担校级及以上党建和思想政治工作课题研究，或在重要期刊上发表过相关论文。</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3.建设制度体系、机制办法。</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4.形成党支部工作方法、典型案例。</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5.建立党支部思想政治工作品牌、育人载体。</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6.党支部宣传平台、网络阵地建设较好。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8" w:type="dxa"/>
            <w:vMerge w:val="continue"/>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560"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 学术工作</w:t>
            </w:r>
          </w:p>
        </w:tc>
        <w:tc>
          <w:tcPr>
            <w:tcW w:w="6804" w:type="dxa"/>
            <w:shd w:val="clear" w:color="auto" w:fill="auto"/>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1.作为项目组重要成员获得校级及以上教学、科研成果奖励。 </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2.直接参与学校重点项目建设。</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3.有其他标志性学术或专业技术成果。</w:t>
            </w:r>
          </w:p>
        </w:tc>
      </w:tr>
    </w:tbl>
    <w:p>
      <w:pPr>
        <w:pageBreakBefore w:val="0"/>
        <w:kinsoku/>
        <w:wordWrap/>
        <w:overflowPunct/>
        <w:topLinePunct w:val="0"/>
        <w:autoSpaceDE/>
        <w:autoSpaceDN/>
        <w:bidi w:val="0"/>
        <w:outlineLvl w:val="9"/>
        <w:rPr>
          <w:rFonts w:hint="eastAsia" w:ascii="仿宋" w:hAnsi="仿宋" w:eastAsia="仿宋" w:cs="仿宋"/>
          <w:bCs/>
          <w:sz w:val="32"/>
          <w:szCs w:val="32"/>
        </w:rPr>
        <w:sectPr>
          <w:footerReference r:id="rId5" w:type="first"/>
          <w:footerReference r:id="rId4" w:type="default"/>
          <w:pgSz w:w="11906" w:h="16838"/>
          <w:pgMar w:top="2098" w:right="1474" w:bottom="1985" w:left="1588" w:header="851" w:footer="992" w:gutter="0"/>
          <w:pgNumType w:fmt="decimal"/>
          <w:cols w:space="720" w:num="1"/>
          <w:titlePg/>
          <w:docGrid w:type="linesAndChars" w:linePitch="381" w:charSpace="0"/>
        </w:sect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76" w:name="_Toc534377727"/>
      <w:bookmarkStart w:id="77" w:name="_Toc31826"/>
      <w:bookmarkStart w:id="78" w:name="_Toc18135"/>
      <w:bookmarkStart w:id="79" w:name="_Toc18545"/>
      <w:r>
        <w:rPr>
          <w:rFonts w:hint="eastAsia" w:ascii="黑体" w:hAnsi="黑体" w:eastAsia="黑体" w:cs="黑体"/>
          <w:color w:val="000000"/>
          <w:kern w:val="2"/>
          <w:sz w:val="36"/>
          <w:szCs w:val="36"/>
        </w:rPr>
        <w:t>中共柳州职业技术学院委员会</w:t>
      </w:r>
      <w:bookmarkEnd w:id="76"/>
      <w:bookmarkStart w:id="80" w:name="_Toc534377728"/>
      <w:r>
        <w:rPr>
          <w:rFonts w:hint="eastAsia" w:ascii="黑体" w:hAnsi="黑体" w:eastAsia="黑体" w:cs="黑体"/>
          <w:color w:val="000000"/>
          <w:kern w:val="2"/>
          <w:sz w:val="36"/>
          <w:szCs w:val="36"/>
        </w:rPr>
        <w:t>落实党风廉政建设主体责任实施办法（试行）</w:t>
      </w:r>
      <w:bookmarkEnd w:id="77"/>
      <w:bookmarkEnd w:id="78"/>
      <w:bookmarkEnd w:id="79"/>
      <w:bookmarkEnd w:id="80"/>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（柳职院党字〔2016〕4号）</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p>
    <w:p>
      <w:pPr>
        <w:pageBreakBefore w:val="0"/>
        <w:kinsoku/>
        <w:wordWrap/>
        <w:overflowPunct/>
        <w:topLinePunct w:val="0"/>
        <w:autoSpaceDE/>
        <w:autoSpaceDN/>
        <w:bidi w:val="0"/>
        <w:spacing w:line="560" w:lineRule="exact"/>
        <w:jc w:val="center"/>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第一章 总 则</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第一条</w:t>
      </w:r>
      <w:r>
        <w:rPr>
          <w:rFonts w:hint="eastAsia" w:ascii="仿宋" w:hAnsi="仿宋" w:eastAsia="仿宋" w:cs="仿宋"/>
          <w:bCs/>
          <w:color w:val="000000"/>
          <w:sz w:val="32"/>
          <w:szCs w:val="32"/>
        </w:rPr>
        <w:t> 为落实党风廉政建设主体责任，深入推进学院党风廉政建设和反腐败工作，根据《广西高校党委落实党风廉政建设主体责任实施办法（试行）》（桂党高工〔2015〕12号）文件精神，并结合学院实际，制定本实施办法。</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第二条</w:t>
      </w:r>
      <w:r>
        <w:rPr>
          <w:rFonts w:hint="eastAsia" w:ascii="仿宋" w:hAnsi="仿宋" w:eastAsia="仿宋" w:cs="仿宋"/>
          <w:bCs/>
          <w:color w:val="000000"/>
          <w:sz w:val="32"/>
          <w:szCs w:val="32"/>
        </w:rPr>
        <w:t> 本办法所称党风廉政建设学院党委主体责任，包括党委领导班子责任、党委书记责任、党委领导班子其他成员责任。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学院党委是学院党风廉政建设的领导者、执行者、推行者。学院党委领导班子对职责范围内的党风廉政建设负全面领导责任，党委书记对职责范围内的党风廉政建设承担第一责任人责任，党委领导班子其他成员对职责范围内的党风廉政建设承担主要领导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第三条</w:t>
      </w:r>
      <w:r>
        <w:rPr>
          <w:rFonts w:hint="eastAsia" w:ascii="仿宋" w:hAnsi="仿宋" w:eastAsia="仿宋" w:cs="仿宋"/>
          <w:bCs/>
          <w:color w:val="000000"/>
          <w:sz w:val="32"/>
          <w:szCs w:val="32"/>
        </w:rPr>
        <w:t xml:space="preserve">  落实党风廉政建设主体责任，要在全院建立起“学院院党委统一领导，党政齐抓共管，部门、系（部）各负其责，广大教职工积极参与”的工作体制，全面推进学院党风廉政建设工作。</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第四条</w:t>
      </w:r>
      <w:r>
        <w:rPr>
          <w:rFonts w:hint="eastAsia" w:ascii="仿宋" w:hAnsi="仿宋" w:eastAsia="仿宋" w:cs="仿宋"/>
          <w:bCs/>
          <w:color w:val="000000"/>
          <w:sz w:val="32"/>
          <w:szCs w:val="32"/>
        </w:rPr>
        <w:t> 落实党风廉政建设主体责任，要坚持“一岗双责”的原则，学院党委领导班子成员在其岗位上，担负着抓好业务工作和党风廉政建设的双重责任。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第五条</w:t>
      </w:r>
      <w:r>
        <w:rPr>
          <w:rFonts w:hint="eastAsia" w:ascii="仿宋" w:hAnsi="仿宋" w:eastAsia="仿宋" w:cs="仿宋"/>
          <w:bCs/>
          <w:color w:val="000000"/>
          <w:sz w:val="32"/>
          <w:szCs w:val="32"/>
        </w:rPr>
        <w:t> 落实党风廉政建设主体责任，坚持谁主管谁负责、集体领导与个人分工负责相结合的原则。学院党委领导班子成员对分管范围的党风廉政建设工作负直接领导责任，一级抓一级，层层抓落实。</w:t>
      </w:r>
    </w:p>
    <w:p>
      <w:pPr>
        <w:pageBreakBefore w:val="0"/>
        <w:kinsoku/>
        <w:wordWrap/>
        <w:overflowPunct/>
        <w:topLinePunct w:val="0"/>
        <w:autoSpaceDE/>
        <w:autoSpaceDN/>
        <w:bidi w:val="0"/>
        <w:spacing w:line="560" w:lineRule="exact"/>
        <w:jc w:val="center"/>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第二章 主体责任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第六条</w:t>
      </w:r>
      <w:r>
        <w:rPr>
          <w:rFonts w:hint="eastAsia" w:ascii="仿宋" w:hAnsi="仿宋" w:eastAsia="仿宋" w:cs="仿宋"/>
          <w:bCs/>
          <w:color w:val="000000"/>
          <w:sz w:val="32"/>
          <w:szCs w:val="32"/>
        </w:rPr>
        <w:t xml:space="preserve">  学院党委承担以下党风廉政建设主体责任。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（一）选好用好干部。</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（二）纠正损害师生员工利益行为。</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（三）从源头上防治腐败。</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（四）支持纪检监察部门工作。</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（五）党委书记当好廉洁从政的表率。</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第七条</w:t>
      </w:r>
      <w:r>
        <w:rPr>
          <w:rFonts w:hint="eastAsia" w:ascii="仿宋" w:hAnsi="仿宋" w:eastAsia="仿宋" w:cs="仿宋"/>
          <w:bCs/>
          <w:color w:val="000000"/>
          <w:sz w:val="32"/>
          <w:szCs w:val="32"/>
        </w:rPr>
        <w:t xml:space="preserve">   学院党委领导班子责任。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加强组织领导。坚决贯彻落实中共中央、自治区党委、自治区高校工委关于党风廉政建设的部署和要求，经常研究或部署党风廉政建设和反腐败工作。定期分析党风廉政建设形势，研究制定党风廉政建设工作计划和目标要求，研究分解党风廉政建设工作任务，明确党委领导班子成员、党委各部门、系（部）党总支班子成员和其他党员领导干部的工作职责和任务分工，采取具体有效措施，推动工作任务落实。</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严明党的纪律。加强对党员干部教师的政治纪律教育，把维护党的政治纪律放在首位。教育引导党员干部教师切实增强党性修养，自觉遵守党的政治纪律、组织纪律、财经纪律、工作纪律和生活纪律，确保党员干部教师在政治上、行动上同党中央保持一致。</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（三）加强作风建设。贯彻落实中央八项规定精神，建立健全作风建设各项制度，坚持常抓不懈，坚决查处和纠正“四风”问题。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（四）选好用好干部。严格执行《党政领导干部选拔任用工作条例》，坚决纠正和查处选人用人上的不正之风和腐败问题。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（五）维护师生利益。贯彻落实党的群众路线，完善师生利益维护、协调、保障机制，及时研究解决师生反映强烈的突出问题，坚决查处和纠正损害师生利益的行为。</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坚决惩治腐败。主动听取纪委工作汇报，协调解决反腐败工作的重大问题，支持和保障纪委执纪办案，做到有案必查，有腐必惩。支持纪委执纪监督问责，支持纪委转职能、转方式、转作风，把纪委不应该管的事情交回主责部门，为纪委依法履职创造良好条件。</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（七）规范权力运行。大力推进惩治和预防腐败体系建设，推进权力公开透明运行，明确权力清单和责任清单，加强权力的制约和监督。</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第八条</w:t>
      </w:r>
      <w:r>
        <w:rPr>
          <w:rFonts w:hint="eastAsia" w:ascii="仿宋" w:hAnsi="仿宋" w:eastAsia="仿宋" w:cs="仿宋"/>
          <w:bCs/>
          <w:color w:val="000000"/>
          <w:sz w:val="32"/>
          <w:szCs w:val="32"/>
        </w:rPr>
        <w:t xml:space="preserve">  学院党委书记责任。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履行第一责任人责任。树立“不抓党风廉政建设就是严重失职”的意识，负责落实党委领导班子党风廉政建设责任，及时传达上级有关工作部署要求，坚持对党风廉政建设重要工作亲自部署、重大问题亲自过问、重点环节亲自协调、重要案件亲自督办。对涉及学院党风廉政建设方面的重大事项，及时召开会议进行专题研究。每年亲自上廉政党课不少于 1 次。定期向上级党委和纪委报告履行主体责任的情况。</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管好班子带好队伍。加强对领导班子成员和学院各部门、各系（部）领导班子成员的教育、监督、管理，督促其廉洁从政、廉洁从教，落实党风廉政建设“一岗双责”。及时掌握领导班子成员和学院各部门、系（部）领导班子成员思想动态，发现苗头性问题，及时通过廉政谈话、约谈、函询等方式提醒告诫。发现重大问题线索及时向上级党委、纪委报告。</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当好廉洁从政表率。带头遵守党纪国法，严格执行廉洁从政和改进作风各项规定，严格用制度管权管事管人，严格执行民主集中制和党内政治生活准则，加强对亲属、身边工作人员的教育、监督和管理，自觉接受组织和群众监督，当好廉洁从政表率。</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第九条</w:t>
      </w:r>
      <w:r>
        <w:rPr>
          <w:rFonts w:hint="eastAsia" w:ascii="仿宋" w:hAnsi="仿宋" w:eastAsia="仿宋" w:cs="仿宋"/>
          <w:bCs/>
          <w:color w:val="000000"/>
          <w:sz w:val="32"/>
          <w:szCs w:val="32"/>
        </w:rPr>
        <w:t xml:space="preserve">  学院党委领导班子其他成员责任。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履行“一岗双责”。协助学院党委书记落实党委领导班子党风廉政建设责任，做到主动研判形势、主动承接任务、主动加强监督、主动汇报情况、主动担当责任。定期研究、部署、检查和报告分管范围内的党风廉政建设工作情况。把党风廉政建设要求融入分管业务工作，完善制度规定，加强廉政风险防控。加强班子成员之间的协调配合，形成党风廉政建设工作合力。</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加强日常管理。加强对分管部门党员干部和党员教师经常性教育和管理，监督检查分管部门及其负责人廉洁从政、廉洁从教、改进作风、履行党风廉政建设职责，发现苗头性问题及时提醒、告诫，发现重大问题线索及时向学院党委书记报告。</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（三）严格廉洁自律。严格遵守党纪国法，执行廉洁自律和改进作风各项规定，管好亲属和身边工作人员，主动接受组织和群众监督，树立廉洁从政良好形象。</w:t>
      </w:r>
    </w:p>
    <w:p>
      <w:pPr>
        <w:pageBreakBefore w:val="0"/>
        <w:kinsoku/>
        <w:wordWrap/>
        <w:overflowPunct/>
        <w:topLinePunct w:val="0"/>
        <w:autoSpaceDE/>
        <w:autoSpaceDN/>
        <w:bidi w:val="0"/>
        <w:spacing w:line="560" w:lineRule="exact"/>
        <w:jc w:val="center"/>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第三章 工作要求和保障措施</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第十条</w:t>
      </w:r>
      <w:r>
        <w:rPr>
          <w:rFonts w:hint="eastAsia" w:ascii="仿宋" w:hAnsi="仿宋" w:eastAsia="仿宋" w:cs="仿宋"/>
          <w:bCs/>
          <w:color w:val="000000"/>
          <w:sz w:val="32"/>
          <w:szCs w:val="32"/>
        </w:rPr>
        <w:t> 选好用好干部，防止出现选人用人上的不正之风和腐败问题。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（一）贯彻落实《干部选拔任用条例》，完善相关配套制度，细化干部选拔任用实施办法。构建有效管用、公正全面的选拔任用机制。</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（二）强化干部选拔任用程序，切实做到程序不倒置、不空转、不缺失。</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（三）实行干部定期轮岗交流制度。分管人、财、物和其他重要岗位的党员领导干部应当定期轮岗交流。</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（四）执行干部选拔任用责任追究，班子成员对干部任免的意见要如实记录，建立倒查问责机制。</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（五）强化廉政审查把关，领导干部任前必须经纪委审查，出具廉政鉴定意见后方可任命。坚持领导干部任前廉政谈话制度，对拟任用干部必须经纪委负责人进行廉政谈话后，再予以任命。</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（六）落实领导干部谈心谈话制度，加强干部专项审计和任期审计，对苗头性、倾向性问题抓早抓小，防微杜渐。</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（七）严肃查处带病提拔、拉票贿选、跑官要官、买官卖官、任人唯亲等违反组织人事纪律行为。</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（八）建立健全学校中层以上领导干部个人廉政档案。将年度个人述廉报告及民主测评结果、个人重大事项报告、廉政谈话记录、函询、廉政教育等相关材料立卷归档。</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第十一条</w:t>
      </w:r>
      <w:r>
        <w:rPr>
          <w:rFonts w:hint="eastAsia" w:ascii="仿宋" w:hAnsi="仿宋" w:eastAsia="仿宋" w:cs="仿宋"/>
          <w:bCs/>
          <w:color w:val="000000"/>
          <w:sz w:val="32"/>
          <w:szCs w:val="32"/>
        </w:rPr>
        <w:t xml:space="preserve">   坚决纠正损害师生员工利益的行为，持之以恒抓作风建设。</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（一）认真落实师生员工诉求处理工作机制，妥善处理职责范围内的师生员工诉求。</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（二）畅通信访反映渠道，建立领导班子成员信访接待日制度。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（三）实行领导干部联系师生员工、帮助师生员工解决问题制度。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深入落实中央八项规定精神，坚决纠正“四风”问题。认真贯彻落实领导干部廉洁自律相关规定，着力解决公车私用、变相公款出国出境、多占办公用房、公款吃喝、公款旅游、兼职取酬、学术不端、侵占挪用科研经费等问题。坚决查处违规收送礼金、有价证券、会员卡、商业预付卡等行为。</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（五）严禁教职员工违规收受学生及家长礼品礼金等行为，坚决查处发生在群众身边以权谋私的问题。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（六）加强学院党风政风、校风教风学风、师德师风建设。定期开展师生员工反映强烈的热点难点问题专项治理活动。</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第十二条</w:t>
      </w:r>
      <w:r>
        <w:rPr>
          <w:rFonts w:hint="eastAsia" w:ascii="仿宋" w:hAnsi="仿宋" w:eastAsia="仿宋" w:cs="仿宋"/>
          <w:bCs/>
          <w:color w:val="000000"/>
          <w:sz w:val="32"/>
          <w:szCs w:val="32"/>
        </w:rPr>
        <w:t xml:space="preserve">   强化对权力运行的制约和监督，从源头上防治腐败。</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坚持依法治校。加强理想信念、廉洁理念、社会主义核心价值观、师德师风教育。完善惩治与预防腐败体系建设，推进党风廉政建设与学院改革发展相融合，学院各项改革措施要体现惩治与预防腐败的要求。</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（二）完善学院内部治理结构，建立健全以大学章程为龙头的制度体系，建立完善党风廉政建设各项制度。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严格执行“三重一大”事项决策制度，加强对招生录取、基建项目、物资采购、财务管理、科研经费、学术诚信、师德师风、职称评聘、国有资产、校办企业、后勤服务等重要关口、重点领域和关键环节的廉政风险防控工作。</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（四）推行权力清单、责任清单和公开事项清单制度，设定权力边界，公开权力运行流程。推进决策公开、管理公开、服务公开、结果公开。</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（五）完善述廉述责制度。实行学院党委领导班子、党委书记及领导班子其他成员书面述廉述责制度。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（六）建立党政班子成员之间常态化的谈话提醒制度。推行党委书记与党政班子成员、领导干部谈心谈话制度，听取落实主体责任和个人廉洁从政情况，对存在的问题早发现、早提醒、早纠正、早查处。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（七）推行作风建设监督检查制度。对违反中央八项规定精神的行为，应点名道姓予以曝光，综合运用组织处理和纪律处分等方式予以严肃处理。</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八）严格执行请示报告制度，防止组织程序空转。领导班子成员涉及个人重大问题、重要事项、外出等情况应当向组织如实请示报告，不得弄虚作假、隐瞒不报。认真执行领导干部报告个人有关事项制度，按比例开展抽查核实工作。</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第十三条</w:t>
      </w:r>
      <w:r>
        <w:rPr>
          <w:rFonts w:hint="eastAsia" w:ascii="仿宋" w:hAnsi="仿宋" w:eastAsia="仿宋" w:cs="仿宋"/>
          <w:bCs/>
          <w:color w:val="000000"/>
          <w:sz w:val="32"/>
          <w:szCs w:val="32"/>
        </w:rPr>
        <w:t xml:space="preserve">   学院党委支持纪检监察部门工作，坚决查处违纪违法问题。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（一）贯彻落实中央关于纪检监察体制机制改革举措，保证纪委监督权的相对独立性和权威性。</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（二）加强纪检监察队伍建设，重视纪检监察干部的培养使用。</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（三）明确纪检监察机构设置、人员编制和职能定位。按照“三转”的要求，抓好执纪监督问责。不得承担与纪检监察无关的事宜。</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（四）加强对腐败案件高发易发领域突出问题的分析研判，及时听取纪委工作汇报，研究解决案件查办工作中的重大问题。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（五）重视自治区纪委和高校纪工委移交的问题线索，认真组织调查、核实和处理，并及时报告。</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（六）优化执纪监督问责环境，不干涉具体案件的查处，不得利用职权影响纪检监察部门办案，防止纪检监察干部受到不法侵害。</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第十四条</w:t>
      </w:r>
      <w:r>
        <w:rPr>
          <w:rFonts w:hint="eastAsia" w:ascii="仿宋" w:hAnsi="仿宋" w:eastAsia="仿宋" w:cs="仿宋"/>
          <w:bCs/>
          <w:color w:val="000000"/>
          <w:sz w:val="32"/>
          <w:szCs w:val="32"/>
        </w:rPr>
        <w:t xml:space="preserve">   党委书记要管好班子，带好队伍，当好廉洁从政的表率。</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（一）严肃党内生活，认真执行民主集中制，严格执行领导班子议事规则与决策程序，落实领导干部双重组织生活会、民主评议党员等制度。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（二）及时掌握干部队伍特别是领导班子成员在思想政治、廉洁自律、生活作风等方面存在的问题，对苗头性问题及时发现制止，防止小问题演变成大问题。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（三）带头严格执行《党政机关厉行节约反对浪费条例》。管好自己、家属及身边的工作人员。</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（四）组织领导班子成员开展党风廉政建设责任制考核。</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（五）加强党风廉政建设和反腐败工作领导，支持纪委查办案件工作和履行再监督责任。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（六）集体决定重大事项前，党委书记、院长和有关领导班子成员要个别酝酿、充分沟通。</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（七）集体决策重大事项的会议，实行主要领导末位表态制度。</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（八）学院党委书记、院长任职期间，一般不担任科研项目主要负责人。</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（九）学院纪委书记要认真履职尽责，专注于党风廉政建设和反腐败工作，确保时间、精力聚焦主业，切实抓好执纪监督问责。</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（十）学院党政领导班子成员不得在校内外经济实体中兼职（因工作需要，经上级主管部门批准除外）。</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（十一）实行“一案双查”。对发生重大腐败案件和不正之风长期滋生蔓延的部门和单位，既要追究当事人责任，又要严格倒查追究相关领导责任。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第十五条</w:t>
      </w:r>
      <w:r>
        <w:rPr>
          <w:rFonts w:hint="eastAsia" w:ascii="仿宋" w:hAnsi="仿宋" w:eastAsia="仿宋" w:cs="仿宋"/>
          <w:bCs/>
          <w:color w:val="000000"/>
          <w:sz w:val="32"/>
          <w:szCs w:val="32"/>
        </w:rPr>
        <w:t xml:space="preserve">   建立工作机制。实行党委书记负总责，党委班子成员分工负责，党委办公室具体统筹协调，党委组织部、宣传部、统战部、学生工作部、系党总支分工落实的工作机制。</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第十六条</w:t>
      </w:r>
      <w:r>
        <w:rPr>
          <w:rFonts w:hint="eastAsia" w:ascii="仿宋" w:hAnsi="仿宋" w:eastAsia="仿宋" w:cs="仿宋"/>
          <w:bCs/>
          <w:color w:val="000000"/>
          <w:sz w:val="32"/>
          <w:szCs w:val="32"/>
        </w:rPr>
        <w:t xml:space="preserve">   实行党风廉政建设主体责任年度检查考核制度。完善党风廉政建设主体责任检查考核的指标体系、评价标准，明确检查考核的内容、方法、程序。</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第十七条</w:t>
      </w:r>
      <w:r>
        <w:rPr>
          <w:rFonts w:hint="eastAsia" w:ascii="仿宋" w:hAnsi="仿宋" w:eastAsia="仿宋" w:cs="仿宋"/>
          <w:bCs/>
          <w:color w:val="000000"/>
          <w:sz w:val="32"/>
          <w:szCs w:val="32"/>
        </w:rPr>
        <w:t xml:space="preserve">   建立落实主体责任考核结果使用制度。把考核结果作为评价领导干部业绩、奖励惩处、提拔任用的重要依据。</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第十八条</w:t>
      </w:r>
      <w:r>
        <w:rPr>
          <w:rFonts w:hint="eastAsia" w:ascii="仿宋" w:hAnsi="仿宋" w:eastAsia="仿宋" w:cs="仿宋"/>
          <w:bCs/>
          <w:color w:val="000000"/>
          <w:sz w:val="32"/>
          <w:szCs w:val="32"/>
        </w:rPr>
        <w:t xml:space="preserve">   建立和完善党风廉政建设责任制报告制度。学院党委与自治区高校工委签订党风廉政建设责任书，每年 12 月底向自治区高校工委报告党风廉政建设工作，同时报告自治区高校纪工委及柳州市纪委。</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第十九条</w:t>
      </w:r>
      <w:r>
        <w:rPr>
          <w:rFonts w:hint="eastAsia" w:ascii="仿宋" w:hAnsi="仿宋" w:eastAsia="仿宋" w:cs="仿宋"/>
          <w:bCs/>
          <w:color w:val="000000"/>
          <w:sz w:val="32"/>
          <w:szCs w:val="32"/>
        </w:rPr>
        <w:t xml:space="preserve">  领导干部执行党风廉政建设责任制的情况，作为民主生活会和述职报告的一项重要内容。</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第二十条</w:t>
      </w:r>
      <w:r>
        <w:rPr>
          <w:rFonts w:hint="eastAsia" w:ascii="仿宋" w:hAnsi="仿宋" w:eastAsia="仿宋" w:cs="仿宋"/>
          <w:bCs/>
          <w:color w:val="000000"/>
          <w:sz w:val="32"/>
          <w:szCs w:val="32"/>
        </w:rPr>
        <w:t xml:space="preserve">  建立和完善宣传教育制度。积极探索廉政教育宣传的长效机制。</w:t>
      </w:r>
    </w:p>
    <w:p>
      <w:pPr>
        <w:pageBreakBefore w:val="0"/>
        <w:kinsoku/>
        <w:wordWrap/>
        <w:overflowPunct/>
        <w:topLinePunct w:val="0"/>
        <w:autoSpaceDE/>
        <w:autoSpaceDN/>
        <w:bidi w:val="0"/>
        <w:spacing w:line="560" w:lineRule="exact"/>
        <w:jc w:val="center"/>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第四章 责任追究</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第二十一条</w:t>
      </w:r>
      <w:r>
        <w:rPr>
          <w:rFonts w:hint="eastAsia" w:ascii="仿宋" w:hAnsi="仿宋" w:eastAsia="仿宋" w:cs="仿宋"/>
          <w:bCs/>
          <w:color w:val="000000"/>
          <w:sz w:val="32"/>
          <w:szCs w:val="32"/>
        </w:rPr>
        <w:t>  学院党委领导班子成员在工作中不负责任或者疏于管理，不履行主体责任或履行主体责任不力，有下列情形之一的，应当追究责任。</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（一）对党风廉政建设工作领导不力，以致职责范围内明令禁止的不正之风得不到有效治理，造成不良影响的。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二）对上级党委、纪委及学院党委部署的党风廉政建设工作任务不传达、不贯彻部署、不检查督促落实，致使所分管部门领导班子或者直接管辖的下属发生严重违纪违规问题，或者发生其他党风廉政建设严重问题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（三）对分管部门发生腐败窝案、串案，或者在短时间内连续发生重大腐败案件，或者对发现的严重违纪违规行为隐瞒不报、压案不查的。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（四）群众反映的党风廉政建设方面的突出问题，特别是严重损害人民群众利益的问题长期得不到解决，造成不良影响，甚至引发群体性事件的。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（五）放任、包庇、纵容下属人员违反财政、金融、审计等法律和规定，弄虚作假的。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（六）违反规定私设“小金库”的。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七）违反规定，干预和插手学院物资设备采购、财务管理、基建工程、科研经费、招生录取、职称评定、招录人员、奖助学金、学生资助、国有资产、校办企业、后勤服务等工作，造成不良影响或较大经济损失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（八）对上级交办和学院受理的控告申诉或违纪违规案件，不认真办理、不及时、不如实向上级领导机关报告，造成严重后果的。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（九）授意、指使、纵容下属人员阻止、干扰、对抗组织审查，或者对办案人、检举控告人、证明人打击报复的。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（十）有其他违反党风廉政建设责任制行为的。</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第二十二条</w:t>
      </w:r>
      <w:r>
        <w:rPr>
          <w:rFonts w:hint="eastAsia" w:ascii="仿宋" w:hAnsi="仿宋" w:eastAsia="仿宋" w:cs="仿宋"/>
          <w:bCs/>
          <w:color w:val="000000"/>
          <w:sz w:val="32"/>
          <w:szCs w:val="32"/>
        </w:rPr>
        <w:t xml:space="preserve">   严格落实《关于实行党风廉政建设责任制的规定》，对领导干部不履行或不正确履行“两个责任”的，分清集体责任和个人责任、主要领导责任和分管领导责任，依纪依规实行问责。</w:t>
      </w:r>
    </w:p>
    <w:p>
      <w:pPr>
        <w:pageBreakBefore w:val="0"/>
        <w:kinsoku/>
        <w:wordWrap/>
        <w:overflowPunct/>
        <w:topLinePunct w:val="0"/>
        <w:autoSpaceDE/>
        <w:autoSpaceDN/>
        <w:bidi w:val="0"/>
        <w:spacing w:line="560" w:lineRule="exact"/>
        <w:jc w:val="center"/>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第五章  附则</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 xml:space="preserve">第二十三条 </w:t>
      </w:r>
      <w:r>
        <w:rPr>
          <w:rFonts w:hint="eastAsia" w:ascii="仿宋" w:hAnsi="仿宋" w:eastAsia="仿宋" w:cs="仿宋"/>
          <w:bCs/>
          <w:color w:val="000000"/>
          <w:sz w:val="32"/>
          <w:szCs w:val="32"/>
        </w:rPr>
        <w:t xml:space="preserve">  本办法由学院党委负责解释。</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第二十四条</w:t>
      </w:r>
      <w:r>
        <w:rPr>
          <w:rFonts w:hint="eastAsia" w:ascii="仿宋" w:hAnsi="仿宋" w:eastAsia="仿宋" w:cs="仿宋"/>
          <w:bCs/>
          <w:color w:val="000000"/>
          <w:sz w:val="32"/>
          <w:szCs w:val="32"/>
        </w:rPr>
        <w:t xml:space="preserve">   本办法自发布之日起实施。 </w:t>
      </w:r>
    </w:p>
    <w:p>
      <w:pPr>
        <w:pageBreakBefore w:val="0"/>
        <w:kinsoku/>
        <w:wordWrap/>
        <w:overflowPunct/>
        <w:topLinePunct w:val="0"/>
        <w:autoSpaceDE/>
        <w:autoSpaceDN/>
        <w:bidi w:val="0"/>
        <w:spacing w:before="0" w:after="0" w:line="600" w:lineRule="exact"/>
        <w:jc w:val="center"/>
        <w:outlineLvl w:val="9"/>
        <w:rPr>
          <w:rFonts w:hint="eastAsia" w:ascii="仿宋" w:hAnsi="仿宋" w:eastAsia="仿宋" w:cs="仿宋"/>
          <w:color w:val="000000"/>
          <w:kern w:val="2"/>
          <w:sz w:val="32"/>
          <w:szCs w:val="32"/>
        </w:rPr>
      </w:pPr>
      <w:bookmarkStart w:id="81" w:name="_Toc534377729"/>
      <w:r>
        <w:rPr>
          <w:rFonts w:hint="eastAsia" w:ascii="仿宋" w:hAnsi="仿宋" w:eastAsia="仿宋" w:cs="仿宋"/>
          <w:color w:val="000000"/>
          <w:kern w:val="2"/>
          <w:sz w:val="32"/>
          <w:szCs w:val="32"/>
        </w:rPr>
        <w:t>中共柳州职业技术学院纪委</w:t>
      </w:r>
      <w:bookmarkEnd w:id="81"/>
    </w:p>
    <w:p>
      <w:pPr>
        <w:pageBreakBefore w:val="0"/>
        <w:kinsoku/>
        <w:wordWrap/>
        <w:overflowPunct/>
        <w:topLinePunct w:val="0"/>
        <w:autoSpaceDE/>
        <w:autoSpaceDN/>
        <w:bidi w:val="0"/>
        <w:spacing w:before="0" w:after="0" w:line="600" w:lineRule="exact"/>
        <w:jc w:val="center"/>
        <w:outlineLvl w:val="9"/>
        <w:rPr>
          <w:rFonts w:hint="eastAsia" w:ascii="仿宋" w:hAnsi="仿宋" w:eastAsia="仿宋" w:cs="仿宋"/>
          <w:color w:val="000000"/>
          <w:kern w:val="2"/>
          <w:sz w:val="32"/>
          <w:szCs w:val="32"/>
        </w:rPr>
      </w:pPr>
      <w:bookmarkStart w:id="82" w:name="_Toc534377730"/>
      <w:r>
        <w:rPr>
          <w:rFonts w:hint="eastAsia" w:ascii="仿宋" w:hAnsi="仿宋" w:eastAsia="仿宋" w:cs="仿宋"/>
          <w:color w:val="000000"/>
          <w:kern w:val="2"/>
          <w:sz w:val="32"/>
          <w:szCs w:val="32"/>
        </w:rPr>
        <w:t>落实党风廉政建设监督责任实施办法（试行）</w:t>
      </w:r>
      <w:bookmarkEnd w:id="82"/>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（柳职院党字〔2016〕5号）</w:t>
      </w:r>
    </w:p>
    <w:p>
      <w:pPr>
        <w:pageBreakBefore w:val="0"/>
        <w:kinsoku/>
        <w:wordWrap/>
        <w:overflowPunct/>
        <w:topLinePunct w:val="0"/>
        <w:autoSpaceDE/>
        <w:autoSpaceDN/>
        <w:bidi w:val="0"/>
        <w:spacing w:line="550" w:lineRule="exact"/>
        <w:jc w:val="center"/>
        <w:outlineLvl w:val="9"/>
        <w:rPr>
          <w:rFonts w:hint="eastAsia" w:ascii="仿宋" w:hAnsi="仿宋" w:eastAsia="仿宋" w:cs="仿宋"/>
          <w:b/>
          <w:sz w:val="32"/>
          <w:szCs w:val="32"/>
        </w:rPr>
      </w:pP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为贯彻中纪委全面从严治党，落实转职能、转方式、转作风要求，进一步加强和改进我院纪检监察工作，切实履行执纪、监督、问责职责，根据《关于印发&lt;广西高等学校纪委落实党风廉政建设监督责任实施办法（试行）&gt;的通知》（桂党高工〔2015〕13号）文件要求，结合我院具体实际，特制定本实施办法。</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一、监督责任</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1.严格纪律监督。</w:t>
      </w:r>
      <w:r>
        <w:rPr>
          <w:rFonts w:hint="eastAsia" w:ascii="仿宋" w:hAnsi="仿宋" w:eastAsia="仿宋" w:cs="仿宋"/>
          <w:bCs/>
          <w:color w:val="000000"/>
          <w:sz w:val="32"/>
          <w:szCs w:val="32"/>
        </w:rPr>
        <w:t>坚决维护党章和其他党内法规，加强对党的路线方针政策、决议决定执行情况的监督检查，加强对自治区高校工委、学校党委重大决策部署贯彻落实情况的监督检查。严格执行党的纪律，把纪律挺在前面，坚持用纪律的尺子衡量党员干部。</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2.深化作风督查。</w:t>
      </w:r>
      <w:r>
        <w:rPr>
          <w:rFonts w:hint="eastAsia" w:ascii="仿宋" w:hAnsi="仿宋" w:eastAsia="仿宋" w:cs="仿宋"/>
          <w:bCs/>
          <w:color w:val="000000"/>
          <w:sz w:val="32"/>
          <w:szCs w:val="32"/>
        </w:rPr>
        <w:t>坚持不懈抓作风建设，坚决反对“四风”。加强对中央八项规定精神执行情况的监督检查，推动作风建设常态化制度化。坚持正风肃纪，严肃查处违反作风建设规定问题，及时通报曝光。</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3.严肃查办案件。</w:t>
      </w:r>
      <w:r>
        <w:rPr>
          <w:rFonts w:hint="eastAsia" w:ascii="仿宋" w:hAnsi="仿宋" w:eastAsia="仿宋" w:cs="仿宋"/>
          <w:bCs/>
          <w:color w:val="000000"/>
          <w:sz w:val="32"/>
          <w:szCs w:val="32"/>
        </w:rPr>
        <w:t>坚持有案必查，有腐必惩。严肃查处党员干部违反党纪党规行为，严肃查办领导干部违纪违规案件。落实“查办腐败案件以上级纪委领导为主”的要求，线索处置和案件查办在向学院党委报告的同时必须向自治区高校纪工委和柳州市纪委报告。加强工作协作，配合落实高校案件联合审理工作机制。</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4.坚持提醒告诫。</w:t>
      </w:r>
      <w:r>
        <w:rPr>
          <w:rFonts w:hint="eastAsia" w:ascii="仿宋" w:hAnsi="仿宋" w:eastAsia="仿宋" w:cs="仿宋"/>
          <w:bCs/>
          <w:color w:val="000000"/>
          <w:sz w:val="32"/>
          <w:szCs w:val="32"/>
        </w:rPr>
        <w:t>加强党性教育，重点开展党章、党的宗旨、党规党纪教育。对党员干部作风和纪律方面的苗头性问题及时约谈、函询、诫勉谈话，坚持抓早抓小，早发现、早提醒、早纠正、早查处，防止小问题演变成大问题。</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5.严格责任追究。</w:t>
      </w:r>
      <w:r>
        <w:rPr>
          <w:rFonts w:hint="eastAsia" w:ascii="仿宋" w:hAnsi="仿宋" w:eastAsia="仿宋" w:cs="仿宋"/>
          <w:bCs/>
          <w:color w:val="000000"/>
          <w:sz w:val="32"/>
          <w:szCs w:val="32"/>
        </w:rPr>
        <w:t>加强对学院党委履行党风廉政建设主体责任的监督，开展履责考核。健全责任分解、检查监督、倒查追究的问责链条。对不履行监督责任或履行监督责任不力的党员干部，依据党风廉政建设责任制的相关规定，严肃追究责任。</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二、监督内容</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1.加强对学院党委、行政及二级部门的监督。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（1）落实党风廉政建设责任制（党风廉政建设责任制年度计划制定、任务分解、责任书签订及工作落实等）和履行主体责任情况。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（2）贯彻执行党的路线方针政策情况，贯彻执行中央和自治区党委决策部署情况。落实自治区高校工委、高校纪工委、柳州市纪委工作任务及学校重大工作任务情况。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（3）贯彻执行民主集中制情况。落实“三重一大”决策事项情况。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（4）推进惩治和预防腐败体系建设，开展廉洁教育情况，加强廉政风险防控管理情况。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（5）加强学院党风、政风、校风、教风和学风建设，纠正损害师生利益情况。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（6）召开领导班子民主生活会情况。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2.加强对学院领导班子成员及二级部门负责人的监督。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（1）执行《中国共产党廉洁自律准则》和中央八项规定精神情况。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（2）落实“一岗双责”情况，对分管（负责）部门党风廉政建设和反腐败工作部署、督促、检查和落实情况。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（3）执行民主集中制，落实重大事项报告制度情况。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（4）对分管（负责）部门党员干部的苗头性问题进行谈话提醒情况。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（5）及时批阅重要信件，接待来访，解决师生员工及社会反映强烈问题。</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（6）在领导班子民主生活会上开展批评与自我批评，严格按照个人事项报告的有关要求，如实报告个人廉洁自律情况。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3.加强对党员干部执行政治纪律、组织纪律、廉洁纪律、群众纪律、工作纪律、生活纪律情况的监督。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4.加强对下列重点领域和关键环节的监督。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（1）对干部选拔任用、人员聘用的监督。监督组织人事管理部门执行《党政领导干部选拔任用工作条例》及我院有关文件规定的情况，执行《事业单位公开招聘人员暂行规定》及柳州市有关文件规定的情况。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对基建（修缮）工程、物资（服务）采购、国有资产管理的监督。监督后勤与资产管理部门执行我院有关基建（修缮）工程管理规定的情况，执行我院有关物资（服务）采购管理规定的情况，执行我院有关国有资产管理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（3）对财务管理的监督。监督财务管理部门执行《中华人民共和国会计法》、《内部会计控制规范》（试行）、《广西高校财务内部控制制度》的情况。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（4）对科研经费管理的监督。监督科研管理部门执行我院有关科研经费管理规定的情况。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（5）对奖助学金、学生资助管理的监督。监督学生管理部门执行我院有关奖助学金、学生资助管理规定的情况。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（6）对办班办学创收经费管理的监督。监督教学管理部门执行我院有关办班办学创收经费管理规定的情况。监督校办企业管理部门执行我院有关校办企业创收经费管理规定的情况。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（7）对招生录取的监督检查。监督招生管理部门执行教育部有关普通高校招生文件规定和自治区有关普通高校招生文件规定的情况，执行我院有关自主招生文件规定的情况。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三、监督方式</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1.建立再监督机制。</w:t>
      </w:r>
      <w:r>
        <w:rPr>
          <w:rFonts w:hint="eastAsia" w:ascii="仿宋" w:hAnsi="仿宋" w:eastAsia="仿宋" w:cs="仿宋"/>
          <w:bCs/>
          <w:color w:val="000000"/>
          <w:sz w:val="32"/>
          <w:szCs w:val="32"/>
        </w:rPr>
        <w:t>转变监督方式，业务工作由职能部门负责监督，纪检监察部门负责监督职能部门的业务监督情况，形成监督的再监督机制。对反映业务工作的违纪违规问题，由纪检监察部门组织调查核实，开展专项监督。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2.实行事前备案制度。</w:t>
      </w:r>
      <w:r>
        <w:rPr>
          <w:rFonts w:hint="eastAsia" w:ascii="仿宋" w:hAnsi="仿宋" w:eastAsia="仿宋" w:cs="仿宋"/>
          <w:bCs/>
          <w:color w:val="000000"/>
          <w:sz w:val="32"/>
          <w:szCs w:val="32"/>
        </w:rPr>
        <w:t>业务职能部门负责将需要监督的工作事项，提前5天向学院纪检监察部门报备。常规监督事项，由学院纪检监察部门有针对性地选择重点环节开展监督；重点工作和重大项目的监督，由学院纪检监察部门报送学院纪委书记审示。</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3.实行监督事项会审制度。</w:t>
      </w:r>
      <w:r>
        <w:rPr>
          <w:rFonts w:hint="eastAsia" w:ascii="仿宋" w:hAnsi="仿宋" w:eastAsia="仿宋" w:cs="仿宋"/>
          <w:bCs/>
          <w:color w:val="000000"/>
          <w:sz w:val="32"/>
          <w:szCs w:val="32"/>
        </w:rPr>
        <w:t>对各职能部门提前报备的重点和重大监督事项，由纪委书记召集学院纪委委员或纪检监察部门人员会议进行分析研究，制定监督方案，提出监督建议，明确监督任务和监督措施。</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4.开展专项监督和专项治理。</w:t>
      </w:r>
      <w:r>
        <w:rPr>
          <w:rFonts w:hint="eastAsia" w:ascii="仿宋" w:hAnsi="仿宋" w:eastAsia="仿宋" w:cs="仿宋"/>
          <w:bCs/>
          <w:color w:val="000000"/>
          <w:sz w:val="32"/>
          <w:szCs w:val="32"/>
        </w:rPr>
        <w:t>对不正之风和违纪违规行为易发多发的重点领域、关键环节、重大事项和重要关口，对反映问题集中、反映违纪问题突出的部门，组织开展专项督查或专项治理工作。对经费预算、科研经费、奖助学金、学生资助、国有资产、办班办学创收等开展专项审计监督检查。</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5.开展谈话函询。</w:t>
      </w:r>
      <w:r>
        <w:rPr>
          <w:rFonts w:hint="eastAsia" w:ascii="仿宋" w:hAnsi="仿宋" w:eastAsia="仿宋" w:cs="仿宋"/>
          <w:bCs/>
          <w:color w:val="000000"/>
          <w:sz w:val="32"/>
          <w:szCs w:val="32"/>
        </w:rPr>
        <w:t>对反映学院党员干部教师的苗头性、倾向性问题，学院纪委书记或纪检部门负责人视情况，及时开展约谈、函询和诫勉谈话，及时提醒告诫。对新提拔、调整、任用的科级以上干部进行任前廉政谈话。诫勉谈话和函询材料由纪检监察部门归入党员干部廉政档案。</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6.开展纪律审查。</w:t>
      </w:r>
      <w:r>
        <w:rPr>
          <w:rFonts w:hint="eastAsia" w:ascii="仿宋" w:hAnsi="仿宋" w:eastAsia="仿宋" w:cs="仿宋"/>
          <w:bCs/>
          <w:color w:val="000000"/>
          <w:sz w:val="32"/>
          <w:szCs w:val="32"/>
        </w:rPr>
        <w:t>开展反映问题线索集中排查，加强集中管理，强化分类处置，落实报告制度。坚持用党章党规党纪衡量党员干部行为，及时处理党员干部违纪问题，把违纪问题作为纪律审查的重点，用纪律管住大多数。</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7.查信办案。</w:t>
      </w:r>
      <w:r>
        <w:rPr>
          <w:rFonts w:hint="eastAsia" w:ascii="仿宋" w:hAnsi="仿宋" w:eastAsia="仿宋" w:cs="仿宋"/>
          <w:bCs/>
          <w:color w:val="000000"/>
          <w:sz w:val="32"/>
          <w:szCs w:val="32"/>
        </w:rPr>
        <w:t>受理对党组织、党员、监察对象的控告、检举、申诉，承办上级信访转办件、督办件。信访举报件严格按照受理、登记、送阅、审批、办理、反馈、报结、归档等程序办理，落实信访办理责任制。调查处理所管辖的党组织及党员干部的腐败案件，配合开展高校案件联合审理工作。坚持“一案双查”，严肃追究责任人和责任领导的责任。</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8.健全履职机制。</w:t>
      </w:r>
      <w:r>
        <w:rPr>
          <w:rFonts w:hint="eastAsia" w:ascii="仿宋" w:hAnsi="仿宋" w:eastAsia="仿宋" w:cs="仿宋"/>
          <w:bCs/>
          <w:color w:val="000000"/>
          <w:sz w:val="32"/>
          <w:szCs w:val="32"/>
        </w:rPr>
        <w:t>学院纪委书记及纪检监察部门负责人应以主要精力从事纪检监察工作，要认真履职尽责，专注于党风廉政建设和反腐败工作，确保时间、精力聚焦主业，切实抓好执纪监督问责。</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9.开展述职述责考核。</w:t>
      </w:r>
      <w:r>
        <w:rPr>
          <w:rFonts w:hint="eastAsia" w:ascii="仿宋" w:hAnsi="仿宋" w:eastAsia="仿宋" w:cs="仿宋"/>
          <w:bCs/>
          <w:color w:val="000000"/>
          <w:sz w:val="32"/>
          <w:szCs w:val="32"/>
        </w:rPr>
        <w:t>根据自治区高校纪工委制定的高校党风廉政建设纪委监督责任考核办法和述职办法，每年1月份，由学院纪委书记就上一年纪委落实党风廉政建设监督责任情况向上级纪委进行述职。</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
          <w:bCs/>
          <w:color w:val="000000"/>
          <w:sz w:val="32"/>
          <w:szCs w:val="32"/>
        </w:rPr>
        <w:t>10.实行工作报告制度。</w:t>
      </w:r>
      <w:r>
        <w:rPr>
          <w:rFonts w:hint="eastAsia" w:ascii="仿宋" w:hAnsi="仿宋" w:eastAsia="仿宋" w:cs="仿宋"/>
          <w:bCs/>
          <w:color w:val="000000"/>
          <w:sz w:val="32"/>
          <w:szCs w:val="32"/>
        </w:rPr>
        <w:t>由学院纪委书记定期或不定期向自治区高校纪工委及柳州市纪委报告履行党风廉政建设监督责任情况，报告反映学校重大问题线索情况，报告查办案件情况。</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
          <w:bCs/>
          <w:color w:val="000000"/>
          <w:sz w:val="32"/>
          <w:szCs w:val="32"/>
        </w:rPr>
      </w:pPr>
      <w:r>
        <w:rPr>
          <w:rFonts w:hint="eastAsia" w:ascii="仿宋" w:hAnsi="仿宋" w:eastAsia="仿宋" w:cs="仿宋"/>
          <w:b/>
          <w:bCs/>
          <w:color w:val="000000"/>
          <w:sz w:val="32"/>
          <w:szCs w:val="32"/>
        </w:rPr>
        <w:t>四、责任追究</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学院纪检监察部门、业务职能部门（含二级教学管理部门）及其工作人员要严格依照本办法履行各自的监督职责。对不履行或不正确履行相关监督职责，情节轻微的，给予批评教育、限期改正；情节较重的，责令作出检查、诫勉谈话、通报批评或者调整工作岗位。情节严重的，给予党纪政纪处分。</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2.学院纪检监察部门及其工作人员有下列情形之一的，对相关责任人进行严肃处理。</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（1）在监督学校“三重一大”决策，监督重点领域、关键环节和重要关口的工作中，发现违纪违规问题，不提出纠正意见和建议的。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（2）不按规定报告、不如实向同级党委和上级纪委报告党风廉政建设重要情况、反映问题重要线索和严重腐败问题的。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（3）对自治区高校纪工委及柳州市纪委督办、交办的案件和反映问题线索，不及时组织调查处理的。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（4）对违反纪律和违反中央八项规定精神的行为发现后不制止、不查处，造成不良影响的。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（5）其他因工作失职、渎职，造成严重后果的。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3.学院业务职能部门（含二级教学管理部门）及其工作人员有下列情形之一的，对相关责任人进行严肃处理。</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（1）在业务工作监督过程中，发现违纪违规问题，不提出纠正意见和建议的。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（2）在业务工作监督过程中，发现违纪违规行为，不及时制止的。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（3）不如实向学院纪检监察部门报告违纪违规重要情况、反映问题重要线索和严重腐败问题的。</w:t>
      </w:r>
    </w:p>
    <w:p>
      <w:pPr>
        <w:pageBreakBefore w:val="0"/>
        <w:kinsoku/>
        <w:wordWrap/>
        <w:overflowPunct/>
        <w:topLinePunct w:val="0"/>
        <w:autoSpaceDE/>
        <w:autoSpaceDN/>
        <w:bidi w:val="0"/>
        <w:spacing w:line="550" w:lineRule="exact"/>
        <w:ind w:firstLine="640" w:firstLineChars="200"/>
        <w:jc w:val="left"/>
        <w:outlineLvl w:val="9"/>
        <w:rPr>
          <w:rFonts w:hint="eastAsia" w:ascii="仿宋" w:hAnsi="仿宋" w:eastAsia="仿宋" w:cs="仿宋"/>
          <w:bCs/>
          <w:color w:val="000000"/>
          <w:sz w:val="32"/>
          <w:szCs w:val="32"/>
        </w:rPr>
      </w:pPr>
      <w:r>
        <w:rPr>
          <w:rFonts w:hint="eastAsia" w:ascii="仿宋" w:hAnsi="仿宋" w:eastAsia="仿宋" w:cs="仿宋"/>
          <w:bCs/>
          <w:color w:val="000000"/>
          <w:sz w:val="32"/>
          <w:szCs w:val="32"/>
        </w:rPr>
        <w:t>（4）其他因业务监督工作失职、渎职，造成严重后果的。</w:t>
      </w:r>
    </w:p>
    <w:p>
      <w:pPr>
        <w:pageBreakBefore w:val="0"/>
        <w:kinsoku/>
        <w:wordWrap/>
        <w:overflowPunct/>
        <w:topLinePunct w:val="0"/>
        <w:autoSpaceDE/>
        <w:autoSpaceDN/>
        <w:bidi w:val="0"/>
        <w:outlineLvl w:val="9"/>
        <w:rPr>
          <w:rFonts w:hint="eastAsia" w:ascii="仿宋" w:hAnsi="仿宋" w:eastAsia="仿宋" w:cs="仿宋"/>
          <w:sz w:val="32"/>
          <w:szCs w:val="32"/>
        </w:rPr>
      </w:pPr>
      <w:r>
        <w:rPr>
          <w:rFonts w:hint="eastAsia" w:ascii="仿宋" w:hAnsi="仿宋" w:eastAsia="仿宋" w:cs="仿宋"/>
          <w:bCs/>
          <w:color w:val="000000"/>
          <w:sz w:val="32"/>
          <w:szCs w:val="32"/>
        </w:rPr>
        <w:t>本实施办法由学院纪委负责解释，自发布之日起施行。</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2098" w:right="1474" w:bottom="1985" w:left="1588" w:header="851" w:footer="992" w:gutter="0"/>
          <w:pgNumType w:fmt="decimal"/>
          <w:cols w:space="720" w:num="1"/>
          <w:titlePg/>
          <w:docGrid w:type="linesAndChars" w:linePitch="381"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83" w:name="_Toc534377739"/>
      <w:bookmarkStart w:id="84" w:name="_Toc27282"/>
      <w:bookmarkStart w:id="85" w:name="_Toc11563"/>
      <w:bookmarkStart w:id="86" w:name="_Toc29976"/>
      <w:r>
        <w:rPr>
          <w:rFonts w:hint="eastAsia" w:ascii="黑体" w:hAnsi="黑体" w:eastAsia="黑体" w:cs="黑体"/>
          <w:color w:val="000000"/>
          <w:kern w:val="2"/>
          <w:sz w:val="36"/>
          <w:szCs w:val="36"/>
        </w:rPr>
        <w:t>柳州职业技术学院校院两级领导班子</w:t>
      </w:r>
      <w:bookmarkEnd w:id="83"/>
      <w:bookmarkStart w:id="87" w:name="_Toc534377740"/>
      <w:r>
        <w:rPr>
          <w:rFonts w:hint="eastAsia" w:ascii="黑体" w:hAnsi="黑体" w:eastAsia="黑体" w:cs="黑体"/>
          <w:color w:val="000000"/>
          <w:kern w:val="2"/>
          <w:sz w:val="36"/>
          <w:szCs w:val="36"/>
        </w:rPr>
        <w:t>专题民主生活会制度（试行）</w:t>
      </w:r>
      <w:bookmarkEnd w:id="84"/>
      <w:bookmarkEnd w:id="85"/>
      <w:bookmarkEnd w:id="86"/>
      <w:bookmarkEnd w:id="87"/>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（柳职院党字〔2016〕27号）</w:t>
      </w:r>
    </w:p>
    <w:p>
      <w:pPr>
        <w:pageBreakBefore w:val="0"/>
        <w:kinsoku/>
        <w:wordWrap/>
        <w:overflowPunct/>
        <w:topLinePunct w:val="0"/>
        <w:autoSpaceDE/>
        <w:autoSpaceDN/>
        <w:bidi w:val="0"/>
        <w:spacing w:line="590" w:lineRule="exact"/>
        <w:jc w:val="center"/>
        <w:outlineLvl w:val="9"/>
        <w:rPr>
          <w:rFonts w:hint="eastAsia" w:ascii="仿宋" w:hAnsi="仿宋" w:eastAsia="仿宋" w:cs="仿宋"/>
          <w:b/>
          <w:sz w:val="32"/>
          <w:szCs w:val="32"/>
        </w:rPr>
      </w:pP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第一条 </w:t>
      </w:r>
      <w:r>
        <w:rPr>
          <w:rFonts w:hint="eastAsia" w:ascii="仿宋" w:hAnsi="仿宋" w:eastAsia="仿宋" w:cs="仿宋"/>
          <w:sz w:val="32"/>
          <w:szCs w:val="32"/>
        </w:rPr>
        <w:t>为健全党内民主生活制度，加强党内监督，使校、院两级领导班子民主生活会制度化、规范化，制定本制度。</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民主生活会原则上每年召开一次，根据需要可不定期召开。</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民主生活会的基本内容：</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（一）贯彻执行党的路线、方针、政策和决议的情况。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（二）加强领导班子自身建设，实行民主集中制的情况。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（三）艰苦奋斗，清正廉洁，遵纪守法的情况。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（四）坚持群众路线、改进工作作风、深入调查研究、密切联系群众的情况。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（五）上级党组织规定的内容和其他重要问题。</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学校党委书记、各基层党总支和直属党支部书记是开好本级领导班子民主生活会的第一责任人，并承担制定和落实领导班子整改措施的领导责任。</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召开民主生活会前要做好以下准备工作：</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找准党性党风党纪方面存在的突出问题，确定民主生活会的主题。民主生活会前，领导班子可以采取“群众提、自己找、上级点、互相帮”的方法，查找存在的突出问题。在此基础上，结合上级党组织当年对民主生活会的要求，确定民主生活会的主题。院级领导班子民主生活会的主题、开法和召开日期，应提前7天向学校党委组织部报告；校级领导班子民主生活会召开前，党委组织部要向上级主管部门报告。</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组织好会前学习，为开好民主生活会奠定思想基础。针对存在的主要问题，组织领导干部学习理论知识和党的有关文件。学习要发扬理论联系实际的学风，为对照检查、自我剖析和开展批评与自我批评做好准备。</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广泛征求群众意见，如实进行反馈。校级领导班子民主生活会由党委组织部通过召开座谈会等多种形式听取师生员工对校级领导班子和领导干部的意见和建议，并在会前将意见和建议反馈给校领导；院级领导班子民主生活会也要在适当范围内征求师生员工的意见和建议，对群众提出的意见归纳整理后由基层党组织负责人反馈给本人。</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撰写发言提纲，深刻进行自我剖析。领导班子每个成员都要根据民主生活会的主题和群众所提意见，认真准备发言提纲，着重检查在党性党风党纪方面和工作中存在的主要问题，检查廉洁自律情况，剖析思想根源；同时对其他成员提出批评意见，对领导班子存在的突出问题提出整改建议。</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开展谈心活动，坦诚交流思想。领导班子主要负责人要同班子的每个成员分别谈心，对其工作成绩予以肯定，同时指出存在问题；涉及领导班子成员之间的一些问题，要做好思想沟通工作。领导班子成员之间要互相谈心，增进了解，消除误会，加强团结。</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认真开展批评与自我批评，开好民主生活会。</w:t>
      </w: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r>
        <w:rPr>
          <w:rFonts w:hint="eastAsia" w:ascii="仿宋" w:hAnsi="仿宋" w:eastAsia="仿宋" w:cs="仿宋"/>
          <w:sz w:val="32"/>
          <w:szCs w:val="32"/>
        </w:rPr>
        <w:t>领导班子成员要按照民主生活会的主题和群众提出的意见，进行深刻的检查与认真的自我批评。属于领导班子集体的问题，由主要负责同志负责做出检查、做出说明；属于成员个人的问题，由本人做出回答。该说明情况的要把情况说清楚，是缺点错误的要做自我批评。坚决克服和纠正只谈思想，只讲成绩不讲缺点，或就事论事、敷衍了事的做法。民主生活会中，领导班子成员之间要实事求是地、认真地开展批评与自我批评。</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民主生活会后要抓好整改措施的制定和落实。</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（一）对群众反映的突出问题和会上检查出来的主要问题，要逐项研究，制定相应的整改措施。整改措施要明确具体，责任到人，落实到位。</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（二）民主生活会后，要在一定范围内向干部、群众通报有关情况和整改措施，接受群众监督。</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民主生活会后，各基层党组织应及时向党委组织部报送会议情况和民主生活会记录本复印件，报告的主要内容是领导班子发言提纲、会前征求意见情况、针对问题的整改方案或举措。校级领导班子民主生活情况由党委组织部及时报送上级主管部门。</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民主生活会尽可能安排在领导成员都能参加的时间召开。若确有困难，因故缺席人员的发言提纲可由主持人在会上代为宣读，会后由主持人及时向本人转告会议情况和批评意见。</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要加强对民主生活会的指导。党员校领导原则上应参加分管（联系）单位领导班子的民主生活会。二级学院党总支和直属支部的民主生活会的管理、指导，以学校纪委和学校党委组织部为主。</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第十条 </w:t>
      </w:r>
      <w:r>
        <w:rPr>
          <w:rFonts w:hint="eastAsia" w:ascii="仿宋" w:hAnsi="仿宋" w:eastAsia="仿宋" w:cs="仿宋"/>
          <w:sz w:val="32"/>
          <w:szCs w:val="32"/>
        </w:rPr>
        <w:t>本制度由党委组织部负责解释，自发布之日起施行。</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sectPr>
          <w:pgSz w:w="11906" w:h="16838"/>
          <w:pgMar w:top="2098" w:right="1474" w:bottom="1985" w:left="1588" w:header="851" w:footer="992" w:gutter="0"/>
          <w:pgNumType w:fmt="decimal"/>
          <w:cols w:space="720" w:num="1"/>
          <w:titlePg/>
          <w:docGrid w:type="linesAndChars" w:linePitch="381"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88" w:name="_Toc29689"/>
      <w:bookmarkStart w:id="89" w:name="_Toc15289"/>
      <w:bookmarkStart w:id="90" w:name="_Toc13744"/>
      <w:bookmarkStart w:id="91" w:name="_Toc31642"/>
      <w:r>
        <w:rPr>
          <w:rFonts w:hint="eastAsia" w:ascii="黑体" w:hAnsi="黑体" w:eastAsia="黑体" w:cs="黑体"/>
          <w:color w:val="000000"/>
          <w:kern w:val="2"/>
          <w:sz w:val="36"/>
          <w:szCs w:val="36"/>
        </w:rPr>
        <w:t>柳州职业技术学院落实党风廉政建设责任制考核办法（试行）</w:t>
      </w:r>
      <w:bookmarkEnd w:id="88"/>
      <w:bookmarkEnd w:id="89"/>
      <w:bookmarkEnd w:id="90"/>
      <w:bookmarkEnd w:id="91"/>
    </w:p>
    <w:p>
      <w:pPr>
        <w:pageBreakBefore w:val="0"/>
        <w:kinsoku/>
        <w:wordWrap/>
        <w:overflowPunct/>
        <w:topLinePunct w:val="0"/>
        <w:autoSpaceDE/>
        <w:autoSpaceDN/>
        <w:bidi w:val="0"/>
        <w:spacing w:line="590" w:lineRule="exact"/>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（柳职院党字〔2021〕23 号）</w:t>
      </w:r>
    </w:p>
    <w:p>
      <w:pPr>
        <w:pageBreakBefore w:val="0"/>
        <w:kinsoku/>
        <w:wordWrap/>
        <w:overflowPunct/>
        <w:topLinePunct w:val="0"/>
        <w:autoSpaceDE/>
        <w:autoSpaceDN/>
        <w:bidi w:val="0"/>
        <w:spacing w:line="590" w:lineRule="exact"/>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 xml:space="preserve"> 为进一步加强对学校党风廉政建设责任制贯彻执行情况的监督检查，促进学校各级领导班子和领导干部切实履行党风廉政建设职责，根据中共中央、国务院《关于实行党风廉政建设责任制的规定》（中发〔2010〕19号）、自治区党委《关于落实党风廉政建设主体责任和纪委监督责任的意见》（桂发〔2014〕19号）、学校党委《柳州职业技术学院党风廉政建设责任制实施办法》（柳职院党字〔2015〕8号）、《关于推进二级学院党风廉政建设的实施办法》（柳职院党字〔2020〕61号）等文件要求，结合我校实际，制定本办法。</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第二条  </w:t>
      </w:r>
      <w:r>
        <w:rPr>
          <w:rFonts w:hint="eastAsia" w:ascii="仿宋" w:hAnsi="仿宋" w:eastAsia="仿宋" w:cs="仿宋"/>
          <w:sz w:val="32"/>
          <w:szCs w:val="32"/>
        </w:rPr>
        <w:t>考核对象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本办法适用于学校二级部门中层领导班子及其班子成员。校级领导班子及其班子成员的考核，按规定由上级党组织负责组织实施。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第三条  </w:t>
      </w:r>
      <w:r>
        <w:rPr>
          <w:rFonts w:hint="eastAsia" w:ascii="仿宋" w:hAnsi="仿宋" w:eastAsia="仿宋" w:cs="仿宋"/>
          <w:sz w:val="32"/>
          <w:szCs w:val="32"/>
        </w:rPr>
        <w:t>考核原则</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（一）突出重点、分类考核</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（二）客观公正、奖惩严明</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（三）年终考核与平时检查相结合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（四）定性考核与定量考核相结合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组织领导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学校成立由党委书记、校长任组长，纪委书记任副组长，其他校级领导为成员的党风廉政建设责任制考核领导小组（以下简称考核领导小组）。学校党风廉政建设责任制考核工作在考核领导小组的统一领导下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（二）考核领导小组办公室设在纪委办公室（监察室），具体负责考核工作的组织协调。</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（三）组建廉政建设责任制考核工作组（以下简称考核工作组）具体负责考核工作实施，成员由党委办公室、党委组织部、党委宣传部、纪委办公室（监察室）等部门主要负责人组成。</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 xml:space="preserve"> 考核内容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（一）责任落实方面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1.中层领导班子履行党风廉政建设职责的情况；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2.中层领导班子正职对党风廉政建设负总责的情况；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3.中层领导班子成员对党风廉政建设各负其责的情况；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4.支持学校纪检监察部门开展监督执纪问责等情况。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（二）工作落实方面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1.将党风廉政建设纳入日常业务工作情况；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2.党风廉政建设教育相关工作开展的情况；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3.党风廉政制度建设特别是执行相关制度的情况；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4.重点领域、关键环节廉政风险防控的情况；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5.着力解决教职工、学生反映的热点、难点问题的情况；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6.学校年度党风廉政建设重点工作任务完成的情况。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（三）干部廉洁自律等方面情况。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（四）其他需要考核的事项。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第六条  </w:t>
      </w:r>
      <w:r>
        <w:rPr>
          <w:rFonts w:hint="eastAsia" w:ascii="仿宋" w:hAnsi="仿宋" w:eastAsia="仿宋" w:cs="仿宋"/>
          <w:sz w:val="32"/>
          <w:szCs w:val="32"/>
        </w:rPr>
        <w:t>考核方式</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考核采用自查自评和现场考评相结合的方式进行。每年年底组织开展一次，一般与学校党建工作考核、中层干部考核等工作结合进行，也可组织专门检查考核。</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第七条  </w:t>
      </w:r>
      <w:r>
        <w:rPr>
          <w:rFonts w:hint="eastAsia" w:ascii="仿宋" w:hAnsi="仿宋" w:eastAsia="仿宋" w:cs="仿宋"/>
          <w:sz w:val="32"/>
          <w:szCs w:val="32"/>
        </w:rPr>
        <w:t>考核程序</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（一）自查自评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考核对象对照《柳州职业技术学院党风廉政建设责任制实施办法》、《柳州职业技术学院党风廉政建设责任制考核办法（试行）》等相关要求进行自评，并撰写自评报告，报送纪委办公室（监察室）。</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（二）现场考评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由纪委办公室（监察室）组织考核工作组，根据年度考核指标（具体见附件1、2）分别对各二级部门领导班子及成员落实党风廉政建设责任制情况进行现场考评，主要程序如下：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1.召开会议。被考核部门召开全体会议，党政主要负责人向会议报告本部门落实党风廉政建设责任制的情况，领导班子成员报告个人执行党风廉政建设责任制情况。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2.民主测评。对部门领导班子及领导班子成员进行民主测评。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3.个别谈话。与被考核部门领导班子成员、部分干部职工进行个别谈话。</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4.查阅资料。对被考核部门党风廉政建设日常工作情况进行核实查验。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5.实地查看。对考核部门党风廉政建设特色工作进行实地查看。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第八条  </w:t>
      </w:r>
      <w:r>
        <w:rPr>
          <w:rFonts w:hint="eastAsia" w:ascii="仿宋" w:hAnsi="仿宋" w:eastAsia="仿宋" w:cs="仿宋"/>
          <w:sz w:val="32"/>
          <w:szCs w:val="32"/>
        </w:rPr>
        <w:t>考核结果确定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（一）对考核的结果进行量化计分，总分为100分。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（二）根据考核的情况，评定为优秀（得分≥90）、合格（70≤得分＜90）、基本合格（60≤得分＜70）和不合格（＜60）四个等次，考核结果报学校党委审定。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（三）存在以下情形之一者，直接评定为不合格。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1.本部门发生重大的违法违纪案件，给学校造成重大损失的；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2.本部门党员干部严重违反党纪政纪规定，受到撤销党内职务或降级、撤职以上党纪政纪处分的；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 xml:space="preserve">3.存在其他严重违反党纪政纪的问题。 </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第九条  </w:t>
      </w:r>
      <w:r>
        <w:rPr>
          <w:rFonts w:hint="eastAsia" w:ascii="仿宋" w:hAnsi="仿宋" w:eastAsia="仿宋" w:cs="仿宋"/>
          <w:sz w:val="32"/>
          <w:szCs w:val="32"/>
        </w:rPr>
        <w:t>考核结果运用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1.年度考核结果在全校通报。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2.实行一票否决制。年度考核不合格的，取消该二级部门领导班子及其班子成员当年各类评优评先资格。由学校纪委对该部门领导班子进行约谈提醒，并追究相关责任人的责任。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3.考核结果报学校党委组织部备案，并作为二级部门综合评价、干部考核使用、评优评先的重要依据。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 xml:space="preserve">第十条  </w:t>
      </w:r>
      <w:r>
        <w:rPr>
          <w:rFonts w:hint="eastAsia" w:ascii="仿宋" w:hAnsi="仿宋" w:eastAsia="仿宋" w:cs="仿宋"/>
          <w:sz w:val="32"/>
          <w:szCs w:val="32"/>
        </w:rPr>
        <w:t>附则</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1.本办法由纪委办公室（监察室）负责解释，自公布之日起实施。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2.2016年6月22日印发的《柳州职业技术学院落实党风廉政建设责任制检查考核实施暂行办法》（柳职院党字〔2016〕16 号）同时废止。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附件：1.柳州职业技术学院落实党风廉政建设责任制考核</w:t>
      </w:r>
    </w:p>
    <w:p>
      <w:pPr>
        <w:pageBreakBefore w:val="0"/>
        <w:kinsoku/>
        <w:wordWrap/>
        <w:overflowPunct/>
        <w:topLinePunct w:val="0"/>
        <w:autoSpaceDE/>
        <w:autoSpaceDN/>
        <w:bidi w:val="0"/>
        <w:spacing w:line="596" w:lineRule="exact"/>
        <w:ind w:firstLine="1920" w:firstLineChars="600"/>
        <w:outlineLvl w:val="9"/>
        <w:rPr>
          <w:rFonts w:hint="eastAsia" w:ascii="仿宋" w:hAnsi="仿宋" w:eastAsia="仿宋" w:cs="仿宋"/>
          <w:sz w:val="32"/>
          <w:szCs w:val="32"/>
        </w:rPr>
      </w:pPr>
      <w:r>
        <w:rPr>
          <w:rFonts w:hint="eastAsia" w:ascii="仿宋" w:hAnsi="仿宋" w:eastAsia="仿宋" w:cs="仿宋"/>
          <w:sz w:val="32"/>
          <w:szCs w:val="32"/>
        </w:rPr>
        <w:t>指标（二级学院）</w:t>
      </w:r>
    </w:p>
    <w:p>
      <w:pPr>
        <w:pageBreakBefore w:val="0"/>
        <w:kinsoku/>
        <w:wordWrap/>
        <w:overflowPunct/>
        <w:topLinePunct w:val="0"/>
        <w:autoSpaceDE/>
        <w:autoSpaceDN/>
        <w:bidi w:val="0"/>
        <w:spacing w:line="596" w:lineRule="exact"/>
        <w:ind w:firstLine="1600" w:firstLineChars="500"/>
        <w:outlineLvl w:val="9"/>
        <w:rPr>
          <w:rFonts w:hint="eastAsia" w:ascii="仿宋" w:hAnsi="仿宋" w:eastAsia="仿宋" w:cs="仿宋"/>
          <w:sz w:val="32"/>
          <w:szCs w:val="32"/>
        </w:rPr>
      </w:pPr>
      <w:r>
        <w:rPr>
          <w:rFonts w:hint="eastAsia" w:ascii="仿宋" w:hAnsi="仿宋" w:eastAsia="仿宋" w:cs="仿宋"/>
          <w:sz w:val="32"/>
          <w:szCs w:val="32"/>
        </w:rPr>
        <w:t>2.柳州职业技术学院落实党风廉政建设责任制考核</w:t>
      </w:r>
    </w:p>
    <w:p>
      <w:pPr>
        <w:pageBreakBefore w:val="0"/>
        <w:kinsoku/>
        <w:wordWrap/>
        <w:overflowPunct/>
        <w:topLinePunct w:val="0"/>
        <w:autoSpaceDE/>
        <w:autoSpaceDN/>
        <w:bidi w:val="0"/>
        <w:spacing w:line="596" w:lineRule="exact"/>
        <w:ind w:firstLine="1920" w:firstLineChars="600"/>
        <w:outlineLvl w:val="9"/>
        <w:rPr>
          <w:rFonts w:hint="eastAsia" w:ascii="仿宋" w:hAnsi="仿宋" w:eastAsia="仿宋" w:cs="仿宋"/>
          <w:sz w:val="32"/>
          <w:szCs w:val="32"/>
        </w:rPr>
      </w:pPr>
      <w:r>
        <w:rPr>
          <w:rFonts w:hint="eastAsia" w:ascii="仿宋" w:hAnsi="仿宋" w:eastAsia="仿宋" w:cs="仿宋"/>
          <w:sz w:val="32"/>
          <w:szCs w:val="32"/>
        </w:rPr>
        <w:t>指标（党政、教辅部门）</w:t>
      </w: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sectPr>
          <w:pgSz w:w="11906" w:h="16838"/>
          <w:pgMar w:top="2098" w:right="1474" w:bottom="1985" w:left="1588" w:header="851" w:footer="992" w:gutter="0"/>
          <w:pgNumType w:fmt="decimal"/>
          <w:cols w:space="720" w:num="1"/>
          <w:titlePg/>
          <w:docGrid w:type="linesAndChars" w:linePitch="381" w:charSpace="0"/>
        </w:sect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t>附件1：</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color w:val="000000"/>
          <w:sz w:val="32"/>
          <w:szCs w:val="32"/>
        </w:rPr>
        <w:t>柳州职业技术学院落实党风廉政建设责任制考核指标（二级学院）</w:t>
      </w:r>
    </w:p>
    <w:tbl>
      <w:tblPr>
        <w:tblStyle w:val="17"/>
        <w:tblW w:w="146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268"/>
        <w:gridCol w:w="9213"/>
        <w:gridCol w:w="70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74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一级指标</w:t>
            </w:r>
          </w:p>
        </w:tc>
        <w:tc>
          <w:tcPr>
            <w:tcW w:w="226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二级指标</w:t>
            </w:r>
          </w:p>
        </w:tc>
        <w:tc>
          <w:tcPr>
            <w:tcW w:w="9213"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考核要素</w:t>
            </w:r>
          </w:p>
        </w:tc>
        <w:tc>
          <w:tcPr>
            <w:tcW w:w="702"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自评</w:t>
            </w:r>
          </w:p>
        </w:tc>
        <w:tc>
          <w:tcPr>
            <w:tcW w:w="709"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1.加强组织领导，明确主体责任</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（24分）</w:t>
            </w:r>
          </w:p>
        </w:tc>
        <w:tc>
          <w:tcPr>
            <w:tcW w:w="226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1.1加强政治理论学习（6分）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1.1.1结合实际制定本学院年度理论学习计划，定期组织开展政治理论学习，教育引导广大党员干部牢固树立“四个意识”，坚定“四个自信”，做到“两个维护”。（6分）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1.2明确二级学院领导班子主体责任（6分）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1.2.1根据学校关于党风廉政建设工作的部署、要求和本部门的实际情况，将党风廉政建设工作纳入本学院年度工作计划，有举措、有执行、有总结。（3分）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1.2.2 领导班子成员根据工作分工，认真落实党风廉政建设“一岗双责”。 （3分）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1.3强化二级学院工作责任</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1.3.1将党风廉政建设工作列入本学院党政联席会议重要议程，每年专题研究党风廉政工作不少于2次。（4分）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1.3.2每年党总支书记带头主讲廉政党课不少于2次。（4分）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1.3.3按要求召开民主生活会，领导班子成员在民主生活会上主动报告“一岗双责”落实情况和本人廉洁自律情况。（4分）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74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2.强化制度建设，严格规范监管（28分）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2.1坚持“三重一大”集体决策制度</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2.1.1 制定本学院党政联席会议议事规则，严格执行“三重一大”问题经党政联席会议集体决定制度。（4分）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2.2.2 严格党政联席会议纪要制度，做好会议记录，存档备查。（4分）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 严守廉洁自律各项规定</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2.2.1持之以恒落实中央八项规定精神，坚决纠正“四风”，本学院年内无“四风”问题。（4分）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2.2.2加强党员干部作风、师德师风建设，不断净化优化校风、教风、学风。本学院年内无违反 “师德师风”问题。（4分）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2.2.3坚决查处发生在师生身边的以权谋私问题，切实纠正损害群众利益的不正之风，本学院年内无损害群众利益问题。（4分）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2.2.4严格执行财务、采购等制度，本学院年内无违反财经纪律问题。（4分）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2.2.5严肃规范学术行为，本学院年内无学术不端问题。（4分）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174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3.突出思想教育，构筑思想防线（24分）</w:t>
            </w: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3.1 加强党风廉政和反腐倡廉教育</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3.1.1 建立健全常态化党风廉政和反腐倡廉教育机制，全年组织教职工党风廉政学习教育活动不少于2次。（4分）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3.1.2 加强对重点岗位工作人员的廉政教育，按照廉政约谈工作要求，每年廉政约谈不少于2次。（4分）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 加强廉政文化建设（16分）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3.2.1 参加学校勤廉榜样选评活动，推荐勤廉榜样不少于1人。（4分）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3.2.2 参加“清风柳职”廉政作品征集活动，选送作品不少于4份。 （4分）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3.2.3 结合本学院专业特色，开展“一院一精品”廉政文化品牌创建活动，打造具有本学院特色的廉政文化品牌，有方案、有部署、有执行、有成效、有总结。（8分）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jc w:val="center"/>
        </w:trPr>
        <w:tc>
          <w:tcPr>
            <w:tcW w:w="174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4.完善监督机制和保障机制</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（24分）</w:t>
            </w:r>
          </w:p>
        </w:tc>
        <w:tc>
          <w:tcPr>
            <w:tcW w:w="226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4.1推进廉政风险防控机制建设</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4.1.1认真查找本学院重点领域关键岗位廉政风险点并制定相应的防控措施。（6分）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4.1.2认真落实廉政风险防控措施，建立长效机制。（4分）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4.2纪检委员履行监督责任（6分）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4.2.1 党总支纪检委员按要求参加（或列席）本学院党政联席会议。（3分）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4.2.2 参加学校纪委召开的有关会议和培训，完成学校纪委交办的有关工作（3分）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jc w:val="center"/>
        </w:trPr>
        <w:tc>
          <w:tcPr>
            <w:tcW w:w="174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26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4.3支持党委委员、纪委委员开展联系工作（8分）</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4.3.1 积极配合本学院联系点的党委委员开展联系工作，党委委员为联系点的党员干部每年做1次廉政教育报告。</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4.3.2 积极配合本学院联系点纪委委员开展联系工作，纪委委员每年走访、调研或参加廉政主题教育活动不少于1次。（4分）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400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 扣分项（视违规违纪受处分情形进行累计）</w:t>
            </w:r>
          </w:p>
        </w:tc>
        <w:tc>
          <w:tcPr>
            <w:tcW w:w="921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5.1本学院教职员工、党员干部受到提醒谈话、通报批评、诫勉谈话及受到撤销党内职务或降级、撤职以下处分的，每起分别减2、4、6、8分。</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3221" w:type="dxa"/>
            <w:gridSpan w:val="3"/>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合   计</w:t>
            </w:r>
          </w:p>
        </w:tc>
        <w:tc>
          <w:tcPr>
            <w:tcW w:w="702"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c>
          <w:tcPr>
            <w:tcW w:w="709" w:type="dxa"/>
            <w:vAlign w:val="center"/>
          </w:tcPr>
          <w:p>
            <w:pPr>
              <w:pageBreakBefore w:val="0"/>
              <w:kinsoku/>
              <w:wordWrap/>
              <w:overflowPunct/>
              <w:topLinePunct w:val="0"/>
              <w:autoSpaceDE/>
              <w:autoSpaceDN/>
              <w:bidi w:val="0"/>
              <w:jc w:val="center"/>
              <w:outlineLvl w:val="9"/>
              <w:rPr>
                <w:rFonts w:hint="eastAsia" w:ascii="仿宋" w:hAnsi="仿宋" w:eastAsia="仿宋" w:cs="仿宋"/>
                <w:b/>
                <w:bCs/>
                <w:sz w:val="28"/>
                <w:szCs w:val="28"/>
              </w:rPr>
            </w:pPr>
          </w:p>
        </w:tc>
      </w:tr>
    </w:tbl>
    <w:p>
      <w:pPr>
        <w:pageBreakBefore w:val="0"/>
        <w:kinsoku/>
        <w:wordWrap/>
        <w:overflowPunct/>
        <w:topLinePunct w:val="0"/>
        <w:autoSpaceDE/>
        <w:autoSpaceDN/>
        <w:bidi w:val="0"/>
        <w:spacing w:line="480" w:lineRule="exact"/>
        <w:jc w:val="left"/>
        <w:outlineLvl w:val="9"/>
        <w:rPr>
          <w:rFonts w:hint="eastAsia" w:ascii="仿宋" w:hAnsi="仿宋" w:eastAsia="仿宋" w:cs="仿宋"/>
          <w:sz w:val="32"/>
          <w:szCs w:val="32"/>
        </w:rPr>
      </w:pPr>
      <w:r>
        <w:rPr>
          <w:rFonts w:hint="eastAsia" w:ascii="仿宋" w:hAnsi="仿宋" w:eastAsia="仿宋" w:cs="仿宋"/>
          <w:sz w:val="32"/>
          <w:szCs w:val="32"/>
        </w:rPr>
        <w:t>附件2：</w:t>
      </w:r>
    </w:p>
    <w:p>
      <w:pPr>
        <w:pageBreakBefore w:val="0"/>
        <w:kinsoku/>
        <w:wordWrap/>
        <w:overflowPunct/>
        <w:topLinePunct w:val="0"/>
        <w:autoSpaceDE/>
        <w:autoSpaceDN/>
        <w:bidi w:val="0"/>
        <w:jc w:val="center"/>
        <w:outlineLvl w:val="9"/>
        <w:rPr>
          <w:rFonts w:hint="eastAsia" w:ascii="仿宋" w:hAnsi="仿宋" w:eastAsia="仿宋" w:cs="仿宋"/>
          <w:b/>
          <w:sz w:val="32"/>
          <w:szCs w:val="32"/>
        </w:rPr>
      </w:pPr>
      <w:r>
        <w:rPr>
          <w:rFonts w:hint="eastAsia" w:ascii="仿宋" w:hAnsi="仿宋" w:eastAsia="仿宋" w:cs="仿宋"/>
          <w:b/>
          <w:sz w:val="32"/>
          <w:szCs w:val="32"/>
        </w:rPr>
        <w:t xml:space="preserve"> 柳州职业技术学院落实党风廉政建设责任制考核指标（党政、教辅部门）</w:t>
      </w:r>
    </w:p>
    <w:tbl>
      <w:tblPr>
        <w:tblStyle w:val="17"/>
        <w:tblW w:w="143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2693"/>
        <w:gridCol w:w="86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159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一级指标</w:t>
            </w: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二级指标</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考核要素</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自评</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得分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考核</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59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1.落实两个责任</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（25分）</w:t>
            </w: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1.1加强政治理论学习</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1.1.1结合实际制定本部门年度理论学习计划，定期组织开展政治理论学习，教育引导广大党员干部牢固树立“四个意识”，坚定“四个自信”，做到“两个维护”。（5分）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1.2部门负责人履行党风廉政建设工作第一责任人责任（10分）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1.2.1根据学校关于党风廉政建设工作的部署、要求和本部门的实际情况，将党风廉政建设工作纳入本部门年度工作计划，有举措、有执行、有总结。（5分）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1.2.2将党风廉政建设工作列入部门会议重要议程，每年专题研究党风廉政工作不少于2次。（5分）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1.3班子成员依据工作分工履行“一岗双责”（10分）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1.3.1 班子成员依据分工认真落实分管工作，同时开展党风廉政建设。（5分）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1.3.2班子成员对分管的工作进行日常监督、跟踪督促落实到位。（5分）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59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2.作风建设工作</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（30分）</w:t>
            </w:r>
          </w:p>
        </w:tc>
        <w:tc>
          <w:tcPr>
            <w:tcW w:w="2693"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 巩固拓展落实中央八项规定精神成果</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2.1.1持之以恒落实中央八项规定精神，坚决纠正“四风”，本部门无“四风”问题。（5分）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2.1.2加强党员干部作风、师德师风建设，不断净化优化校风、教风、学风，本部门无违反“师德师风”问题。（5分）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2.1.3切实纠正损害群众利益的不正之风，坚决查处发生在师生身边的以权谋私问题，本部门无损害群众利益问题。（5分）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2.1.4严格执行财务、采购等制度，本部门年内无违反财经纪律问题。（5分）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 严格执行重大问题请示报告制度（10分）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2.2.1 严格执行领导干部个人有关事项报告制度，副处级以上干部严格按要求报告个人有关事项。（5分）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2.2.2 严格执行廉政档案制度，中层干部严格按要求填写个人廉政档案。（5分）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59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3.廉政教育（20分）</w:t>
            </w: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3.1党纪党规、法律法规的学习教育（5分）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3.1.1广泛深入开展党性党风党纪教育和廉洁自律教育，教育引导党员干部自觉遵守党的政治纪律、组织纪律、廉洁纪律、群众纪律、工作纪律和生活纪律，自觉做到“廉洁从政”，全年组织本部门教职工党风廉政学习教育不少于2次（5分）  </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3.2谈话提醒工作（5分）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3.2.1按照要求做好廉政约谈工作，对发现的苗头性、倾向性问题及时提醒，中层干部每年开展约谈活动不少于2次。（5分）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3.3廉政文化建设（10分）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3.4.1参加学校勤廉榜样选评活动，推荐勤廉榜样不少于1人。（5分）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3.4.2 参加“清风柳职”廉政作品征集活动，选送作品不少于1份。（5分）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59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 完善监督机制</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（25分）</w:t>
            </w: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4.1廉政风险防控机制建设（20分）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4.1.1认真排查本部门重点环节关键岗位廉政风险点并制定相应的防控措施。 （10分）</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4.1.2 认真落实廉政风险防控措施，建立长效机制。（10分）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jc w:val="center"/>
        </w:trPr>
        <w:tc>
          <w:tcPr>
            <w:tcW w:w="159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269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4.2支持纪委委员开展联系工作（5分）</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4.2.1积极配合本部门联系点纪委委员开展联系工作，纪委委员每年走访、调研或参加廉政主题教育活动不少于1次。（5分）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2900" w:type="dxa"/>
            <w:gridSpan w:val="3"/>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小计</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4291"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 扣分项（视违规违纪受处分情形进行累计）</w:t>
            </w:r>
          </w:p>
        </w:tc>
        <w:tc>
          <w:tcPr>
            <w:tcW w:w="86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5.1 受到提醒谈话、通报批评、诫勉谈话及受到撤销党内职务或降级、撤职以下处分的，每起分别减2、4、6、8分。</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2900" w:type="dxa"/>
            <w:gridSpan w:val="3"/>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合   计</w:t>
            </w: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709"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r>
    </w:tbl>
    <w:p>
      <w:pPr>
        <w:pageBreakBefore w:val="0"/>
        <w:kinsoku/>
        <w:wordWrap/>
        <w:overflowPunct/>
        <w:topLinePunct w:val="0"/>
        <w:autoSpaceDE/>
        <w:autoSpaceDN/>
        <w:bidi w:val="0"/>
        <w:spacing w:line="596" w:lineRule="exact"/>
        <w:jc w:val="center"/>
        <w:outlineLvl w:val="9"/>
        <w:rPr>
          <w:rFonts w:hint="eastAsia" w:ascii="仿宋" w:hAnsi="仿宋" w:eastAsia="仿宋" w:cs="仿宋"/>
          <w:spacing w:val="8"/>
          <w:sz w:val="32"/>
          <w:szCs w:val="32"/>
        </w:rPr>
      </w:pPr>
    </w:p>
    <w:p>
      <w:pPr>
        <w:pageBreakBefore w:val="0"/>
        <w:widowControl/>
        <w:kinsoku/>
        <w:wordWrap/>
        <w:overflowPunct/>
        <w:topLinePunct w:val="0"/>
        <w:autoSpaceDE/>
        <w:autoSpaceDN/>
        <w:bidi w:val="0"/>
        <w:jc w:val="left"/>
        <w:outlineLvl w:val="9"/>
        <w:rPr>
          <w:rFonts w:hint="eastAsia" w:ascii="仿宋" w:hAnsi="仿宋" w:eastAsia="仿宋" w:cs="仿宋"/>
          <w:b/>
          <w:color w:val="000000"/>
          <w:sz w:val="32"/>
          <w:szCs w:val="32"/>
        </w:rPr>
        <w:sectPr>
          <w:pgSz w:w="16838" w:h="11906" w:orient="landscape"/>
          <w:pgMar w:top="1587" w:right="2098" w:bottom="1474" w:left="1984" w:header="851" w:footer="992" w:gutter="0"/>
          <w:pgNumType w:fmt="decimal"/>
          <w:cols w:space="425" w:num="1"/>
          <w:docGrid w:type="lines" w:linePitch="381" w:charSpace="0"/>
        </w:sectPr>
      </w:pPr>
      <w:r>
        <w:rPr>
          <w:rFonts w:hint="eastAsia" w:ascii="仿宋" w:hAnsi="仿宋" w:eastAsia="仿宋" w:cs="仿宋"/>
          <w:spacing w:val="8"/>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92" w:name="_Toc25030"/>
      <w:bookmarkStart w:id="93" w:name="_Toc22184"/>
      <w:bookmarkStart w:id="94" w:name="_Toc5726"/>
      <w:r>
        <w:rPr>
          <w:rFonts w:hint="eastAsia" w:ascii="黑体" w:hAnsi="黑体" w:eastAsia="黑体" w:cs="黑体"/>
          <w:color w:val="000000"/>
          <w:kern w:val="2"/>
          <w:sz w:val="36"/>
          <w:szCs w:val="36"/>
        </w:rPr>
        <w:t>柳州职业技术学院校院两级领导班子专题民主生活会制度（试行）</w:t>
      </w:r>
      <w:bookmarkEnd w:id="92"/>
      <w:bookmarkEnd w:id="93"/>
      <w:bookmarkEnd w:id="94"/>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（柳职院党字〔2016〕27号）</w:t>
      </w:r>
    </w:p>
    <w:p>
      <w:pPr>
        <w:pageBreakBefore w:val="0"/>
        <w:kinsoku/>
        <w:wordWrap/>
        <w:overflowPunct/>
        <w:topLinePunct w:val="0"/>
        <w:autoSpaceDE/>
        <w:autoSpaceDN/>
        <w:bidi w:val="0"/>
        <w:spacing w:line="590" w:lineRule="exact"/>
        <w:jc w:val="center"/>
        <w:outlineLvl w:val="9"/>
        <w:rPr>
          <w:rFonts w:hint="eastAsia" w:ascii="仿宋" w:hAnsi="仿宋" w:eastAsia="仿宋" w:cs="仿宋"/>
          <w:b/>
          <w:sz w:val="32"/>
          <w:szCs w:val="32"/>
        </w:rPr>
      </w:pP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第一条 </w:t>
      </w:r>
      <w:r>
        <w:rPr>
          <w:rFonts w:hint="eastAsia" w:ascii="仿宋" w:hAnsi="仿宋" w:eastAsia="仿宋" w:cs="仿宋"/>
          <w:sz w:val="32"/>
          <w:szCs w:val="32"/>
        </w:rPr>
        <w:t>为健全党内民主生活制度，加强党内监督，使校、院两级领导班子民主生活会制度化、规范化，制定本制度。</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民主生活会原则上每年召开一次，根据需要可不定期召开。</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民主生活会的基本内容：</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（一）贯彻执行党的路线、方针、政策和决议的情况。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（二）加强领导班子自身建设，实行民主集中制的情况。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（三）艰苦奋斗，清正廉洁，遵纪守法的情况。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（四）坚持群众路线、改进工作作风、深入调查研究、密切联系群众的情况。</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（五）上级党组织规定的内容和其他重要问题。</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学校党委书记、各基层党总支和直属党支部书记是开好本级领导班子民主生活会的第一责任人，并承担制定和落实领导班子整改措施的领导责任。</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召开民主生活会前要做好以下准备工作：</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找准党性党风党纪方面存在的突出问题，确定民主生活会的主题。民主生活会前，领导班子可以采取“群众提、自己找、上级点、互相帮”的方法，查找存在的突出问题。在此基础上，结合上级党组织当年对民主生活会的要求，确定民主生活会的主题。院级领导班子民主生活会的主题、开法和召开日期，应提前7天向学校党委组织部报告；校级领导班子民主生活会召开前，党委组织部要向上级主管部门报告。</w:t>
      </w:r>
    </w:p>
    <w:p>
      <w:pPr>
        <w:pageBreakBefore w:val="0"/>
        <w:kinsoku/>
        <w:wordWrap/>
        <w:overflowPunct/>
        <w:topLinePunct w:val="0"/>
        <w:autoSpaceDE/>
        <w:autoSpaceDN/>
        <w:bidi w:val="0"/>
        <w:spacing w:line="590" w:lineRule="exact"/>
        <w:ind w:firstLine="480" w:firstLineChars="150"/>
        <w:outlineLvl w:val="9"/>
        <w:rPr>
          <w:rFonts w:hint="eastAsia" w:ascii="仿宋" w:hAnsi="仿宋" w:eastAsia="仿宋" w:cs="仿宋"/>
          <w:sz w:val="32"/>
          <w:szCs w:val="32"/>
        </w:rPr>
      </w:pPr>
      <w:r>
        <w:rPr>
          <w:rFonts w:hint="eastAsia" w:ascii="仿宋" w:hAnsi="仿宋" w:eastAsia="仿宋" w:cs="仿宋"/>
          <w:sz w:val="32"/>
          <w:szCs w:val="32"/>
        </w:rPr>
        <w:t>（二）组织好会前学习，为开好民主生活会奠定思想基础。针对存在的主要问题，组织领导干部学习理论知识和党的有关文件。学习要发扬理论联系实际的学风，为对照检查、自我剖析和开展批评与自我批评做好准备。</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广泛征求群众意见，如实进行反馈。校级领导班子民主生活会由党委组织部通过召开座谈会等多种形式听取师生员工对校级领导班子和领导干部的意见和建议，并在会前将意见和建议反馈给校领导；院级领导班子民主生活会也要在适当范围内征求师生员工的意见和建议，对群众提出的意见归纳整理后由基层党组织负责人反馈给本人。</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撰写发言提纲，深刻进行自我剖析。领导班子每个成员都要根据民主生活会的主题和群众所提意见，认真准备发言提纲，着重检查在党性党风党纪方面和工作中存在的主要问题，检查廉洁自律情况，剖析思想根源；同时对其他成员提出批评意见，对领导班子存在的突出问题提出整改建议。</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开展谈心活动，坦诚交流思想。领导班子主要负责人要同班子的每个成员分别谈心，对其工作成绩予以肯定，同时指出存在问题；涉及领导班子成员之间的一些问题，要做好思想沟通工作。领导班子成员之间要互相谈心，增进了解，消除误会，加强团结。</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xml:space="preserve"> 认真开展批评与自我批评，开好民主生活会。</w:t>
      </w: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r>
        <w:rPr>
          <w:rFonts w:hint="eastAsia" w:ascii="仿宋" w:hAnsi="仿宋" w:eastAsia="仿宋" w:cs="仿宋"/>
          <w:sz w:val="32"/>
          <w:szCs w:val="32"/>
        </w:rPr>
        <w:t>领导班子成员要按照民主生活会的主题和群众提出的意见，进行深刻的检查与认真的自我批评。属于领导班子集体的问题，由主要负责同志负责做出检查、做出说明；属于成员个人的问题，由本人做出回答。该说明情况的要把情况说清楚，是缺点错误的要做自我批评。坚决克服和纠正只谈思想，只讲成绩不讲缺点，或就事论事、敷衍了事的做法。民主生活会中，领导班子成员之间要实事求是地、认真地开展批评与自我批评。</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xml:space="preserve"> 民主生活会后要抓好整改措施的制定和落实。</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（一）对群众反映的突出问题和会上检查出来的主要问题，要逐项研究，制定相应的整改措施。整改措施要明确具体，责任到人，落实到位。</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（二）民主生活会后，要在一定范围内向干部、群众通报有关情况和整改措施，接受群众监督。</w:t>
      </w:r>
    </w:p>
    <w:p>
      <w:pPr>
        <w:pageBreakBefore w:val="0"/>
        <w:kinsoku/>
        <w:wordWrap/>
        <w:overflowPunct/>
        <w:topLinePunct w:val="0"/>
        <w:autoSpaceDE/>
        <w:autoSpaceDN/>
        <w:bidi w:val="0"/>
        <w:spacing w:line="59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民主生活会后，各基层党组织应及时向党委组织部报送会议情况和民主生活会记录本复印件，报告的主要内容是领导班子发言提纲、会前征求意见情况、针对问题的整改方案或举措。校级领导班子民主生活情况由党委组织部及时报送上级主管部门。</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xml:space="preserve"> 民主生活会尽可能安排在领导成员都能参加的时间召开。若确有困难，因故缺席人员的发言提纲可由主持人在会上代为宣读，会后由主持人及时向本人转告会议情况和批评意见。</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xml:space="preserve"> 要加强对民主生活会的指导。党员校领导原则上应参加分管（联系）单位领导班子的民主生活会。二级学院党总支和直属支部的民主生活会的管理、指导，以学校纪委和学校党委组织部为主。</w:t>
      </w:r>
    </w:p>
    <w:p>
      <w:pPr>
        <w:pageBreakBefore w:val="0"/>
        <w:kinsoku/>
        <w:wordWrap/>
        <w:overflowPunct/>
        <w:topLinePunct w:val="0"/>
        <w:autoSpaceDE/>
        <w:autoSpaceDN/>
        <w:bidi w:val="0"/>
        <w:spacing w:line="59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 xml:space="preserve">第十条 </w:t>
      </w:r>
      <w:r>
        <w:rPr>
          <w:rFonts w:hint="eastAsia" w:ascii="仿宋" w:hAnsi="仿宋" w:eastAsia="仿宋" w:cs="仿宋"/>
          <w:sz w:val="32"/>
          <w:szCs w:val="32"/>
        </w:rPr>
        <w:t>本制度由党委组织部负责解释，自发布之日起施行。</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95" w:name="_Toc19892"/>
      <w:bookmarkStart w:id="96" w:name="_Toc29783"/>
      <w:bookmarkStart w:id="97" w:name="_Toc24117"/>
      <w:bookmarkStart w:id="98" w:name="_Toc3937"/>
      <w:r>
        <w:rPr>
          <w:rFonts w:hint="eastAsia" w:ascii="黑体" w:hAnsi="黑体" w:eastAsia="黑体" w:cs="黑体"/>
          <w:color w:val="000000"/>
          <w:kern w:val="2"/>
          <w:sz w:val="36"/>
          <w:szCs w:val="36"/>
        </w:rPr>
        <w:t>柳州职业技术学院优秀年轻干部培养工作方案</w:t>
      </w:r>
      <w:bookmarkEnd w:id="95"/>
      <w:bookmarkEnd w:id="96"/>
      <w:bookmarkEnd w:id="97"/>
      <w:bookmarkEnd w:id="98"/>
    </w:p>
    <w:p>
      <w:pPr>
        <w:pageBreakBefore w:val="0"/>
        <w:kinsoku/>
        <w:wordWrap/>
        <w:overflowPunct/>
        <w:topLinePunct w:val="0"/>
        <w:autoSpaceDE/>
        <w:autoSpaceDN/>
        <w:bidi w:val="0"/>
        <w:spacing w:line="590" w:lineRule="exact"/>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（柳职院党字〔2021〕10 号）</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为进一步贯彻新时代党的组织路线，落实全国和自治区组织工作会议精神，加强和改进学校干部队伍建设，结合学校实际，制订本方案。</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一、工作目标</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为学校干部选拔发现、培养、储备优秀人才。各层级干部选拔培养对象数量：校级领导培养对象6-7人；中层正职干部培养对象20-25人（其中五级岗10人左右，六级岗15人左右）；中层副职干部培养对象25-30人。</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二、工作思路</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坚持党管干部、德才兼备、群众公认、注重实绩的原则，落实新时代好干部标准，在全校范围内推荐选拔优秀年轻干部，分层次确定培养对象，让年轻干部在加强思想淬炼、政治历练、实践锻炼、专业训练中立德增才，培养一批忠诚、干净、担当、作为的优秀年轻干部。</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三、推荐原则（条件）</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（一）认真学习贯彻习近平新时代中国特色社会主义思想，信念坚定，政治过硬，对党忠诚，牢固树立“四个意识”，坚定“四个自信”，做到“两个维护”。</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（二）坚决执行党的基本路线和方针政策，坚持中国特色社会主义的办学方向，坚持立德树人，忠诚党的教育事业。</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（三）坚持解放思想，实事求是，与时俱进，开拓创新，认真调查研究，能够把党的方针、政策同本部门的实际相结合，卓有成效地开展工作。</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（四）有强烈的事业心和责任感，有较强的敬业精神和奉献精神，有较强的领导组织能力，在现职岗位上做出较显著的工作实绩，并显示出较大的发展潜力。</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（五）能够正确行使权力，依法办事，廉洁自律，为人师表，以身作则，坚持群众路线，自觉接受党和群众的批评与监督。</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（六）坚持和维护党的民主集中制，有民主作风和大局、全局观念，善于集中正确意见，善于团结同志。</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（七）应有适当数量的非中共党员干部。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（八）一般应具有大学本科及以上学历。</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（九）身体健康，能正常履职。</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十）年龄要求：校级领导培养对象年龄一般应在50岁以下（1971年以后出生）；中层正职干部培养对象年龄一般应在45岁以下（1976年以后出生）；中层副职干部培养对象年龄一般应在40岁以下（1981年以后出生）；正高职称和特别突出者可适当放宽限制。</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四、工作安排</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（一）组织开展调研谈话推荐、考察</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1．调研谈话推荐。调研谈话对象主要是中层及以上干部、党支部书记和教职工代表。推荐范围主要是本二级学院或本部门（支部）的优秀年轻干部。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2．提出建议人选。党委组织部结合干部的基本条件、梯队建设等要求，提出各层级干部培养对象建议人选，报党委审议。</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3．考察。组织开展初步考察，形成考察意见。</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（二）党委研究确定培养对象</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学校党委研究确定各层级干部培养对象人选。</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（三）有针对性地进行教育、培养</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1.集中开展政治理论和科学管理知识培训；</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2.有针对性地安排外出学习培训；</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3.有针对性地安排校内轮岗、校外挂职锻炼；</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4.有针对性地安排重要岗位、重大项目、重要工作实践锻炼。</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（四）做好日常考核和管理</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1．建立培养档案。对培养对象建立培养档案，记录培养过程及有关情况。</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实行年度考核。对培养对象每年考核一次，由党委组织部会同各党总支部、直属党支部组织实施。主要考核政治思想素质、组织领导能力、工作作风、工作实绩、廉洁自律和发展潜力等情况。考核可结合教职工年度考核进行，考核结果作为培养、使用、调整的重要参考。</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3．实行动态管理，适时对后备干部队伍进行调整。有下列情形之一的，应进行调整：</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（1）政治思想、道德品质、党风廉政等方面出现问题；</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（2）工作实绩不突出，发展潜力不足；</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（3）工作失职，造成较大损失或不良影响；</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（4）群众意见较大、威信不高；</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（5）由于健康原因，不能担负工作任务；</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（6）因其他原因需要调整的。</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（五）提拔任用</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提拔任用干部一般要从优秀年轻干部培养对象中选拔，鼓励和支持他们积极参与校内外领导干部选拔。对德才兼备、群众公认、实绩突出的培养对象，根据工作需要，严格按照《党政领导干部选拔任用工作条例》适时提拔任用。</w:t>
      </w: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附件：优秀年轻干部推荐表</w:t>
      </w: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32"/>
          <w:szCs w:val="32"/>
        </w:rPr>
        <w:t>附件：</w:t>
      </w:r>
    </w:p>
    <w:p>
      <w:pPr>
        <w:pageBreakBefore w:val="0"/>
        <w:kinsoku/>
        <w:wordWrap/>
        <w:overflowPunct/>
        <w:topLinePunct w:val="0"/>
        <w:autoSpaceDE/>
        <w:autoSpaceDN/>
        <w:bidi w:val="0"/>
        <w:spacing w:line="276" w:lineRule="auto"/>
        <w:ind w:firstLine="640" w:firstLineChars="200"/>
        <w:jc w:val="center"/>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优秀年轻干部推荐表</w:t>
      </w:r>
    </w:p>
    <w:tbl>
      <w:tblPr>
        <w:tblStyle w:val="17"/>
        <w:tblW w:w="9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1903"/>
        <w:gridCol w:w="1843"/>
        <w:gridCol w:w="1795"/>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232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推荐培养方向</w:t>
            </w:r>
          </w:p>
        </w:tc>
        <w:tc>
          <w:tcPr>
            <w:tcW w:w="5541" w:type="dxa"/>
            <w:gridSpan w:val="3"/>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推荐对象姓名</w:t>
            </w:r>
          </w:p>
        </w:tc>
        <w:tc>
          <w:tcPr>
            <w:tcW w:w="1272"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232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校级领导</w:t>
            </w:r>
          </w:p>
        </w:tc>
        <w:tc>
          <w:tcPr>
            <w:tcW w:w="190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84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79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27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232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中层正职</w:t>
            </w:r>
          </w:p>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（五级岗）</w:t>
            </w:r>
          </w:p>
        </w:tc>
        <w:tc>
          <w:tcPr>
            <w:tcW w:w="190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84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79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27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232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中层正职</w:t>
            </w:r>
          </w:p>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（六级岗）</w:t>
            </w:r>
          </w:p>
        </w:tc>
        <w:tc>
          <w:tcPr>
            <w:tcW w:w="190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84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79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27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232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中层副职</w:t>
            </w:r>
          </w:p>
        </w:tc>
        <w:tc>
          <w:tcPr>
            <w:tcW w:w="190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84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79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127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bl>
    <w:p>
      <w:pPr>
        <w:pageBreakBefore w:val="0"/>
        <w:widowControl/>
        <w:kinsoku/>
        <w:wordWrap/>
        <w:overflowPunct/>
        <w:topLinePunct w:val="0"/>
        <w:autoSpaceDE/>
        <w:autoSpaceDN/>
        <w:bidi w:val="0"/>
        <w:spacing w:line="260" w:lineRule="exact"/>
        <w:jc w:val="left"/>
        <w:textAlignment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注：推荐范围主要是本二级学院或本部门（支部）优秀年轻干部</w:t>
      </w:r>
    </w:p>
    <w:p>
      <w:pPr>
        <w:pageBreakBefore w:val="0"/>
        <w:kinsoku/>
        <w:wordWrap/>
        <w:overflowPunct/>
        <w:topLinePunct w:val="0"/>
        <w:autoSpaceDE/>
        <w:autoSpaceDN/>
        <w:bidi w:val="0"/>
        <w:spacing w:line="580" w:lineRule="exact"/>
        <w:outlineLvl w:val="9"/>
        <w:rPr>
          <w:rFonts w:hint="eastAsia" w:ascii="仿宋" w:hAnsi="仿宋" w:eastAsia="仿宋" w:cs="仿宋"/>
          <w:sz w:val="32"/>
          <w:szCs w:val="32"/>
        </w:rPr>
      </w:pPr>
    </w:p>
    <w:p>
      <w:pPr>
        <w:pageBreakBefore w:val="0"/>
        <w:widowControl/>
        <w:kinsoku/>
        <w:wordWrap/>
        <w:overflowPunct/>
        <w:topLinePunct w:val="0"/>
        <w:autoSpaceDE/>
        <w:autoSpaceDN/>
        <w:bidi w:val="0"/>
        <w:jc w:val="left"/>
        <w:outlineLvl w:val="9"/>
        <w:rPr>
          <w:rFonts w:hint="eastAsia" w:ascii="仿宋" w:hAnsi="仿宋" w:eastAsia="仿宋" w:cs="仿宋"/>
          <w:bCs/>
          <w:sz w:val="32"/>
          <w:szCs w:val="32"/>
        </w:r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99" w:name="_Toc8808"/>
      <w:bookmarkStart w:id="100" w:name="_Toc24332"/>
      <w:bookmarkStart w:id="101" w:name="_Toc17329"/>
      <w:bookmarkStart w:id="102" w:name="_Toc32590"/>
      <w:r>
        <w:rPr>
          <w:rFonts w:hint="eastAsia" w:ascii="黑体" w:hAnsi="黑体" w:eastAsia="黑体" w:cs="黑体"/>
          <w:color w:val="000000"/>
          <w:kern w:val="2"/>
          <w:sz w:val="36"/>
          <w:szCs w:val="36"/>
        </w:rPr>
        <w:t>柳州职业技术学院党员领导干部联系基层工作办法（试行）</w:t>
      </w:r>
      <w:bookmarkEnd w:id="99"/>
      <w:bookmarkEnd w:id="100"/>
      <w:bookmarkEnd w:id="101"/>
      <w:bookmarkEnd w:id="102"/>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（柳职院党字〔2021〕32 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深入学习贯彻习近平新时代中国特色社会主义思想，特别是习近平总书记关于教育工作的重要论述，认真贯彻落实全国、全区教育大会、全国高校思想政治工作会议精神，深入推进党员领导干部深入基层调查研究，密切联系师生，提升大学生思想政治教育工作水平，提升基层党支部标准化规范化建设水平，结合学校实际，制订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以夯实学校基层党建基础，加强干部队伍作风建设，增强学校思想政治工作创新活力，维护学校政治安全和意识形态安全为目标，落实立德树人根本任务，切实履行办学治校、育人育才、维护稳定的政治责任和领导责任，促进党员领导干部带头深入支部、深入基层、体察校情、关爱师生、答疑解惑、解决问题，拓展联系基层、联系师生的途径，畅通师生表达意愿的渠道，切实解决师生的合理诉求，凝聚人心，形成推动学校改革创新、高质量发展的强大合力。</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二、工作目标</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（一）提升思想政治工作的针对性实效性</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加强党员领导干部与师生员工的直接联系，主动深入联系基层单位，扎实开展“进支部、进班级、进课堂、进宿舍、进食堂、进社团、进讲座、进网络、进党课、进团课”等十进工作，全面做好学校思想政治工作。</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（二）增强党员领导干部的群众意识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领导干部要切实深入师生学习生活工作一线，广泛调研，充分听取基层单位、师生员工的意见建议，全面掌握基层工作状况和校情民意，主动接受群众监督，用实际行动问政于师生、问需于师生、问计于师生，不断提高工作决策和管理水平。</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（三）加强党员领导干部的作风建设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党员领导干部应加强与基层单位、党支部的联系，积极协助联系点研究解决工作中出现的新情况、新问题，帮助指导联系点做好各项工作，打牢思想政治工作基础。</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三、工作方式</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（一）加强与基层单位的联系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校级党员领导干部除参加所在党支部的组织生活外，应联系指导1个二级学院，1个教工党支部或1个学生党支部。各二级学院党组织应根据工作实际，落实本单位党员领导干部联系工作，应联系指导1个党支部或1个团支部。职能部门党员领导干部可以根据部门工作实际，在全校范围内确定联系对象，应联系指导1个党支部或1个团支部。</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（二）加强与师生的联系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校级党员领导干部要经常深入教学科研一线，深入学生课堂、食堂、宿舍走访，倾听师生心声，了解掌握实情，协调解决问题。</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校级党员领导干部应根据自身的工作分工情况，确定3名以上联系对象，注重将有突出贡献的专家、名师、大师、博士等高层次优秀人才纳入联系对象范围，具体事宜由党委办公室和党委组织部负责落实。各二级学院党组织应根据工作实际，落实本单位党员领导干部联系工作，每人联系2－3名师生，二级学院党组织书记常态化联系青年教师入党积极分子。职能部门党员领导干部可以根据部门工作实际，在全校范围内确定联系对象，每人联系1－2名师生。</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四、工作任务</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（一）加强对联系党（团）支部工作的指导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注重加强工作指导，党员领导干部到所联系的党支部或团支部参加活动、指导工作每学期不少于1次，听取联系党支部或团支部关于支部建设、支部组织生活、发展党员、团支部建设、团员队伍建设等工作情况的汇报每个学期不少于2次，与所联系的党支部或团支部的书记每个学期至少开展1次谈心谈话。相关党支部或团支部应主动与联系领导对接，协调安排好汇报、谈心和参加活动等工作，并及时做好记录。</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（二）完善联系帮扶工作举措</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领导干部应结合工作实际，每学期至少给联系点师生讲1堂思想政治理论课或形势政策课；每学期“面对面”与所联系的师生谈心谈话不少于2次；经常性关心、了解联系对象的思想、学习、工作生活状况，及时给予指导帮助，帮助他们解决实际困难。对生活遇到特殊困难的教职工和学生，应协调相关部门进行慰问、探访，落实帮扶措施。对联系的专家等优秀人才对象，应加强政治引领，积极搭建干事创业平台，畅通建言献策渠道，在重要节日、专家取得重大成就、遇到重病及其他困难时开展走访慰问。</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（三）推动联系学生方式创新</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领导干部应把思政小课堂同社会大课堂结合起来，通过参加主题党日团日、主题班会、社团活动、文体竞赛等，拉近与学生距离，成为学生喜爱的人；通过作形势报告、座谈交流、开设讲座等，用学识赢得学生认可，成为学为人师的表率；通过微博、微信、微视频等方式倾听学生诉求、疏导学生情绪，以“键对键”作为“面对面”的有益补充。</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党委工作部门特别是学生工作部门的党员领导干部，应把一半以上的时间精力放在直接到一线联系学生、做学生工作上，同普通学生交朋友，推动解决学生思想、心理、生活、就业等实际问题，切实把思想政治工作做到学生的心坎上。</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（四）完善信息收集反馈机制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领导干部通过联系党支部（团支部）、联系师生等渠道途径，及时了解、掌握、解决师生员工关心关注的热点难点问题，对开展联系工作中收集到的师生员工反映的问题、提出的建议，应及时反馈给相关部门，相关部门要如实登记，按照程序及时组织落实。完善重大事项督导、通报机制，通过督导通报，定期不定期通报学校重点工作推进情况，积极回应师生员工关注的问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五、工作要求</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（一）稳定联系机制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要建立党员领导干部加强与基层单位、师生联系稳定机制，相对固定联系对象，原则上一个学年为一个周期。一个周期满后，可根据实际情况进行调整。新学年开始后半个月内，各单位将党员领导干部联系基层单位、联系师生情况报学校党委组织部。</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（二）加强督促检查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各级党组织要加强党员领导干部联系党支部、联系师生工作督促检查，对联系工作不到位或弄虚作假的依规依纪追责问责，作出严肃处理。</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（三）加强制度保障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健全完善学校相关规章制度，把党员领导干部落实联系制度情况纳入领导干部考核、任用、评先评优的重要依据，纳入党员领导干部民主生活会对照检查重要内容，纳入党组织书记抓党建述职评议考核指标体系，确保各项制度有效运转，措施落到实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附件：党员领导干部联系基层单位联系师生工作记录表</w:t>
      </w:r>
    </w:p>
    <w:p>
      <w:pPr>
        <w:pageBreakBefore w:val="0"/>
        <w:kinsoku/>
        <w:wordWrap/>
        <w:overflowPunct/>
        <w:topLinePunct w:val="0"/>
        <w:autoSpaceDE/>
        <w:autoSpaceDN/>
        <w:bidi w:val="0"/>
        <w:spacing w:line="596"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40" w:lineRule="exact"/>
        <w:ind w:firstLine="420"/>
        <w:jc w:val="center"/>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t>附件：</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党员领导干部联系基层单位联系师生工作记录表</w:t>
      </w:r>
    </w:p>
    <w:p>
      <w:pPr>
        <w:pageBreakBefore w:val="0"/>
        <w:kinsoku/>
        <w:wordWrap/>
        <w:overflowPunct/>
        <w:topLinePunct w:val="0"/>
        <w:autoSpaceDE/>
        <w:autoSpaceDN/>
        <w:bidi w:val="0"/>
        <w:spacing w:line="200" w:lineRule="exact"/>
        <w:ind w:firstLine="420"/>
        <w:jc w:val="center"/>
        <w:outlineLvl w:val="9"/>
        <w:rPr>
          <w:rFonts w:hint="eastAsia" w:ascii="仿宋" w:hAnsi="仿宋" w:eastAsia="仿宋" w:cs="仿宋"/>
          <w:sz w:val="32"/>
          <w:szCs w:val="32"/>
        </w:rPr>
      </w:pPr>
    </w:p>
    <w:tbl>
      <w:tblPr>
        <w:tblStyle w:val="17"/>
        <w:tblW w:w="92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1641"/>
        <w:gridCol w:w="750"/>
        <w:gridCol w:w="1475"/>
        <w:gridCol w:w="656"/>
        <w:gridCol w:w="819"/>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224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党员领导干部</w:t>
            </w:r>
          </w:p>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姓名</w:t>
            </w:r>
          </w:p>
        </w:tc>
        <w:tc>
          <w:tcPr>
            <w:tcW w:w="2391"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c>
          <w:tcPr>
            <w:tcW w:w="2131"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职务</w:t>
            </w:r>
          </w:p>
        </w:tc>
        <w:tc>
          <w:tcPr>
            <w:tcW w:w="2512"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2247" w:type="dxa"/>
            <w:vMerge w:val="restart"/>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联系对象</w:t>
            </w:r>
          </w:p>
        </w:tc>
        <w:tc>
          <w:tcPr>
            <w:tcW w:w="2391"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基层单位</w:t>
            </w:r>
          </w:p>
        </w:tc>
        <w:tc>
          <w:tcPr>
            <w:tcW w:w="4643" w:type="dxa"/>
            <w:gridSpan w:val="4"/>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2247" w:type="dxa"/>
            <w:vMerge w:val="continue"/>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c>
          <w:tcPr>
            <w:tcW w:w="2391"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个人</w:t>
            </w:r>
          </w:p>
        </w:tc>
        <w:tc>
          <w:tcPr>
            <w:tcW w:w="147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c>
          <w:tcPr>
            <w:tcW w:w="1475"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c>
          <w:tcPr>
            <w:tcW w:w="1693"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3888"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工作任务</w:t>
            </w:r>
          </w:p>
        </w:tc>
        <w:tc>
          <w:tcPr>
            <w:tcW w:w="2881" w:type="dxa"/>
            <w:gridSpan w:val="3"/>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具体联系情况</w:t>
            </w:r>
          </w:p>
        </w:tc>
        <w:tc>
          <w:tcPr>
            <w:tcW w:w="2512" w:type="dxa"/>
            <w:gridSpan w:val="2"/>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记录时间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到联系点实地了解、指导工作每年4次以上；到联系点讲党课每年1次以上。</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每学期至少给师生讲1堂思想政治理论或形势政策课。</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联系党外代表人士每年3名以上；每学期与所联系的师生谈心谈话不少于2次。</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到所联系的党支部或团支部参加活动，研究指导支部建设工作每学期不少于1次。</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听取联系党支部或团支部工作情况汇报每学期不少于2次。</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0" w:hRule="atLeast"/>
          <w:jc w:val="center"/>
        </w:trPr>
        <w:tc>
          <w:tcPr>
            <w:tcW w:w="3888"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r>
              <w:rPr>
                <w:rFonts w:hint="eastAsia" w:ascii="仿宋" w:hAnsi="仿宋" w:eastAsia="仿宋" w:cs="仿宋"/>
                <w:color w:val="000000"/>
                <w:kern w:val="0"/>
                <w:sz w:val="32"/>
                <w:szCs w:val="32"/>
                <w:lang w:bidi="ar"/>
              </w:rPr>
              <w:t>与所联系的党支部或团支部的书记每学期至少开展1次谈心谈话。</w:t>
            </w:r>
          </w:p>
        </w:tc>
        <w:tc>
          <w:tcPr>
            <w:tcW w:w="2881" w:type="dxa"/>
            <w:gridSpan w:val="3"/>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c>
          <w:tcPr>
            <w:tcW w:w="2512" w:type="dxa"/>
            <w:gridSpan w:val="2"/>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2" w:hRule="atLeast"/>
          <w:jc w:val="center"/>
        </w:trPr>
        <w:tc>
          <w:tcPr>
            <w:tcW w:w="3888" w:type="dxa"/>
            <w:gridSpan w:val="2"/>
            <w:vAlign w:val="center"/>
          </w:tcPr>
          <w:p>
            <w:pPr>
              <w:pageBreakBefore w:val="0"/>
              <w:kinsoku/>
              <w:wordWrap/>
              <w:overflowPunct/>
              <w:topLinePunct w:val="0"/>
              <w:autoSpaceDE/>
              <w:autoSpaceDN/>
              <w:bidi w:val="0"/>
              <w:spacing w:line="360" w:lineRule="exact"/>
              <w:outlineLvl w:val="9"/>
              <w:rPr>
                <w:rFonts w:hint="eastAsia" w:ascii="仿宋" w:hAnsi="仿宋" w:eastAsia="仿宋" w:cs="仿宋"/>
                <w:sz w:val="32"/>
                <w:szCs w:val="32"/>
              </w:rPr>
            </w:pPr>
            <w:r>
              <w:rPr>
                <w:rFonts w:hint="eastAsia" w:ascii="仿宋" w:hAnsi="仿宋" w:eastAsia="仿宋" w:cs="仿宋"/>
                <w:color w:val="000000"/>
                <w:kern w:val="0"/>
                <w:sz w:val="32"/>
                <w:szCs w:val="32"/>
                <w:lang w:bidi="ar"/>
              </w:rPr>
              <w:t>协调帮助联系点解决问题每年1-2个。</w:t>
            </w:r>
          </w:p>
        </w:tc>
        <w:tc>
          <w:tcPr>
            <w:tcW w:w="2881" w:type="dxa"/>
            <w:gridSpan w:val="3"/>
            <w:vAlign w:val="center"/>
          </w:tcPr>
          <w:p>
            <w:pPr>
              <w:pageBreakBefore w:val="0"/>
              <w:kinsoku/>
              <w:wordWrap/>
              <w:overflowPunct/>
              <w:topLinePunct w:val="0"/>
              <w:autoSpaceDE/>
              <w:autoSpaceDN/>
              <w:bidi w:val="0"/>
              <w:spacing w:line="36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360" w:lineRule="exact"/>
              <w:outlineLvl w:val="9"/>
              <w:rPr>
                <w:rFonts w:hint="eastAsia" w:ascii="仿宋" w:hAnsi="仿宋" w:eastAsia="仿宋" w:cs="仿宋"/>
                <w:sz w:val="32"/>
                <w:szCs w:val="32"/>
              </w:rPr>
            </w:pPr>
          </w:p>
        </w:tc>
        <w:tc>
          <w:tcPr>
            <w:tcW w:w="2512" w:type="dxa"/>
            <w:gridSpan w:val="2"/>
          </w:tcPr>
          <w:p>
            <w:pPr>
              <w:pageBreakBefore w:val="0"/>
              <w:kinsoku/>
              <w:wordWrap/>
              <w:overflowPunct/>
              <w:topLinePunct w:val="0"/>
              <w:autoSpaceDE/>
              <w:autoSpaceDN/>
              <w:bidi w:val="0"/>
              <w:spacing w:line="360" w:lineRule="exact"/>
              <w:outlineLvl w:val="9"/>
              <w:rPr>
                <w:rFonts w:hint="eastAsia" w:ascii="仿宋" w:hAnsi="仿宋" w:eastAsia="仿宋" w:cs="仿宋"/>
                <w:sz w:val="32"/>
                <w:szCs w:val="32"/>
              </w:rPr>
            </w:pPr>
          </w:p>
        </w:tc>
      </w:tr>
    </w:tbl>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03" w:name="_Toc18660"/>
      <w:bookmarkStart w:id="104" w:name="_Toc24854"/>
      <w:bookmarkStart w:id="105" w:name="_Toc26135"/>
      <w:bookmarkStart w:id="106" w:name="_Toc16766"/>
      <w:r>
        <w:rPr>
          <w:rFonts w:hint="eastAsia" w:ascii="黑体" w:hAnsi="黑体" w:eastAsia="黑体" w:cs="黑体"/>
          <w:color w:val="000000"/>
          <w:kern w:val="2"/>
          <w:sz w:val="36"/>
          <w:szCs w:val="36"/>
        </w:rPr>
        <w:t>柳州职业技术学院党员积分制管理办法（试行）</w:t>
      </w:r>
      <w:bookmarkEnd w:id="103"/>
      <w:bookmarkEnd w:id="104"/>
      <w:bookmarkEnd w:id="105"/>
      <w:bookmarkEnd w:id="106"/>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（柳职院党字〔2021〕35 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全面贯彻落实习近平新时代中国特色社会主义思想和党的十九大、十九届二中、三中、四中、五中全会精神，进一步落实党要管党、从严治党要求，加强党员队伍先进性和纯洁性建设，提高党员队伍素质，充分发挥党员的先锋模范作用，凝心聚力，引导广大党员以奋发有为的精神推动学校“双高”建设及各项教育事业高质量发展。结合学校工作实际，特制定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以“政治合格、执行纪律合格、品德合格、发挥作用合格”为标准，激励广大党员做“讲政治、有信念，讲规矩、有纪律，讲道德、有品行，讲奉献、有作为”的合格党员，全面落实立德树人根本任务，为高质量职教事业和“双高”建设提供坚强的组织保证。</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二、基本原则</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坚持围绕中心、服务大局，立足岗位、重在日常，量化考评、动态调整，简便易行、民主公开，奖优罚劣的原则。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三、适用范围</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组织关系在校的所有在职教职工党员。个别特殊原因流动在外的党员，可由本人提出申请，经所在党支部批准、党总支部审核，报学校党委组织部审批同意，不参与党员积分制管理，但民主评议党员结果原则上不得定为“优秀”等次。</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四、积分内容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党员积分由基础分项和加分项构成（即党员积分＝基础分＋加分)。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（一）基础分项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满分80分。主要考核党员参加组织生活、履行职责、廉洁自律和遵纪守法的情况。按照党章规定的党员基本义务和党组织对党员的基本要求，围绕政治信念、组织观念、工作履职、规矩纪律、道德品行等内容，设定积分项目和分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工作中出现错漏、失误、不到位、不尽责、不作为等情况，日常出现不履行党员义务、违反组织纪律、违背社会公德等情形，由所在党支部核实认定并据实扣减相应分值。对违反国家法律法规等严重行为，实行一票否决，积分为零。</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（二）加分项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满分30分。主要根据党员所获荣誉或对集体有突出奉献进行加分，重点表扬党员认真履行岗位职责、履诺践诺和在教育教学、科研、管理、服务等工作中积极奉献、主动作为、发挥党员先锋模范作用的情况。该项主要由所在党支部支委会根据党员提供的相关加分项目材料确定加分值。</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五、积分流程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党员积分制以党支部为单位按年度具体组织实施。一般采取以下步骤进行：</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（一）党员申报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党员每月月底如实向所在党支部申报积分事项和积分。党员在申报个人积分事项时，也可向党支部报告其他党员的积分事项。</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（二）支委初评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每月月初召开支委会，根据党员履行义务、履职情况，按照基础分项、加分项，以及计分和扣分标准，核实和初评每名党员上月申报的积分事项和积分。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（三）党员大会评定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每季度召开党支部党员大会，向全体党员通报支委会初评的党员积分情况，由参会党员进行评议，确定党员积分，并由支部组织委员填写《党员积分登记表》。</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（四）公示积分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将党员积分情况进行公示，接受党员、群众及服务对象监督。党员对本人积分有异议的，可向党支部反映或向上级党组织申诉。党支部或上级党组织应调查核实，核实情况及时向党员反馈，并在下一次支部党员大会上通报。</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（五）计算年度平均积分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党支部负责计算党员的年度平均积分，年度平均积分=所有月份总积分之和/12，积分情况报上级党组织审核备案。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六、积分运用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党员年度平均积分，作为民主评议党员时评定等次的重要依据。在开展民主评议前，党支部应向党员公布积分情况。年度平均积分在90分（含90分）以上的党员，可评定为“优秀”等次；年度平均积分在90分－70分（含70分）的党员，原则上评定为“合格”等次；年度平均积分在70分－60分（含60分）的党员，原则上评定为“基本合格”等次；年度平均积分低于60分的党员，原则上评定为不合格党员。年度平均积分分值与评定等次的对应关系，可由各党支部根据本支部的具体情况确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（二）对积分评定为“优秀”等次的党员，应优先作为评先评优的推荐对象，并在政治待遇、学习培训、物质奖励等方面给予激励关怀。</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对评为“基本合格”等次的党员，要指定专人及时提醒谈话，督促其限期整改提高。对评为“不合格”等次的党员，要慎重稳妥作出组织处置。预备党员积分管理考核被确定为“基本合格”或“不合格”等次的，视情况延长预备期或取消预备党员资格；延长预备期后，积分管理考核仍为“基本合格”或“不合格”等次的，按有关程序取消预备党员资格。</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七、具体措施</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（一）加强组织领导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实行党员积分制管理是新形势下从严治党的有益探索，也是加强党员队伍建设，健全党员考核评价体系的一项重要举措。各党总支部书记、各党支部书记是积分制管理工作的第一责任人和直接责任人，要高度重视，切实履行职责，严格按照规定程序和要求，抓好组织实施和监督管理，确保积分制管理工作取得实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（二）强化督导检查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各党总支部、直属党支部每学期要对所属党员积分管理工作开展情况进行督促检查，及时总结经验，查找不足，研究解决实际问题，推动党员积分制管理工作深入开展。学校党委组织部将不定期对全校党员积分制管理实施情况进行抽查。</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（三）坚持阳光操作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定期公开党员积分管理情况，接受党员、群众查询，让党员全过程参与积分管理，清楚个人积分情况、清楚个人积分位次、清楚个人考核评议结果，切实保障党员、群众的知情权、参与权和监督权，确保积分制管理工作公开公平公正。</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（四）严格考核奖惩</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党委将把党员积分制管理工作作为基层党组织书记抓党建工作述职评议考核的重要内容之一，对不按要求组织开展积分制管理工作或在积分制管理工作中弄虚作假的党组织进行通报批评，并严肃问责。对工作落实到位，发挥作用明显的，将作为好的典型在全校范围内推广、交流、学习，并给予一定的奖励。</w:t>
      </w:r>
    </w:p>
    <w:p>
      <w:pPr>
        <w:pageBreakBefore w:val="0"/>
        <w:kinsoku/>
        <w:wordWrap/>
        <w:overflowPunct/>
        <w:topLinePunct w:val="0"/>
        <w:autoSpaceDE/>
        <w:autoSpaceDN/>
        <w:bidi w:val="0"/>
        <w:spacing w:line="596"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附表：柳州职业技术学院党员积分管理评分细则（试行）</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sectPr>
          <w:pgSz w:w="11906" w:h="16838"/>
          <w:pgMar w:top="2098" w:right="1474" w:bottom="1984" w:left="1587" w:header="851" w:footer="992" w:gutter="0"/>
          <w:pgNumType w:fmt="decimal"/>
          <w:cols w:space="425" w:num="1"/>
          <w:docGrid w:type="lines" w:linePitch="381" w:charSpace="0"/>
        </w:sect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t>附表：</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柳州职业技术学院党员积分管理评分细则（试行）</w:t>
      </w:r>
    </w:p>
    <w:p>
      <w:pPr>
        <w:pageBreakBefore w:val="0"/>
        <w:kinsoku/>
        <w:wordWrap/>
        <w:overflowPunct/>
        <w:topLinePunct w:val="0"/>
        <w:autoSpaceDE/>
        <w:autoSpaceDN/>
        <w:bidi w:val="0"/>
        <w:jc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     年     月）</w:t>
      </w:r>
    </w:p>
    <w:p>
      <w:pPr>
        <w:pageBreakBefore w:val="0"/>
        <w:kinsoku/>
        <w:wordWrap/>
        <w:overflowPunct/>
        <w:topLinePunct w:val="0"/>
        <w:autoSpaceDE/>
        <w:autoSpaceDN/>
        <w:bidi w:val="0"/>
        <w:jc w:val="center"/>
        <w:outlineLvl w:val="9"/>
        <w:rPr>
          <w:rFonts w:hint="eastAsia"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党总支部（或直属党支部）：                                党员姓名：</w:t>
      </w:r>
    </w:p>
    <w:tbl>
      <w:tblPr>
        <w:tblStyle w:val="17"/>
        <w:tblW w:w="14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3918"/>
        <w:gridCol w:w="6842"/>
        <w:gridCol w:w="887"/>
        <w:gridCol w:w="833"/>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2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内容</w:t>
            </w:r>
          </w:p>
        </w:tc>
        <w:tc>
          <w:tcPr>
            <w:tcW w:w="391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标准</w:t>
            </w:r>
          </w:p>
        </w:tc>
        <w:tc>
          <w:tcPr>
            <w:tcW w:w="6842"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评分标准</w:t>
            </w:r>
          </w:p>
        </w:tc>
        <w:tc>
          <w:tcPr>
            <w:tcW w:w="88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量化分数</w:t>
            </w:r>
          </w:p>
        </w:tc>
        <w:tc>
          <w:tcPr>
            <w:tcW w:w="833"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自评分</w:t>
            </w:r>
          </w:p>
        </w:tc>
        <w:tc>
          <w:tcPr>
            <w:tcW w:w="98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20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组织生活（20分）</w:t>
            </w: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1.按时、足额交纳党费。</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不按时缴纳党费每次扣2分。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2.按时参加“三会一课”及党组织生活，积极参加文明志愿者服务活动。</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参加党组织安排的学习教育、组织生活、民主评议会、党日活动等迟到、早退每次扣1分，未经批准不参加的每次扣2分。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履行职责（20分）</w:t>
            </w: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1.敬业爱岗，熟悉业务，较好地完成本职工作任务。</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不热爱、不熟悉本职工作的扣2分；工作主动性差、工作效率低，不能按时完成工作的扣2分。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2.团结同志，相互配合。</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有不团结行为扣2分；不配合工作的每次扣2分。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3.具有全心全意为人民服务的思想和行为。</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对待群众态度恶劣的发现一次扣1分；不能严肃认真对待群众意见、建议的每次扣2分。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4.自觉完成党组织分配的工作。</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工作拖拉、推诿扯皮的每次扣1分；对党组织安排的任务有抵触，不积极主动的每次扣1分；不能按时完成党组织安排任务的每次扣1分。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5.积极参与定期走访并帮助群众解决问题。</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不参与联系走访的扣2分，走访中不能及时反映或解决问题的扣2分。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20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廉洁自律（20分）</w:t>
            </w: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1.廉洁办公，严格遵守廉洁自律有关规定。</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利用工作岗位、职务之便吃、拿、卡、要的每次扣2分。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2.勇于抵制和揭露党内和校内不正之风。</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不能对身边的违法违纪行为坚决予以制止（揭露）的扣2分；对工作对象远近亲疏，不能平等对待的，每次扣2分。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3.认真履行公民义务，自觉承担社会责任，具有良好社会道德。</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在工作、生活中不遵守公民道德规范的每次扣1分；有不遵守行业职业道德行为的每次扣1分。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8</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120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遵纪守法（20分）</w:t>
            </w: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1.严格遵守各项法律法规及党内条规，遵守学校各项规章制度和工作纪律。</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党员违纪违法情节轻微、尚未构成纪律处分的，受提醒谈话者、信访谈话者、批评教育者扣5分；受通报批评者扣8分；受诫勉谈话者扣10分。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2.本人及家庭成员无违法、违纪现象。</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参与封建迷信、邪教、赌博等活动影响较坏的每次扣3分；本人及家庭成员有违法违纪及其他违反政策行为的扣5分。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3.主动作群众思想政治工作，引导群众通过正常渠道反映问题。</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制造传播流言蜚语，搬弄是非，影响群众思想政治工作的扣3分；参与群体上访、闹事的扣5分。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200"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加分项</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（30分）</w:t>
            </w:r>
          </w:p>
        </w:tc>
        <w:tc>
          <w:tcPr>
            <w:tcW w:w="3918" w:type="dxa"/>
            <w:vMerge w:val="restart"/>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主要给党员在表彰奖励、教学科研、扶贫济困、志愿服务、学习教育以及其它突出表现等方面进行加分。</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在工作、教学、科研和学习中作出突出贡献，荣获国家级荣誉加5分；荣获区级荣誉加4分；荣获市级荣誉加3分；荣获校级荣誉加2分；荣获部门或党支部荣誉加1分。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391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在各级刊物上发表论文：以第一作者发表在公开出版发行刊物的，中外核心期刊5分，普通期刊3分；其他署名作者按署名顺序依次递减 1 分，最低为 1 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5</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391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1.参加各类志愿服务、义务献血、党员先锋岗服务、公益服务、四联双报到等活动，每参加1次加1分，最高分5分；</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2.每月学习强国学习积分日平均分达30分及以上者，加5分。</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c>
          <w:tcPr>
            <w:tcW w:w="833"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1200"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3918" w:type="dxa"/>
            <w:vMerge w:val="continue"/>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由支委会讨论认定该同志对本支部贡献情况进行具体加分值。</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c>
          <w:tcPr>
            <w:tcW w:w="833"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jc w:val="center"/>
        </w:trPr>
        <w:tc>
          <w:tcPr>
            <w:tcW w:w="120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3918"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684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88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bidi="ar"/>
              </w:rPr>
              <w:t>总分</w:t>
            </w:r>
          </w:p>
        </w:tc>
        <w:tc>
          <w:tcPr>
            <w:tcW w:w="833"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c>
          <w:tcPr>
            <w:tcW w:w="98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4660" w:type="dxa"/>
            <w:gridSpan w:val="6"/>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 xml:space="preserve">                                                                          评定时间：       年   月   日</w:t>
            </w:r>
          </w:p>
        </w:tc>
      </w:tr>
    </w:tbl>
    <w:p>
      <w:pPr>
        <w:pageBreakBefore w:val="0"/>
        <w:kinsoku/>
        <w:wordWrap/>
        <w:overflowPunct/>
        <w:topLinePunct w:val="0"/>
        <w:autoSpaceDE/>
        <w:autoSpaceDN/>
        <w:bidi w:val="0"/>
        <w:outlineLvl w:val="9"/>
        <w:rPr>
          <w:rFonts w:hint="eastAsia" w:ascii="仿宋" w:hAnsi="仿宋" w:eastAsia="仿宋" w:cs="仿宋"/>
          <w:sz w:val="32"/>
          <w:szCs w:val="32"/>
        </w:rPr>
        <w:sectPr>
          <w:pgSz w:w="16838" w:h="11906" w:orient="landscape"/>
          <w:pgMar w:top="1587" w:right="2098" w:bottom="1474" w:left="1984" w:header="851" w:footer="992" w:gutter="0"/>
          <w:pgNumType w:fmt="decimal"/>
          <w:cols w:space="425"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07" w:name="_Toc1062"/>
      <w:bookmarkStart w:id="108" w:name="_Toc6316"/>
      <w:bookmarkStart w:id="109" w:name="_Toc8118"/>
      <w:bookmarkStart w:id="110" w:name="_Toc24553"/>
      <w:r>
        <w:rPr>
          <w:rFonts w:hint="eastAsia" w:ascii="黑体" w:hAnsi="黑体" w:eastAsia="黑体" w:cs="黑体"/>
          <w:color w:val="000000"/>
          <w:kern w:val="2"/>
          <w:sz w:val="36"/>
          <w:szCs w:val="36"/>
        </w:rPr>
        <w:t>柳州职业技术学院基层党务干部考核管理办法（试行）</w:t>
      </w:r>
      <w:bookmarkEnd w:id="107"/>
      <w:bookmarkEnd w:id="108"/>
      <w:bookmarkEnd w:id="109"/>
      <w:bookmarkEnd w:id="110"/>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（柳职院党字〔2021〕36 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认真贯彻落实新时代党的组织路线，进一步加强基层党务干部队伍建设，完善干部考核评价机制，提升基层党务干部队伍政治思想素质和业务能力，建设一支信念坚定、为民服务、敢于担当、清正廉洁的高素质基层党务干部队伍，特制定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以习近平新时代中国特色社会主义思想为指导，全面贯彻落实党的十九大、十九届二中、三中、四中、五中全会精神，以及《中国共产党普通高等学校基层组织工作条例》，坚持科学导向、以人为本，实行考事、评人和用人相结合，完善考核内容，改进考核方式，扩大考核民主，强化考核结果运用，充分发挥考核工作的导向、激励和约束作用，切实加强基层党务干部队伍建设。</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二、考核对象和类型</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（一）考核对象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二级学院党总支部、直属党支部书记及其他委员；二级学院教师党支部书记及其他委员；二级学院学生党支部书记及其他委员；二级学院党建组织员。</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（二）考核类型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日常考核和年度考核。</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三、考核内容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（一）对二级学院党总支部书记、直属党支部书记的考核，主要根据学校《党建工作考核指标体系》《党建工作目标责任书》中的内容进行。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（二）对二级学院教师党支部书记的考核，主要根据《“双带头人”教师党支部书记管理办法》中的内容进行。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（三）对党总支部、直属党支部其他委员，二级学院教师党支部、学生党支部其他委员，二级学院党建组织员的考核，主要根据党务工作职责进行。相关工作职责如下：</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1.各党支部委员工作职责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（1）书记/副书记工作职责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支部书记在党支部委员会集体领导下，负责主持党支部的日常工作。党支部副书记负责协助支部书记开展支部各项工作。主要负责：召集支部委员会和党员大会；制定支部工作计划并组织实施，定期检查、总结和汇报支部工作；做好基层服务型党组织建设工作；抓好支部委员会自身建设；做好党员教育管理工作；经常与其他委员交流工作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（2）组织委员工作职责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组织委员在党支部委员会的集体领导下，分工负责支部的组织工作。主要负责：了解和掌握支部的组织状况，做好支部组织工作，按照规定做好党支部委员会换届选举的准备工作；负责做好党员教育培训工作；负责做好发展党员工作；做好接转党员组织关系、收缴党费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（3）宣传委员工作职责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宣传委员在党支部委员会的集体领导下，分工负责支部的宣传工作。主要负责：制定宣传教育工作计划和意见并组织实施；结合本支部的实际情况，提出加强党员教育培训工作的计划和意见；组织党课学习，组织党员学习党的路线、方针、政策和决议，完成上级党组织布置的学习任务；开展多种形式的宣传、文化活动，做好思想政治工作；及时做好支部会议、活动的记录和宣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（4）纪律检查委员工作职责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纪律检查委员在党支部委员会的集体领导下，分工负责纪律检查工作。主要负责：开展好党支部的作风建设；做好保障和维护党员民主权利工作；做好加强党内监督、严格党的纪律工作；负责受理党员和群众的意见建议、党员的控告和申诉；经常向支部委员会和上级纪律检查委员会汇报和反映本支部党风党纪的情况，汇报和反映本部门纪律检查工作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（5）统战委员工作职责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党支部统战委员在党支部委员会的集体领导下，分工负责统战工作。主要负责：对党员进行党的统战政策的教育，提高党员做好统战工作的自觉性；经常了解统战对象的政治思想、工作表现、业务能力等情况，做好对他们的安排、使用和培养工作；经常与统战对象保持联系，倾听他们的意见和要求，帮助他们解决问题；做好统战政策的落实工作，经常向支部委员会和上级党组织汇报本支部统战工作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其他委员职责根据集体的决定和分工，完成分工负责的任务。</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2.二级学院党建组织员工作职责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级学院党建组织员协助学校党委和二级学院做好各项党建工作。主要负责：做好发展党员工作，协助党组织制定和实施发展党员工作计划，指导党组织加强对入党积极分子、预备党员的培养教育考察，审核把关发展对象条件、入党材料和发展程序，总结推广发展党员工作好经验好做法；做好党员教育管理，制定和执行党员教育工作计划，指导监督党组织落实“三会一课”、组织生活会、民主评议党员等制度，做好组织关系转接、党籍管理、党员档案管理等工作；做好基层党组织建设工作，指导督促基层党组织优化设置调整和按期换届，负责党建信息平台的更新维护、报表填报和统计工作，起草有关业务文稿，协助落实党费收缴、使用和管理工作，做好党组织材料的保管、整理和归档工作；做好党组织交办的其他党建工作任务。</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3.二级学院党总支部委员工作职责</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二级学院党总支部委员的工作职责参照各党支部委员工作职责执行。</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四、组织实施和考核流程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考核工作在学校党委的领导下，由党委组织部负责统筹组织实施。考核工作是对基层党务干部的政治素质、履职能力、工作成效、作风表现等所进行的了解、核实和评价，以此作为加强基层党务干部队伍建设的重要依据。</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（一）组织实施安排</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1.党委组织部负责组织对二级学院党总支部、直属党支部书记的考核。每半年进行一次履职检查，每年底进行一次年度考核。</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党委组织部和二级学院党总支部、直属党支部共同组织实施对二级学院党总支部其他委员、直属党支部其他委员、二级学院教师党支部书记及其他委员的考核。每月进行一次日常考核，每年底进行一次年度考核。</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3.二级学院党总支部负责对二级学院学生党支部书记及其他委员、二级学院党建组织员进行考核。每月进行一次日常考核，每年底进行一次年度考核。</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（二）日常考核流程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日常考核是对基层党务干部日常表现所进行的经常性考核，实施的对象是二级学院党总支部其他委员、直属党支部其他委员、二级学院教师党支部书记及其他委员、二级学院学生党支部书记及其他委员、二级学院党建组织员，考核结果分为优秀、合格、基本合格、不合格4个等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日常考核作为基层党务干部月度党务工作量发放的依据，并根据考核结果及时给予鼓励、肯定、提醒、批评。</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日常考核主要以月报表形式进行，具体要求如下：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二级学院党总支部其他委员、二级学院教师党支部书记及其他委员、二级学院学生党支部书记及其他委员、二级学院党建组织员于每月5日前填写上月《基层党务干部月度考核表》（见附表1）的自评部分，上报至二级学院党总支部。二级学院党总支部于每月10日前完成考核评定，填写《基层党务干部月度考核汇总表》（见附表2），上报党委组织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直属党支部其他委员于每月5日前填写上月《基层党务干部月度考核表》（见附表1）的自评部分，上报至直属党支部。直属党支部于每月10日前完成考核评定，填写《基层党务干部月度考核汇总表》（见附表2），上报党委组织部。</w:t>
      </w:r>
    </w:p>
    <w:p>
      <w:pPr>
        <w:pageBreakBefore w:val="0"/>
        <w:kinsoku/>
        <w:wordWrap/>
        <w:overflowPunct/>
        <w:topLinePunct w:val="0"/>
        <w:autoSpaceDE/>
        <w:autoSpaceDN/>
        <w:bidi w:val="0"/>
        <w:spacing w:line="596"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（三）年度考核流程</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年度考核是以年度为周期对基层党务干部的综合性考核，一般在每年年末组织开展，考核结果分为优秀、合格、基本合格、不合格4个等次。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1.二级学院党总支部、直属党支部书记的考核按照当年学校基层党建工作考核安排进行。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2.二级学院教师党支部书记的考核按照《柳州职业技术学院“双带头人”教师党支部书记管理办法（试行）》执行，由党委组织部负责组织实施。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二级学院党总支部其他委员、直属党支部其他委员、二级学院教师党支部其他委员、二级学院学生党支部书记及其他委员、二级学院党建组织员的年度考核由党委组织部联合二级学院党总支部、直属党支部组织实施。</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考核一般按照下列程序进行：</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 xml:space="preserve">（1）总结述职。基层党务干部撰写述职报告，总结报告全年工作。 </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（2）民主测评。参加测评的人员主要由其任职的党总支部、党支部党员构成。测评人员填写测评表对考核对象进行测评。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（3）个别谈话。个别谈话可根据实际情况进行确定。</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（4）实地考核。考核组根据考核对象述职报告内容，根据需要采取查阅资料、采集有关数据和信息、实地调研等方式，核实考核对象有关情况。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（5）形成考核结果。对党务干部进行综合分析，形成考核结果并及时反馈。</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五、考核结果运用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1.在日常考核中，评定为优秀的，作为年度考核和评优评先的重要参考；评定为基本合格的，扣发当月党务工作量的50%；评定为不合格的，扣发当月全部党务工作量。</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年度考核结果作为领导干部选拔任用、培养教育、奖励惩戒等工作的重要依据。对评定为基本合格的，要进行提醒谈话；对评定为不合格的，要进行批评教育；对连续两年评定为不合格的，根据具体情况按党章党规进行组织处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3.依据考核结果加强对基层党务干部的培养教育，按照“缺什么补什么”的原则，为基层党务干部补齐能力素质短板。对有潜力的优秀年轻干部，要加强针对性培养。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附表：1.基层党务干部月度考核表</w:t>
      </w:r>
    </w:p>
    <w:p>
      <w:pPr>
        <w:pageBreakBefore w:val="0"/>
        <w:kinsoku/>
        <w:wordWrap/>
        <w:overflowPunct/>
        <w:topLinePunct w:val="0"/>
        <w:autoSpaceDE/>
        <w:autoSpaceDN/>
        <w:bidi w:val="0"/>
        <w:spacing w:line="596" w:lineRule="exact"/>
        <w:ind w:firstLine="1600" w:firstLineChars="500"/>
        <w:outlineLvl w:val="9"/>
        <w:rPr>
          <w:rFonts w:hint="eastAsia" w:ascii="仿宋" w:hAnsi="仿宋" w:eastAsia="仿宋" w:cs="仿宋"/>
          <w:sz w:val="32"/>
          <w:szCs w:val="32"/>
        </w:rPr>
      </w:pPr>
      <w:r>
        <w:rPr>
          <w:rFonts w:hint="eastAsia" w:ascii="仿宋" w:hAnsi="仿宋" w:eastAsia="仿宋" w:cs="仿宋"/>
          <w:sz w:val="32"/>
          <w:szCs w:val="32"/>
        </w:rPr>
        <w:t>2.基层党务干部月度考核汇总表</w:t>
      </w:r>
    </w:p>
    <w:p>
      <w:pPr>
        <w:pageBreakBefore w:val="0"/>
        <w:kinsoku/>
        <w:wordWrap/>
        <w:overflowPunct/>
        <w:topLinePunct w:val="0"/>
        <w:autoSpaceDE/>
        <w:autoSpaceDN/>
        <w:bidi w:val="0"/>
        <w:outlineLvl w:val="9"/>
        <w:rPr>
          <w:rFonts w:hint="eastAsia" w:ascii="仿宋" w:hAnsi="仿宋" w:eastAsia="仿宋" w:cs="仿宋"/>
          <w:sz w:val="32"/>
          <w:szCs w:val="32"/>
        </w:rPr>
      </w:pPr>
      <w:r>
        <w:rPr>
          <w:rFonts w:hint="eastAsia" w:ascii="仿宋" w:hAnsi="仿宋" w:eastAsia="仿宋" w:cs="仿宋"/>
          <w:sz w:val="32"/>
          <w:szCs w:val="32"/>
        </w:rPr>
        <w:br w:type="page"/>
      </w: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r>
        <w:rPr>
          <w:rFonts w:hint="eastAsia" w:ascii="仿宋" w:hAnsi="仿宋" w:eastAsia="仿宋" w:cs="仿宋"/>
          <w:sz w:val="32"/>
          <w:szCs w:val="32"/>
        </w:rPr>
        <w:t>附表1：</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 w:val="28"/>
          <w:szCs w:val="28"/>
        </w:rPr>
        <w:t>基层党务干部月度考核表</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24"/>
          <w:szCs w:val="24"/>
        </w:rPr>
      </w:pPr>
    </w:p>
    <w:p>
      <w:pPr>
        <w:pageBreakBefore w:val="0"/>
        <w:widowControl/>
        <w:kinsoku/>
        <w:wordWrap/>
        <w:overflowPunct/>
        <w:topLinePunct w:val="0"/>
        <w:autoSpaceDE/>
        <w:autoSpaceDN/>
        <w:bidi w:val="0"/>
        <w:spacing w:line="200" w:lineRule="exact"/>
        <w:jc w:val="center"/>
        <w:outlineLvl w:val="9"/>
        <w:rPr>
          <w:rFonts w:hint="eastAsia" w:ascii="仿宋" w:hAnsi="仿宋" w:eastAsia="仿宋" w:cs="仿宋"/>
          <w:b/>
          <w:bCs/>
          <w:color w:val="000000"/>
          <w:kern w:val="0"/>
          <w:sz w:val="24"/>
          <w:szCs w:val="24"/>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姓名：      职务：          所在党组织：                考核期：     年   月</w:t>
      </w:r>
    </w:p>
    <w:tbl>
      <w:tblPr>
        <w:tblStyle w:val="17"/>
        <w:tblW w:w="97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2"/>
        <w:gridCol w:w="1274"/>
        <w:gridCol w:w="1557"/>
        <w:gridCol w:w="170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9782" w:type="dxa"/>
            <w:gridSpan w:val="6"/>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b/>
                <w:bCs/>
                <w:color w:val="000000"/>
                <w:kern w:val="0"/>
                <w:sz w:val="24"/>
                <w:szCs w:val="24"/>
                <w:lang w:bidi="ar"/>
              </w:rPr>
              <w:t>本月开展党建工作情况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9782" w:type="dxa"/>
            <w:gridSpan w:val="6"/>
            <w:noWrap/>
            <w:vAlign w:val="bottom"/>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1985"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考核项目</w:t>
            </w:r>
          </w:p>
        </w:tc>
        <w:tc>
          <w:tcPr>
            <w:tcW w:w="6237" w:type="dxa"/>
            <w:gridSpan w:val="4"/>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考核内容</w:t>
            </w:r>
          </w:p>
        </w:tc>
        <w:tc>
          <w:tcPr>
            <w:tcW w:w="15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198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政治意识(25分)</w:t>
            </w:r>
          </w:p>
        </w:tc>
        <w:tc>
          <w:tcPr>
            <w:tcW w:w="6237" w:type="dxa"/>
            <w:gridSpan w:val="4"/>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积极主动学习，提高政治站位，树牢“四个意识”，坚定“四个自信”，坚决做到“两个维护”，勇于担当作为。</w:t>
            </w:r>
          </w:p>
        </w:tc>
        <w:tc>
          <w:tcPr>
            <w:tcW w:w="156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98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业务能力(25分)</w:t>
            </w:r>
          </w:p>
        </w:tc>
        <w:tc>
          <w:tcPr>
            <w:tcW w:w="6237" w:type="dxa"/>
            <w:gridSpan w:val="4"/>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熟悉业务，能独立完成党建工作任务。</w:t>
            </w:r>
          </w:p>
        </w:tc>
        <w:tc>
          <w:tcPr>
            <w:tcW w:w="156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98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工作作风(25分)</w:t>
            </w:r>
          </w:p>
        </w:tc>
        <w:tc>
          <w:tcPr>
            <w:tcW w:w="6237" w:type="dxa"/>
            <w:gridSpan w:val="4"/>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工作积极,主动关心党建工作情况；服从安排，自觉按时完成工作。</w:t>
            </w:r>
          </w:p>
        </w:tc>
        <w:tc>
          <w:tcPr>
            <w:tcW w:w="156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985"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工作质量(25分)</w:t>
            </w:r>
          </w:p>
        </w:tc>
        <w:tc>
          <w:tcPr>
            <w:tcW w:w="6237" w:type="dxa"/>
            <w:gridSpan w:val="4"/>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高质量完成党建工作,得到师生好评。</w:t>
            </w:r>
          </w:p>
        </w:tc>
        <w:tc>
          <w:tcPr>
            <w:tcW w:w="156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1985"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考勤情况</w:t>
            </w:r>
          </w:p>
        </w:tc>
        <w:tc>
          <w:tcPr>
            <w:tcW w:w="2976"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3261" w:type="dxa"/>
            <w:gridSpan w:val="2"/>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b/>
                <w:bCs/>
                <w:color w:val="000000"/>
                <w:kern w:val="0"/>
                <w:sz w:val="24"/>
                <w:szCs w:val="24"/>
                <w:lang w:bidi="ar"/>
              </w:rPr>
              <w:t>自评分总分</w:t>
            </w:r>
          </w:p>
        </w:tc>
        <w:tc>
          <w:tcPr>
            <w:tcW w:w="156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985"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党总支部/</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直属党支部评分</w:t>
            </w:r>
          </w:p>
        </w:tc>
        <w:tc>
          <w:tcPr>
            <w:tcW w:w="170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p>
        </w:tc>
        <w:tc>
          <w:tcPr>
            <w:tcW w:w="1274"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评定等次</w:t>
            </w:r>
          </w:p>
        </w:tc>
        <w:tc>
          <w:tcPr>
            <w:tcW w:w="1557"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p>
        </w:tc>
        <w:tc>
          <w:tcPr>
            <w:tcW w:w="1704"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考勤情况</w:t>
            </w:r>
          </w:p>
        </w:tc>
        <w:tc>
          <w:tcPr>
            <w:tcW w:w="1560" w:type="dxa"/>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bl>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党总支部书记/直属党支部书记签字：</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备注：</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1.考核评分按100分制，评定等次分为优秀、合格、基本合格、不合格，其中90～100为优秀，70～89合格、60～69为基本合格、60以下为不合格。</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2.“考勤情况”栏填写“全勤”或“请假*天”。</w:t>
      </w:r>
    </w:p>
    <w:p>
      <w:pPr>
        <w:pageBreakBefore w:val="0"/>
        <w:widowControl/>
        <w:kinsoku/>
        <w:wordWrap/>
        <w:overflowPunct/>
        <w:topLinePunct w:val="0"/>
        <w:autoSpaceDE/>
        <w:autoSpaceDN/>
        <w:bidi w:val="0"/>
        <w:outlineLvl w:val="9"/>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附表2：</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 w:val="28"/>
          <w:szCs w:val="28"/>
        </w:rPr>
        <w:t>基层党务干部月度考核汇总表</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color w:val="000000"/>
          <w:sz w:val="24"/>
          <w:szCs w:val="24"/>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rPr>
        <w:t xml:space="preserve">  </w:t>
      </w:r>
      <w:r>
        <w:rPr>
          <w:rFonts w:hint="eastAsia" w:ascii="仿宋" w:hAnsi="仿宋" w:eastAsia="仿宋" w:cs="仿宋"/>
          <w:b/>
          <w:bCs/>
          <w:color w:val="000000"/>
          <w:kern w:val="0"/>
          <w:sz w:val="24"/>
          <w:szCs w:val="24"/>
          <w:lang w:bidi="ar"/>
        </w:rPr>
        <w:t>党组织名称（盖章）：                           考核期：      年    月</w:t>
      </w:r>
    </w:p>
    <w:tbl>
      <w:tblPr>
        <w:tblStyle w:val="17"/>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3800"/>
        <w:gridCol w:w="1417"/>
        <w:gridCol w:w="130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jc w:val="center"/>
        </w:trPr>
        <w:tc>
          <w:tcPr>
            <w:tcW w:w="709"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序号</w:t>
            </w:r>
          </w:p>
        </w:tc>
        <w:tc>
          <w:tcPr>
            <w:tcW w:w="113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姓名</w:t>
            </w:r>
          </w:p>
        </w:tc>
        <w:tc>
          <w:tcPr>
            <w:tcW w:w="380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本月开展党建工作情况</w:t>
            </w:r>
          </w:p>
        </w:tc>
        <w:tc>
          <w:tcPr>
            <w:tcW w:w="141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考勤情况</w:t>
            </w:r>
          </w:p>
        </w:tc>
        <w:tc>
          <w:tcPr>
            <w:tcW w:w="1304"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考核等次</w:t>
            </w:r>
          </w:p>
        </w:tc>
        <w:tc>
          <w:tcPr>
            <w:tcW w:w="992"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09" w:type="dxa"/>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13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380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41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30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99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09" w:type="dxa"/>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13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380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41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30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99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09" w:type="dxa"/>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13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380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41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30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99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09" w:type="dxa"/>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13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3800"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417"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1304"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c>
          <w:tcPr>
            <w:tcW w:w="992" w:type="dxa"/>
            <w:vAlign w:val="center"/>
          </w:tcPr>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tc>
      </w:tr>
    </w:tbl>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w:t>
      </w:r>
      <w:r>
        <w:rPr>
          <w:rFonts w:hint="eastAsia" w:ascii="仿宋" w:hAnsi="仿宋" w:eastAsia="仿宋" w:cs="仿宋"/>
          <w:b/>
          <w:bCs/>
          <w:color w:val="000000"/>
          <w:kern w:val="0"/>
          <w:sz w:val="24"/>
          <w:szCs w:val="24"/>
          <w:lang w:bidi="ar"/>
        </w:rPr>
        <w:t xml:space="preserve">   党总支部书记/直属党支部书记签字：</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备注：</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1.评定等次分为优秀、合格、基本合格、不合格，其中90～100为优秀，70～89合格、60～69为基本合格、60以下为不合格。</w:t>
      </w:r>
    </w:p>
    <w:p>
      <w:pPr>
        <w:pageBreakBefore w:val="0"/>
        <w:widowControl/>
        <w:kinsoku/>
        <w:wordWrap/>
        <w:overflowPunct/>
        <w:topLinePunct w:val="0"/>
        <w:autoSpaceDE/>
        <w:autoSpaceDN/>
        <w:bidi w:val="0"/>
        <w:spacing w:line="260" w:lineRule="exact"/>
        <w:textAlignment w:val="center"/>
        <w:outlineLvl w:val="9"/>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2.“考勤情况”栏填写“全勤”或“请假*天”。</w:t>
      </w:r>
    </w:p>
    <w:p>
      <w:pPr>
        <w:pageBreakBefore w:val="0"/>
        <w:widowControl/>
        <w:kinsoku/>
        <w:wordWrap/>
        <w:overflowPunct/>
        <w:topLinePunct w:val="0"/>
        <w:autoSpaceDE/>
        <w:autoSpaceDN/>
        <w:bidi w:val="0"/>
        <w:jc w:val="center"/>
        <w:outlineLvl w:val="9"/>
        <w:rPr>
          <w:rFonts w:hint="eastAsia" w:ascii="仿宋" w:hAnsi="仿宋" w:eastAsia="仿宋" w:cs="仿宋"/>
          <w:bCs/>
          <w:sz w:val="24"/>
          <w:szCs w:val="24"/>
        </w:rPr>
      </w:pPr>
      <w:r>
        <w:rPr>
          <w:rFonts w:hint="eastAsia" w:ascii="仿宋" w:hAnsi="仿宋" w:eastAsia="仿宋" w:cs="仿宋"/>
          <w:bCs/>
          <w:sz w:val="24"/>
          <w:szCs w:val="24"/>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11" w:name="_Toc4276"/>
      <w:bookmarkStart w:id="112" w:name="_Toc32514"/>
      <w:bookmarkStart w:id="113" w:name="_Toc13911"/>
      <w:bookmarkStart w:id="114" w:name="_Toc24160"/>
      <w:r>
        <w:rPr>
          <w:rFonts w:hint="eastAsia" w:ascii="黑体" w:hAnsi="黑体" w:eastAsia="黑体" w:cs="黑体"/>
          <w:color w:val="000000"/>
          <w:kern w:val="2"/>
          <w:sz w:val="36"/>
          <w:szCs w:val="36"/>
        </w:rPr>
        <w:t>柳州职业技术学院关于加强党员干部“八小时外”监督管理的实施办法（试行）</w:t>
      </w:r>
      <w:bookmarkEnd w:id="111"/>
      <w:bookmarkEnd w:id="112"/>
      <w:bookmarkEnd w:id="113"/>
      <w:bookmarkEnd w:id="114"/>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（柳职院党字〔2021〕49 号）</w:t>
      </w:r>
    </w:p>
    <w:p>
      <w:pPr>
        <w:pageBreakBefore w:val="0"/>
        <w:kinsoku/>
        <w:wordWrap/>
        <w:overflowPunct/>
        <w:topLinePunct w:val="0"/>
        <w:autoSpaceDE/>
        <w:autoSpaceDN/>
        <w:bidi w:val="0"/>
        <w:jc w:val="center"/>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贯彻落实全面从严治党要求，从严规范和约束党员干部在工作时间以外（简称“八小时外”）的行为活动，切实加强和改进党员干部作风建设，促使广大党员干部守纪律、讲规矩，作示范、立标杆，根据《柳州市关于加强党员干部“八小时外”监督管理的意见（试行）》，特制定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一、指导思想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坚持以习近平新时代中国特色社会主义思想为指导，全面贯彻党的十九大和十九届二中、三中、四中、五中全会精神，坚持党要管党、从严治党、从高要求、从严监管、抓早抓小、惩教结合、依规依纪依法的原则，加强对党员干部“八小时外”的监督管理，督促党员干部在“八小时外”时刻牢记党员干部身份，自觉约束言行，防止和纠正党员干部在业余时间发生影响公正执行公务、损害党和政府形象、有悖社会公德的行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二、主要监督内容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加强对党员干部“八小时外”监督管理，要紧盯重要事项、重点场所、重点时段，着重对遵守党的政治纪律、组织纪律、廉洁纪律、群众纪律、生活纪律和中央八项规定精神等方面情况进行监督检查，重点监督党员干部尤其是党员领导干部的社交圈、生活圈、休闲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对党员干部“八小时外”的监督，重点监督以下内容：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（一）是否发表不当言论，有无编造、散布、传播政治谣言，妄议中央大政方针，丑化党和国家形象，诋毁、诬蔑党和国家领导人，歪曲党史、国史、军史，公开发表有消极思想或负面影响的不当言论；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（二）是否参加邪教组织、封建迷信活动；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（三）是否拉帮结派，借联谊会、老乡会、同学会、战友会等活动搞“小圈子”“拉山头”；</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是否廉洁自律，严格要求本人及配偶、子女及其配偶和身边工作人员遵守有关规定，有无搞官商勾结，接受利益关系人或者可能影响公正执行公务的馈赠、招待，接受管理服务对象支付应当由个人负担的费用，违反规定经商办企业、兼职取酬、从事营利活动等；</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（五）是否大操大办宴席，利用职务变动、岗位调动以及乔迁新居、升学参军等时机操办宴席或违规操办婚丧喜庆事宜；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（六）是否有在群众面前耍特权、逞威风、侵害群众利益的行为；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（七）是否违背家庭基本伦理，有插足他人婚姻、搞“婚外情”，与他人发生不正当性关系，不孝敬、不赡养父母，不抚养子女或家庭暴力等行为；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（八）是否存在失信行为，恶意拖欠贷款、借款，长期欠缴水费、电费等公用事业服务费用；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（九）是否模范遵守法律法规，有无组织或参与赌博、传播淫秽物品、嫖娼、吸食毒品等违法活动，组织或参与非法集资、借贷、电信诈骗、传销或变相传销活动，有无酒后寻衅滋事或驾驶机动车等行为；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（十）是否有其他不廉洁、妨害社会管理秩序，严重违反社会公德、家庭美德、公序良俗的行为。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三、落实监督责任</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（一）强化党委监督。</w:t>
      </w:r>
      <w:r>
        <w:rPr>
          <w:rFonts w:hint="eastAsia" w:ascii="仿宋" w:hAnsi="仿宋" w:eastAsia="仿宋" w:cs="仿宋"/>
          <w:sz w:val="32"/>
          <w:szCs w:val="32"/>
        </w:rPr>
        <w:t>学校各级党组织要强化政治担当，主动履职尽责，主要负责人要充分履行第一责任人职责，班子成员充分履行管党治党政治责任，共同加强对党员干部的教育管理，要按照《柳州职业技术学院党员干部廉政教育约谈实施办法（试行）》要求，经常性开展谈心谈话，抓早抓小、防微杜渐。学校党委组织部要将党员干部特别是领导干部“八小时外”活动情况作为年度考核、评先评优和提拔任用的重要依据。</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（二）强化专责监督。</w:t>
      </w:r>
      <w:r>
        <w:rPr>
          <w:rFonts w:hint="eastAsia" w:ascii="仿宋" w:hAnsi="仿宋" w:eastAsia="仿宋" w:cs="仿宋"/>
          <w:sz w:val="32"/>
          <w:szCs w:val="32"/>
        </w:rPr>
        <w:t>学校纪委要切实担负起党内监督专责机关职责，主动协助党委加强对党员干部“八小时外”活动的监督，将“八小时外”活动情况作为作风状况评价、党风廉政建设责任制检查考核、干部日常监督管理的重要内容，及时查处违规违纪行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（三）强化社会监督。</w:t>
      </w:r>
      <w:r>
        <w:rPr>
          <w:rFonts w:hint="eastAsia" w:ascii="仿宋" w:hAnsi="仿宋" w:eastAsia="仿宋" w:cs="仿宋"/>
          <w:sz w:val="32"/>
          <w:szCs w:val="32"/>
        </w:rPr>
        <w:t>畅通信访举报渠道，引导广大教职员工举报党员干部“八小时外”违规违纪行为。充分发挥舆论监督作用，利用互联网、手机等监督优势，加强对党员干部“八小时外”活动监督，及时发现和曝光典型问题。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（四）强化家庭监督。</w:t>
      </w:r>
      <w:r>
        <w:rPr>
          <w:rFonts w:hint="eastAsia" w:ascii="仿宋" w:hAnsi="仿宋" w:eastAsia="仿宋" w:cs="仿宋"/>
          <w:sz w:val="32"/>
          <w:szCs w:val="32"/>
        </w:rPr>
        <w:t>加强与党员干部家庭成员特别是其配偶的沟通联系，教育引导和鼓励家属多关心、过问党员干部的思想、工作和生活情况，当好监督员和“廉内助”。通过约谈、召开座谈会、发放征求意见表等多种方式，及时向家属了解党员干部“八小时外”活动表现情况。</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（五）强化自我监督。</w:t>
      </w:r>
      <w:r>
        <w:rPr>
          <w:rFonts w:hint="eastAsia" w:ascii="仿宋" w:hAnsi="仿宋" w:eastAsia="仿宋" w:cs="仿宋"/>
          <w:sz w:val="32"/>
          <w:szCs w:val="32"/>
        </w:rPr>
        <w:t>党员干部要自觉约束“八小时外”的言行，严格遵守党规党纪和国家法律法规，自觉遵守和弘扬社会公德、职业道德、家庭美德，自觉养成高尚的精神追求和健康的生活情趣，防止权力滥用和影响公众形象行为的发生。要严格执行请示报告制度，及时报告个人有关事项，在年度民主生活会或组织生活会上对照检查“八小时外”表现情况。要注重家风建设，坚持以德治家、以廉保家、以俭兴家。</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sz w:val="32"/>
          <w:szCs w:val="32"/>
        </w:rPr>
      </w:pPr>
      <w:r>
        <w:rPr>
          <w:rFonts w:hint="eastAsia" w:ascii="仿宋" w:hAnsi="仿宋" w:eastAsia="仿宋" w:cs="仿宋"/>
          <w:b/>
          <w:sz w:val="32"/>
          <w:szCs w:val="32"/>
        </w:rPr>
        <w:t>四、严格责任追究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学校纪委严格落实党风廉政建设的监督责任，对党员干部 “八小时外”的违规违纪行为，综合运用党内监督“四种形态”，严格依规依纪依法给以相应处理。对未履行或未正确履行管理责任的，依据有关规定，严肃追究主体责任、领导责任。</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15" w:name="_Toc11476"/>
      <w:bookmarkStart w:id="116" w:name="_Toc32624"/>
      <w:bookmarkStart w:id="117" w:name="_Toc18651"/>
      <w:bookmarkStart w:id="118" w:name="_Toc1302"/>
      <w:r>
        <w:rPr>
          <w:rFonts w:hint="eastAsia" w:ascii="黑体" w:hAnsi="黑体" w:eastAsia="黑体" w:cs="黑体"/>
          <w:color w:val="000000"/>
          <w:kern w:val="2"/>
          <w:sz w:val="36"/>
          <w:szCs w:val="36"/>
        </w:rPr>
        <w:t>柳州职业技术学院推进在低年级大学生中发展党员工作的实施办法</w:t>
      </w:r>
      <w:r>
        <w:rPr>
          <w:rFonts w:hint="eastAsia" w:ascii="黑体" w:hAnsi="黑体" w:eastAsia="黑体" w:cs="黑体"/>
          <w:color w:val="000000"/>
          <w:kern w:val="2"/>
          <w:sz w:val="36"/>
          <w:szCs w:val="36"/>
          <w:lang w:eastAsia="zh-CN"/>
        </w:rPr>
        <w:t>、</w:t>
      </w:r>
      <w:r>
        <w:rPr>
          <w:rFonts w:hint="eastAsia" w:ascii="黑体" w:hAnsi="黑体" w:eastAsia="黑体" w:cs="黑体"/>
          <w:color w:val="000000"/>
          <w:kern w:val="2"/>
          <w:sz w:val="36"/>
          <w:szCs w:val="36"/>
        </w:rPr>
        <w:t>柳州职业技术学院关于加强学校专职组织员队伍建设的实施办法</w:t>
      </w:r>
      <w:bookmarkEnd w:id="115"/>
      <w:bookmarkEnd w:id="116"/>
      <w:bookmarkEnd w:id="117"/>
      <w:bookmarkEnd w:id="118"/>
    </w:p>
    <w:p>
      <w:pPr>
        <w:pageBreakBefore w:val="0"/>
        <w:widowControl/>
        <w:kinsoku/>
        <w:wordWrap/>
        <w:overflowPunct/>
        <w:topLinePunct w:val="0"/>
        <w:autoSpaceDE/>
        <w:autoSpaceDN/>
        <w:bidi w:val="0"/>
        <w:jc w:val="center"/>
        <w:outlineLvl w:val="9"/>
        <w:rPr>
          <w:rFonts w:hint="eastAsia" w:ascii="仿宋" w:hAnsi="仿宋" w:eastAsia="仿宋" w:cs="仿宋"/>
          <w:sz w:val="32"/>
          <w:szCs w:val="32"/>
        </w:rPr>
      </w:pPr>
      <w:r>
        <w:rPr>
          <w:rFonts w:hint="eastAsia" w:ascii="仿宋" w:hAnsi="仿宋" w:eastAsia="仿宋" w:cs="仿宋"/>
          <w:bCs/>
          <w:sz w:val="32"/>
          <w:szCs w:val="32"/>
        </w:rPr>
        <w:t xml:space="preserve"> (</w:t>
      </w:r>
      <w:r>
        <w:rPr>
          <w:rFonts w:hint="eastAsia" w:ascii="仿宋" w:hAnsi="仿宋" w:eastAsia="仿宋" w:cs="仿宋"/>
          <w:sz w:val="32"/>
          <w:szCs w:val="32"/>
        </w:rPr>
        <w:t>柳职院党字〔2021〕61号)</w:t>
      </w:r>
    </w:p>
    <w:p>
      <w:pPr>
        <w:pageBreakBefore w:val="0"/>
        <w:kinsoku/>
        <w:wordWrap/>
        <w:overflowPunct/>
        <w:topLinePunct w:val="0"/>
        <w:autoSpaceDE/>
        <w:autoSpaceDN/>
        <w:bidi w:val="0"/>
        <w:spacing w:line="540" w:lineRule="exact"/>
        <w:ind w:firstLine="640" w:firstLineChars="200"/>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为推进在低年级（大一、大二年级）大学生中发展党员工作，提高发展党员质量，根据《自治区党委组织部 自治区党委教育工委关于印发&lt;推进在低年级大学生中发展党员工作的若干措施&gt;和&lt;加强学校专职组织员队伍建设的若干措施&gt;的通知》（桂组发〔2021〕5号）文件精神，制定本办法。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Cs/>
          <w:sz w:val="32"/>
          <w:szCs w:val="32"/>
        </w:rPr>
      </w:pPr>
      <w:r>
        <w:rPr>
          <w:rFonts w:hint="eastAsia" w:ascii="仿宋" w:hAnsi="仿宋" w:eastAsia="仿宋" w:cs="仿宋"/>
          <w:b/>
          <w:bCs/>
          <w:sz w:val="32"/>
          <w:szCs w:val="32"/>
        </w:rPr>
        <w:t>一、加强政治引领</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突出加强低年级大学生的思想教育和理论武装，把学习贯彻习近平新时代中国特色社会主义思想作为首要政治任务，通过课堂教学、专题讲座、主题班会或团日活动等形式，推动党的创新理论进教材、进课堂、进头脑，加强党史、新中国史、改革开放史、社会主义发展史以及爱国主义、集体主义、社会主义思想教育，教育引导低年级大学生听党话、感党恩、跟党走，积极向党组织靠拢。</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上好“新生开学第一课”、思政课，把党课教育纳入低年级教学计划，马克思主义学院探索开设党的基本知识校级公共选修课，积极引导低年级大学生参加青年马克思主义者培养工程，采取理论教学与实践教学相结合的方式，面向低年级大学生开展党的基本知识教育，激发政治热情，厚植入党志愿。</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坚持把思想入党作为大学生入党的首要政治条件，引导志愿入党的大学生加强政治修养和政治历练，努力做到政治合格。学校党委书记及联系各二级学院的党委委员要在新生入学教育、入党积极分子培养教育中讲党课、作形势报告，各二级学院党组织书记和辅导员要定期为低年级学生讲党课，党课内容、时间安排在新生入学后一月内上报学校党委组织部备案，学校党委组织部根据情况派人列席党课。</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严把党员发展政治关，探索建立政治不合格负面清单制度，在是否真学真信习近平新时代中国特色社会主义思想，是否具有坚定理想信念和良好道德品行，是否能够在学习生活中起到表率作用等方面加强政治把关，坚决把那些政治原则上态度暧昧、是非观念淡薄、功利思想严重的挡在党组织门外。</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二、健全组织设置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根据党章和党内有关规定，在符合条件的低年级班级或学科专业及时成立党组织。积极推行在重大项目组、科研平台或学生社区等设置党支部，将党的组织和工作覆盖到教学和学生管理一线。通过将本年级（专业)辅导员、党员班主任、党员教师、高年级学生党员等组织关系转入的方式组建党支部，或者通过选派辅导员、党员班主任、党员教师、高年级学生党员、教师（学生）党支部挂钩指导等方式开展党的工作，确保党的工作覆盖到每名大学生。学生党支部委员会和不设支部委员会的支部书记、副书记每届任期一般为3年，坚持按期换届。合理控制学生党支部党员人数规模，一般在50人以内。结合实施党支部“强基固本”工程，加强低年级大学生党支部基本队伍、基本活动、基本制度、基本保障建设，提升党组织的政治功能和组织力，把广大学生团结在党组织周围。</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三、建强党务队伍</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加强低年级大学生党支部书记队伍建设，注重从优秀辅导员、组织员、骨干教师、大学生党员中选拔党支部书记。</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加强组织员队伍建设，注重选派党性强、品行好、作风正、熟悉党务工作的优秀党员干部担任组织员，学生人数在3000人及以上的二级学院至少配备2名专职组织员，学生人数在3000人以下的二级学院至少配备1名专职组织员，马克思主义学院和通识教育学院配备兼职组织员。</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加强辅导员队伍建设，按师生比不低于1:200设置专职辅导员岗位，发挥辅导员思想政治教育作用，做好入党积极分子培养教育工作。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加强党务工作者培训，依托校外党校、行政学院、干部学院等培训机构和校内培训，每年定期开展党务工作者特别是低年级学生党支部书记的集中培训，不断提高业务能力和工作水平。</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推进党务工作者队伍专业化职业化建设，打通专职党务工作者职务、职级“双线”晋升通道，完善保障激励机制，将担任专职组织员、党支部书记等党务工作者经历及工作情况作为职称评审、评优评先等的重要参考。</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四、抓好教育培养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坚持早教育、早发现、早培养，扩大低年级大学生入党积极分子规模，二级学院党组织要在新生入学后的第一学期末确定一批重点关注培养对象（人数不少于本院新生团员人数的40%）。把加强低年级大学生入党积极分子集中培训纳入学校、二级学院两级党校教学安排，丰富教学内容、创新教育方式、强化实践锻炼，着力解决低年级大学生入党积极分子思想入党问题。采取列席“三会一课”、参加主题党日活动、参与学生事务管理等方式，以党员标准加强入党积极分子的实践锻炼，重点关注学生“第二课堂成绩单”。每年开展发展对象专题培训，将参加培训情况作为讨论预备党员接收的重要依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严格执行《柳州职业技术学院党员领导干部联系基层工作办法（试行）》，学校和二级学院领导班子党员成员至少联系1个学生党支部，并担任入党积极分子培养联系人，落实培养联系责任。建立以党支部书记、支部委员为主，辅导员、党员专任教师为辅的培养联系人队伍，定期联系低年级大学生入党积极分子，每月至少联系沟通1次，了解思想动态，加强政治引导。建立经常性谈心谈话制度，党支部在收到入党申请书后、确定入党积极分子时、确定发展对象时、基层党委审批前、预备党员转正后都要派人谈话，掌握思想动态，指出缺点不足和努力方向，做好深入细致的思想教育工作。谈心谈话情况要向党组织报告。</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五、严格发展程序</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认真落实培养、预审、公示、谈话、审批和接收、转正等程序要求，既不能随意简化，也不能层层加码。严格党员标准，未满18岁的低年级大学生不得申请入党，更不得发展为党员。严格把好发展党员政治标准，凡未经政治审查或政治审查不合格的不能发展入党。规范支部大会程序，参会人数要符合要求，发展对象本人必须参会。学校、二级学院党组织要按照规定及时讨论审批党支部上报的接收预备党员或预备党员转正决议，审批必须集体讨论、逐一表决，严禁以党政联席会议讨论审批发展党员事项。严格执行公示制度，党支部确定发展对象人选后、讨论预备党员转正前，要公示5个工作日。发展对象未来3个月内将离开学校的，一般不办理接收预备党员手续。要及时组织预备党员进行入党宣誓，没有进行入党宣誓的，不能转为正式党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六、强化管理服务</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通过设立党员示范岗、党员责任区、党员先锋队，组织低年级大学生党员参与班级、社团、宿舍等管理服务，参加社会调研、志愿服务、公益活动等，在实践锻炼中增长才干、作出贡献。加强对低年级大学生的关心关爱，对出现思想波动、学习生活遇到困难的学生，党组织要安排专人联系帮扶，加强思想引导、学习指导、心理辅导，增进他们对党的感情，吸引他们向党组织靠拢。探索流动大学生党员的有效管理方式，对组织关系保留在校的实习生党员、出国（境）学习学生党员等，探索通过“网络党支部”“网上党校”“党员QQ群”“网络组织生活会”等形式进行经常化、可持续的教育管理。加强和规范大学生党员档案管理，党支部要严格执行发展党员工作全程纪实制度，及时将学生党员的入党申请书、入党积极分子培养教育考察材料、政治审查材料、转正申请书和入党志愿书等党员档案材料交所在二级学院党组织存入其本人档案。二级学院党组织要设立专用档案室或档案柜,由组织员负责收集、整理、审核、管理发展党员材料，对党支部发展党员工作进行全程监督指导。</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七、完善工作机制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各二级学院党组织加大对低年级大学生发展党员力度，确保完成学校单独编制低年级大学生发展党员计划数，可以超计划数，确保在低年级大学生发展党员数不低于二级学院在大学生中发展党员数的30%。二级学院党组织每年要与所属党支部对党员队伍结构、入党积极分子队伍建设等情况进行深入分析，研究确定发展对象。学校、二级学院两级共青团组织要采取志愿服务等形式，加强对低年级大学生的政治引领和思想教育，积极做好共青团“推优”工作，为党组织输送新鲜血液。健全低年级大学生入党积极分子信息库，每半年分析1次入党积极分子队伍状况，及时调整不合格人员。结合每年二级学院党建工作考核，由学校党委组织部牵头，围绕发展党员工作是否规范，培养联系任务是否落实，思想教育是否抓实等方面，通过查阅档案、座谈交流、问卷调查、随机暗访、满意度测评等方式，对各二级学院发展党员工作进行综合研判，作出全面评估。强化结果运用，把评估工作纳入考核考评、述职评议等内容，评估结果作为领导干部提拔使用、评优评先等的重要参考，对存在的突出问题，督促整改落实。</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八、落实基础保障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认真落实党建工作经费，党建工作经费列入学校年度经费预算，确保党建工作经费专款专用、规范使用。经费保障适当向低年级大学生发展党员工作倾斜。强化活动阵地建设，依托党员活动室、党员教育中心、大学生活动中心等建设党组织活动场所，为低年级大学生党组织开展活动提供阵地保障。</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九、压实主体责任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学校党委、各基层党组织、各部门要高度重视、加强领导，把在低年级大学生中发展党员工作纳入党建工作责任制，列入二级学院党组织书记抓基层党建工作述职评议考核重要内容，不断提高发展党员工作质量。学校党委书记、二级学院党组织书记要认真履行第一责任人责任，做到亲自过问、亲自部署、亲自协调、亲自督办。</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学校党委每年至少专题研究1次在低年级大学生中发展党员工作。二级学院党组织要具体抓好在低年级大学生中发展党员工作，每半年至少专题研究1次。学生党支部要认真履行发展党员工作职责，每半年对低年级大学生入党积极分子进行1次考察，及时分析和解决工作中存在的问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十、加强督促指导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bCs/>
          <w:sz w:val="32"/>
          <w:szCs w:val="32"/>
        </w:rPr>
      </w:pPr>
      <w:r>
        <w:rPr>
          <w:rFonts w:hint="eastAsia" w:ascii="仿宋" w:hAnsi="仿宋" w:eastAsia="仿宋" w:cs="仿宋"/>
          <w:bCs/>
          <w:sz w:val="32"/>
          <w:szCs w:val="32"/>
        </w:rPr>
        <w:t>学校党委组织部负责对在低年级大学生中发展党员工作进行经常性、常态化的监督检查，对教育培养不深入、发展程序不规范、档案管理有问题的二级学院党组织，及时指出问题、督促指导整改，确保发展党员工作质量。严肃发展党员工作纪律，对违反党章和其他党内法规规定的，要依规依纪严肃追责问责。</w:t>
      </w: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left"/>
        <w:outlineLvl w:val="9"/>
        <w:rPr>
          <w:rFonts w:hint="eastAsia" w:ascii="仿宋" w:hAnsi="仿宋" w:eastAsia="仿宋" w:cs="仿宋"/>
          <w:sz w:val="32"/>
          <w:szCs w:val="32"/>
        </w:rPr>
      </w:pP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2098" w:right="1474" w:bottom="1984" w:left="1587" w:header="851" w:footer="992" w:gutter="0"/>
          <w:pgNumType w:fmt="decimal"/>
          <w:cols w:space="425"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lang w:eastAsia="zh-Hans"/>
        </w:rPr>
      </w:pPr>
      <w:bookmarkStart w:id="119" w:name="_Toc24328"/>
      <w:bookmarkStart w:id="120" w:name="_Toc3764"/>
      <w:bookmarkStart w:id="121" w:name="_Toc27514"/>
      <w:bookmarkStart w:id="122" w:name="_Toc21392"/>
      <w:r>
        <w:rPr>
          <w:rFonts w:hint="eastAsia" w:ascii="黑体" w:hAnsi="黑体" w:eastAsia="黑体" w:cs="黑体"/>
          <w:color w:val="000000"/>
          <w:kern w:val="2"/>
          <w:sz w:val="36"/>
          <w:szCs w:val="36"/>
          <w:lang w:eastAsia="zh-Hans"/>
        </w:rPr>
        <w:t>柳州职业技术学院党员档案管理办法（试行）</w:t>
      </w:r>
      <w:bookmarkEnd w:id="119"/>
      <w:bookmarkEnd w:id="120"/>
      <w:bookmarkEnd w:id="121"/>
      <w:bookmarkEnd w:id="122"/>
    </w:p>
    <w:p>
      <w:pPr>
        <w:pageBreakBefore w:val="0"/>
        <w:widowControl/>
        <w:kinsoku/>
        <w:wordWrap/>
        <w:overflowPunct/>
        <w:topLinePunct w:val="0"/>
        <w:autoSpaceDE/>
        <w:autoSpaceDN/>
        <w:bidi w:val="0"/>
        <w:jc w:val="center"/>
        <w:outlineLvl w:val="9"/>
        <w:rPr>
          <w:rFonts w:hint="eastAsia" w:ascii="仿宋" w:hAnsi="仿宋" w:eastAsia="仿宋" w:cs="仿宋"/>
          <w:sz w:val="32"/>
          <w:szCs w:val="32"/>
        </w:rPr>
      </w:pPr>
      <w:r>
        <w:rPr>
          <w:rFonts w:hint="eastAsia" w:ascii="仿宋" w:hAnsi="仿宋" w:eastAsia="仿宋" w:cs="仿宋"/>
          <w:bCs/>
          <w:sz w:val="32"/>
          <w:szCs w:val="32"/>
        </w:rPr>
        <w:t xml:space="preserve"> (</w:t>
      </w:r>
      <w:r>
        <w:rPr>
          <w:rFonts w:hint="eastAsia" w:ascii="仿宋" w:hAnsi="仿宋" w:eastAsia="仿宋" w:cs="仿宋"/>
          <w:sz w:val="32"/>
          <w:szCs w:val="32"/>
        </w:rPr>
        <w:t>柳职院党字〔2021〕67号)</w:t>
      </w:r>
    </w:p>
    <w:p>
      <w:pPr>
        <w:pageBreakBefore w:val="0"/>
        <w:kinsoku/>
        <w:wordWrap/>
        <w:overflowPunct/>
        <w:topLinePunct w:val="0"/>
        <w:autoSpaceDE/>
        <w:autoSpaceDN/>
        <w:bidi w:val="0"/>
        <w:spacing w:line="54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bCs/>
          <w:sz w:val="32"/>
          <w:szCs w:val="32"/>
        </w:rPr>
      </w:pPr>
      <w:r>
        <w:rPr>
          <w:rFonts w:hint="eastAsia" w:ascii="仿宋" w:hAnsi="仿宋" w:eastAsia="仿宋" w:cs="仿宋"/>
          <w:b/>
          <w:bCs/>
          <w:sz w:val="32"/>
          <w:szCs w:val="32"/>
        </w:rPr>
        <w:t>第一章  总 则</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第一条 </w:t>
      </w:r>
      <w:r>
        <w:rPr>
          <w:rFonts w:hint="eastAsia" w:ascii="仿宋" w:hAnsi="仿宋" w:eastAsia="仿宋" w:cs="仿宋"/>
          <w:color w:val="000000"/>
          <w:sz w:val="32"/>
          <w:szCs w:val="32"/>
        </w:rPr>
        <w:t>为适应新时代基层党建工作的需要，切实加强党员档案管理工作，有效地保护和利用好档案材料，使党员档案管理工作进一步制度化、规范化、科学化，根据《中国共产党章程》、《中国共产党发展党员工作细则》及《中华人民共和国档案法》的有关规定，结合学校实际，制定本办法。</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 xml:space="preserve"> </w:t>
      </w:r>
      <w:r>
        <w:rPr>
          <w:rFonts w:hint="eastAsia" w:ascii="仿宋" w:hAnsi="仿宋" w:eastAsia="仿宋" w:cs="仿宋"/>
          <w:color w:val="000000"/>
          <w:sz w:val="32"/>
          <w:szCs w:val="32"/>
        </w:rPr>
        <w:t>党员档案管理工作必须贯彻执行党和国家有关档案管理、保密的法规和制度。</w:t>
      </w:r>
    </w:p>
    <w:p>
      <w:pPr>
        <w:pageBreakBefore w:val="0"/>
        <w:widowControl/>
        <w:numPr>
          <w:ilvl w:val="0"/>
          <w:numId w:val="2"/>
        </w:numPr>
        <w:kinsoku/>
        <w:wordWrap/>
        <w:overflowPunct/>
        <w:topLinePunct w:val="0"/>
        <w:autoSpaceDE/>
        <w:autoSpaceDN/>
        <w:bidi w:val="0"/>
        <w:adjustRightInd w:val="0"/>
        <w:snapToGrid w:val="0"/>
        <w:spacing w:line="596" w:lineRule="exact"/>
        <w:ind w:firstLine="643" w:firstLineChars="200"/>
        <w:jc w:val="center"/>
        <w:outlineLvl w:val="9"/>
        <w:rPr>
          <w:rFonts w:hint="eastAsia" w:ascii="仿宋" w:hAnsi="仿宋" w:eastAsia="仿宋" w:cs="仿宋"/>
          <w:b/>
          <w:color w:val="000000"/>
          <w:sz w:val="32"/>
          <w:szCs w:val="32"/>
        </w:rPr>
      </w:pPr>
      <w:r>
        <w:rPr>
          <w:rFonts w:hint="eastAsia" w:ascii="仿宋" w:hAnsi="仿宋" w:eastAsia="仿宋" w:cs="仿宋"/>
          <w:b/>
          <w:color w:val="000000"/>
          <w:sz w:val="32"/>
          <w:szCs w:val="32"/>
        </w:rPr>
        <w:t>档案内容</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第三条 </w:t>
      </w:r>
      <w:r>
        <w:rPr>
          <w:rFonts w:hint="eastAsia" w:ascii="仿宋" w:hAnsi="仿宋" w:eastAsia="仿宋" w:cs="仿宋"/>
          <w:color w:val="000000"/>
          <w:sz w:val="32"/>
          <w:szCs w:val="32"/>
        </w:rPr>
        <w:t>党员档案主要包括下列材料：</w:t>
      </w:r>
    </w:p>
    <w:p>
      <w:pPr>
        <w:pageBreakBefore w:val="0"/>
        <w:widowControl/>
        <w:kinsoku/>
        <w:wordWrap/>
        <w:overflowPunct/>
        <w:topLinePunct w:val="0"/>
        <w:autoSpaceDE/>
        <w:autoSpaceDN/>
        <w:bidi w:val="0"/>
        <w:adjustRightInd w:val="0"/>
        <w:snapToGrid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color w:val="000000"/>
          <w:sz w:val="32"/>
          <w:szCs w:val="32"/>
        </w:rPr>
        <w:t>（一）发展党员材料。主要包括《发展党员全程纪实表》、入党申请书、《入党积极分子备案登记表》、思想汇报、《入党积极分子培养考察表》、《发展对象备案登记表》、政治审查材料及报告、短期集中培训证明、自传、《入党志愿书》、《预备党员考察登记表》、转正申请书、讨论入党积极分子、发展对象、预备党员及转正的会议记录复印件等。</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二）处分材料。党员违反党纪国法所受的党纪政纪处分决定（免于处分的处理意见）等材料；在民主评议党员中认定为不合格的主要事实依据材料和党支部对其做出的限期改正、劝退和除名等处置的决定、向上级党组织的报告材料、上级党组织的批复意见材料；取消预备党员资格的组织意见；延长预备期的有关材料。</w:t>
      </w:r>
    </w:p>
    <w:p>
      <w:pPr>
        <w:pageBreakBefore w:val="0"/>
        <w:widowControl/>
        <w:kinsoku/>
        <w:wordWrap/>
        <w:overflowPunct/>
        <w:topLinePunct w:val="0"/>
        <w:autoSpaceDE/>
        <w:autoSpaceDN/>
        <w:bidi w:val="0"/>
        <w:adjustRightInd w:val="0"/>
        <w:snapToGrid w:val="0"/>
        <w:spacing w:line="596" w:lineRule="exact"/>
        <w:ind w:firstLine="640" w:firstLineChars="200"/>
        <w:jc w:val="left"/>
        <w:outlineLvl w:val="9"/>
        <w:rPr>
          <w:rFonts w:hint="eastAsia" w:ascii="仿宋" w:hAnsi="仿宋" w:eastAsia="仿宋" w:cs="仿宋"/>
          <w:sz w:val="32"/>
          <w:szCs w:val="32"/>
        </w:rPr>
      </w:pPr>
      <w:r>
        <w:rPr>
          <w:rFonts w:hint="eastAsia" w:ascii="仿宋" w:hAnsi="仿宋" w:eastAsia="仿宋" w:cs="仿宋"/>
          <w:color w:val="000000"/>
          <w:sz w:val="32"/>
          <w:szCs w:val="32"/>
        </w:rPr>
        <w:t>（三）其它材料。年度民主评议和组织考核形成的综合材料；党员的退党申请书、党支部大会讨论并宣布对其除名的决定向上级党组织呈报的备案材料；其它可供组织参考的材料。</w:t>
      </w:r>
    </w:p>
    <w:p>
      <w:pPr>
        <w:pageBreakBefore w:val="0"/>
        <w:widowControl/>
        <w:kinsoku/>
        <w:wordWrap/>
        <w:overflowPunct/>
        <w:topLinePunct w:val="0"/>
        <w:autoSpaceDE/>
        <w:autoSpaceDN/>
        <w:bidi w:val="0"/>
        <w:adjustRightInd w:val="0"/>
        <w:snapToGrid w:val="0"/>
        <w:spacing w:line="596" w:lineRule="exact"/>
        <w:jc w:val="center"/>
        <w:outlineLvl w:val="9"/>
        <w:rPr>
          <w:rFonts w:hint="eastAsia" w:ascii="仿宋" w:hAnsi="仿宋" w:eastAsia="仿宋" w:cs="仿宋"/>
          <w:sz w:val="32"/>
          <w:szCs w:val="32"/>
        </w:rPr>
      </w:pPr>
      <w:r>
        <w:rPr>
          <w:rFonts w:hint="eastAsia" w:ascii="仿宋" w:hAnsi="仿宋" w:eastAsia="仿宋" w:cs="仿宋"/>
          <w:b/>
          <w:bCs/>
          <w:sz w:val="32"/>
          <w:szCs w:val="32"/>
        </w:rPr>
        <w:t>第三章  档案接收</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color w:val="000000"/>
          <w:sz w:val="32"/>
          <w:szCs w:val="32"/>
        </w:rPr>
      </w:pPr>
      <w:r>
        <w:rPr>
          <w:rFonts w:hint="eastAsia" w:ascii="仿宋" w:hAnsi="仿宋" w:eastAsia="仿宋" w:cs="仿宋"/>
          <w:b/>
          <w:bCs/>
          <w:color w:val="000000"/>
          <w:sz w:val="32"/>
          <w:szCs w:val="32"/>
        </w:rPr>
        <w:t>第四条</w:t>
      </w:r>
      <w:r>
        <w:rPr>
          <w:rFonts w:hint="eastAsia" w:ascii="仿宋" w:hAnsi="仿宋" w:eastAsia="仿宋" w:cs="仿宋"/>
          <w:color w:val="000000"/>
          <w:sz w:val="32"/>
          <w:szCs w:val="32"/>
        </w:rPr>
        <w:t xml:space="preserve">  由校外转入组织关系的党员，在接收组织关系时应同步接收其党员档案。其中：新入职教师党员的档案统一转递到学校干部人事档案室集中接收保管，新入学学生党员的档案统一转递到所属二级学院党总支部集中接收保管。</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color w:val="000000"/>
          <w:sz w:val="32"/>
          <w:szCs w:val="32"/>
        </w:rPr>
      </w:pPr>
      <w:r>
        <w:rPr>
          <w:rFonts w:hint="eastAsia" w:ascii="仿宋" w:hAnsi="仿宋" w:eastAsia="仿宋" w:cs="仿宋"/>
          <w:b/>
          <w:bCs/>
          <w:color w:val="000000"/>
          <w:sz w:val="32"/>
          <w:szCs w:val="32"/>
        </w:rPr>
        <w:t>第五条</w:t>
      </w:r>
      <w:r>
        <w:rPr>
          <w:rFonts w:hint="eastAsia" w:ascii="仿宋" w:hAnsi="仿宋" w:eastAsia="仿宋" w:cs="仿宋"/>
          <w:color w:val="000000"/>
          <w:sz w:val="32"/>
          <w:szCs w:val="32"/>
        </w:rPr>
        <w:t xml:space="preserve">  新入职教师党员从原党组织办理党组织关系转出手续后，携带入职证明材料到学校党委组织部报到，由学校党委组织部和干部人事档案室共同审查其党员档案。如出现缺漏或不全，由党委组织部联系当事人或相关单位进行补充完善。</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 xml:space="preserve"> </w:t>
      </w:r>
      <w:r>
        <w:rPr>
          <w:rFonts w:hint="eastAsia" w:ascii="仿宋" w:hAnsi="仿宋" w:eastAsia="仿宋" w:cs="仿宋"/>
          <w:color w:val="000000"/>
          <w:sz w:val="32"/>
          <w:szCs w:val="32"/>
        </w:rPr>
        <w:t>新入学学生党员从原党组织办理党组织关系转出手续后，携带入学证明材料到所属二级学院党总支部报到，由二级学院党总支部负责审查党员档案并报备学校党委组织部。如出现缺漏或不全，及时联系当事人或相关单位进行补充完善。</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第七条 </w:t>
      </w:r>
      <w:r>
        <w:rPr>
          <w:rFonts w:hint="eastAsia" w:ascii="仿宋" w:hAnsi="仿宋" w:eastAsia="仿宋" w:cs="仿宋"/>
          <w:color w:val="000000"/>
          <w:sz w:val="32"/>
          <w:szCs w:val="32"/>
        </w:rPr>
        <w:t>党员档案经审查合格并整理归档后，学校党委组织部才予以接收党组织关系，并把党员编入相应党支部，所属党支部应及时登记转入党员信息。</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 xml:space="preserve"> 档案接收应遵守下列规定：</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（一）党员档案必须通过机要交通或派专人送取，不接收党员本人（或委托人）自带的党员档案；</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（二）党员档案需贴密封签封档并盖原党组织公章；</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color w:val="000000"/>
          <w:sz w:val="32"/>
          <w:szCs w:val="32"/>
        </w:rPr>
        <w:t>（三）接收党员档案时，应当审核档案的准确性、真实性、完整性，核对无误后及时归档保存。</w:t>
      </w:r>
    </w:p>
    <w:p>
      <w:pPr>
        <w:pageBreakBefore w:val="0"/>
        <w:widowControl/>
        <w:kinsoku/>
        <w:wordWrap/>
        <w:overflowPunct/>
        <w:topLinePunct w:val="0"/>
        <w:autoSpaceDE/>
        <w:autoSpaceDN/>
        <w:bidi w:val="0"/>
        <w:adjustRightInd w:val="0"/>
        <w:snapToGrid w:val="0"/>
        <w:spacing w:line="596" w:lineRule="exact"/>
        <w:jc w:val="center"/>
        <w:outlineLvl w:val="9"/>
        <w:rPr>
          <w:rFonts w:hint="eastAsia" w:ascii="仿宋" w:hAnsi="仿宋" w:eastAsia="仿宋" w:cs="仿宋"/>
          <w:b/>
          <w:bCs/>
          <w:sz w:val="32"/>
          <w:szCs w:val="32"/>
        </w:rPr>
      </w:pPr>
      <w:r>
        <w:rPr>
          <w:rFonts w:hint="eastAsia" w:ascii="仿宋" w:hAnsi="仿宋" w:eastAsia="仿宋" w:cs="仿宋"/>
          <w:b/>
          <w:bCs/>
          <w:sz w:val="32"/>
          <w:szCs w:val="32"/>
        </w:rPr>
        <w:t>第四章  档案转递</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 xml:space="preserve"> </w:t>
      </w:r>
      <w:r>
        <w:rPr>
          <w:rFonts w:hint="eastAsia" w:ascii="仿宋" w:hAnsi="仿宋" w:eastAsia="仿宋" w:cs="仿宋"/>
          <w:color w:val="000000"/>
          <w:sz w:val="32"/>
          <w:szCs w:val="32"/>
        </w:rPr>
        <w:t>新发展教师党员的档案由所属党组织整理后交学校党委组织部，由党委组织部统一交学校干部人事档案室归档。</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w:t>
      </w:r>
      <w:r>
        <w:rPr>
          <w:rFonts w:hint="eastAsia" w:ascii="仿宋" w:hAnsi="仿宋" w:eastAsia="仿宋" w:cs="仿宋"/>
          <w:color w:val="000000"/>
          <w:sz w:val="32"/>
          <w:szCs w:val="32"/>
        </w:rPr>
        <w:t>学生党员的档案由所属党支部整理归档，上交所属二级学院党总支部党建组织员审核并统一管理。学生党员毕业时，各二级学院党总支部党建组织员审核签字，在骑缝处加盖党总支部公章并贴密封签封档后移交学生辅导员，由辅导员放入党员毕业档案一同转出。</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第十一条 </w:t>
      </w:r>
      <w:r>
        <w:rPr>
          <w:rFonts w:hint="eastAsia" w:ascii="仿宋" w:hAnsi="仿宋" w:eastAsia="仿宋" w:cs="仿宋"/>
          <w:color w:val="000000"/>
          <w:sz w:val="32"/>
          <w:szCs w:val="32"/>
        </w:rPr>
        <w:t>对培养期间调离学校的教师和学生，应填写好培养期内考察意见，培养材料随同人事档案一并发往新单位。转递流程参照第九、第十条。</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w:t>
      </w:r>
      <w:r>
        <w:rPr>
          <w:rFonts w:hint="eastAsia" w:ascii="仿宋" w:hAnsi="仿宋" w:eastAsia="仿宋" w:cs="仿宋"/>
          <w:color w:val="000000"/>
          <w:sz w:val="32"/>
          <w:szCs w:val="32"/>
        </w:rPr>
        <w:t>转递档案应遵守下列规定：</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（一）通过机要交通或派专人送取，党员档案不得交由党员本人自带或通过普通快递邮寄；</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（二）对必须转出的党员档案，不得无故扣留，转出时应密封包装；</w:t>
      </w:r>
    </w:p>
    <w:p>
      <w:pPr>
        <w:pageBreakBefore w:val="0"/>
        <w:widowControl/>
        <w:kinsoku/>
        <w:wordWrap/>
        <w:overflowPunct/>
        <w:topLinePunct w:val="0"/>
        <w:autoSpaceDE/>
        <w:autoSpaceDN/>
        <w:bidi w:val="0"/>
        <w:adjustRightInd w:val="0"/>
        <w:snapToGrid w:val="0"/>
        <w:spacing w:line="596" w:lineRule="exact"/>
        <w:ind w:firstLine="640"/>
        <w:jc w:val="left"/>
        <w:outlineLvl w:val="9"/>
        <w:rPr>
          <w:rFonts w:hint="eastAsia" w:ascii="仿宋" w:hAnsi="仿宋" w:eastAsia="仿宋" w:cs="仿宋"/>
          <w:sz w:val="32"/>
          <w:szCs w:val="32"/>
        </w:rPr>
      </w:pPr>
      <w:r>
        <w:rPr>
          <w:rFonts w:hint="eastAsia" w:ascii="仿宋" w:hAnsi="仿宋" w:eastAsia="仿宋" w:cs="仿宋"/>
          <w:color w:val="000000"/>
          <w:sz w:val="32"/>
          <w:szCs w:val="32"/>
        </w:rPr>
        <w:t xml:space="preserve">（三）对暂时未能转出的党员档案，应该做好档案保管工作。 </w:t>
      </w:r>
    </w:p>
    <w:p>
      <w:pPr>
        <w:pageBreakBefore w:val="0"/>
        <w:widowControl/>
        <w:kinsoku/>
        <w:wordWrap/>
        <w:overflowPunct/>
        <w:topLinePunct w:val="0"/>
        <w:autoSpaceDE/>
        <w:autoSpaceDN/>
        <w:bidi w:val="0"/>
        <w:adjustRightInd w:val="0"/>
        <w:snapToGrid w:val="0"/>
        <w:spacing w:line="596" w:lineRule="exact"/>
        <w:jc w:val="center"/>
        <w:outlineLvl w:val="9"/>
        <w:rPr>
          <w:rFonts w:hint="eastAsia" w:ascii="仿宋" w:hAnsi="仿宋" w:eastAsia="仿宋" w:cs="仿宋"/>
          <w:b/>
          <w:bCs/>
          <w:sz w:val="32"/>
          <w:szCs w:val="32"/>
        </w:rPr>
      </w:pPr>
      <w:r>
        <w:rPr>
          <w:rFonts w:hint="eastAsia" w:ascii="仿宋" w:hAnsi="仿宋" w:eastAsia="仿宋" w:cs="仿宋"/>
          <w:b/>
          <w:bCs/>
          <w:sz w:val="32"/>
          <w:szCs w:val="32"/>
        </w:rPr>
        <w:t>第五章  档案保管</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第十三条 </w:t>
      </w:r>
      <w:r>
        <w:rPr>
          <w:rFonts w:hint="eastAsia" w:ascii="仿宋" w:hAnsi="仿宋" w:eastAsia="仿宋" w:cs="仿宋"/>
          <w:color w:val="000000"/>
          <w:sz w:val="32"/>
          <w:szCs w:val="32"/>
        </w:rPr>
        <w:t>党员的有关档案资料，按照分级分类负责的原则进行管理。学校党员档案管理工作由校党委组织部指导开展，学生党员的档案原则上由所属的基层党组织管理，教师党员的档案与教师人事档案合并，按照管理权限，主要由学校干部人事档案室管理，特殊情况由校党委组织部决定管理责任主体。</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w:t>
      </w:r>
      <w:r>
        <w:rPr>
          <w:rFonts w:hint="eastAsia" w:ascii="仿宋" w:hAnsi="仿宋" w:eastAsia="仿宋" w:cs="仿宋"/>
          <w:color w:val="000000"/>
          <w:sz w:val="32"/>
          <w:szCs w:val="32"/>
        </w:rPr>
        <w:t>校内新发展的教师党员转正前的档案按照教师所属部门由二级学院党总支部或直属党支部负责保管，教师党员转正后的档案由学校干部人事档案室负责保管，管理主体变更时，应及时做好档案移交工作。</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 xml:space="preserve"> </w:t>
      </w:r>
      <w:r>
        <w:rPr>
          <w:rFonts w:hint="eastAsia" w:ascii="仿宋" w:hAnsi="仿宋" w:eastAsia="仿宋" w:cs="仿宋"/>
          <w:color w:val="000000"/>
          <w:sz w:val="32"/>
          <w:szCs w:val="32"/>
        </w:rPr>
        <w:t>对还未发展的申请入党的师生，各基层党支部应根据实际及时建立入党申请人、入党积极分子、发展对象档案，认真及时地收集各类相关材料，做到材料齐全，目录清晰。</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第十六条</w:t>
      </w:r>
      <w:r>
        <w:rPr>
          <w:rFonts w:hint="eastAsia" w:ascii="仿宋" w:hAnsi="仿宋" w:eastAsia="仿宋" w:cs="仿宋"/>
          <w:sz w:val="32"/>
          <w:szCs w:val="32"/>
        </w:rPr>
        <w:t xml:space="preserve"> </w:t>
      </w:r>
      <w:r>
        <w:rPr>
          <w:rFonts w:hint="eastAsia" w:ascii="仿宋" w:hAnsi="仿宋" w:eastAsia="仿宋" w:cs="仿宋"/>
          <w:color w:val="000000"/>
          <w:sz w:val="32"/>
          <w:szCs w:val="32"/>
        </w:rPr>
        <w:t>各二级学院党总支部党建组织员、各直属党支部组织委员负责党员档案的具体管理工作，其职责是：负责保管党员档案，收集、鉴别和整理党员档案材料，办理党员档案的查阅、借用和转递手续，登记党员变动情况，做好党员档案的安全、保密、保护工作，调查研究并不断完善党员档案管理制度，提高党员档案管理工作水平等。</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第十七条</w:t>
      </w:r>
      <w:r>
        <w:rPr>
          <w:rFonts w:hint="eastAsia" w:ascii="仿宋" w:hAnsi="仿宋" w:eastAsia="仿宋" w:cs="仿宋"/>
          <w:sz w:val="32"/>
          <w:szCs w:val="32"/>
        </w:rPr>
        <w:t xml:space="preserve"> </w:t>
      </w:r>
      <w:r>
        <w:rPr>
          <w:rFonts w:hint="eastAsia" w:ascii="仿宋" w:hAnsi="仿宋" w:eastAsia="仿宋" w:cs="仿宋"/>
          <w:color w:val="000000"/>
          <w:sz w:val="32"/>
          <w:szCs w:val="32"/>
        </w:rPr>
        <w:t>各级党组织应设专柜保存党员档案，并完善党员档案管理各项制度，做好防火、防蛀、防潮、防光、防盗等工作。</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第十八条</w:t>
      </w:r>
      <w:r>
        <w:rPr>
          <w:rFonts w:hint="eastAsia" w:ascii="仿宋" w:hAnsi="仿宋" w:eastAsia="仿宋" w:cs="仿宋"/>
          <w:sz w:val="32"/>
          <w:szCs w:val="32"/>
        </w:rPr>
        <w:t xml:space="preserve"> </w:t>
      </w:r>
      <w:r>
        <w:rPr>
          <w:rFonts w:hint="eastAsia" w:ascii="仿宋" w:hAnsi="仿宋" w:eastAsia="仿宋" w:cs="仿宋"/>
          <w:color w:val="000000"/>
          <w:sz w:val="32"/>
          <w:szCs w:val="32"/>
        </w:rPr>
        <w:t>党员档案实行制式化管理。党员档案保管部门必须按照“一人一档”的原则，为党员建立健全档案。</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第十九条</w:t>
      </w:r>
      <w:r>
        <w:rPr>
          <w:rFonts w:hint="eastAsia" w:ascii="仿宋" w:hAnsi="仿宋" w:eastAsia="仿宋" w:cs="仿宋"/>
          <w:sz w:val="32"/>
          <w:szCs w:val="32"/>
        </w:rPr>
        <w:t xml:space="preserve"> </w:t>
      </w:r>
      <w:r>
        <w:rPr>
          <w:rFonts w:hint="eastAsia" w:ascii="仿宋" w:hAnsi="仿宋" w:eastAsia="仿宋" w:cs="仿宋"/>
          <w:color w:val="000000"/>
          <w:sz w:val="32"/>
          <w:szCs w:val="32"/>
        </w:rPr>
        <w:t>为保持党员档案的准确性、完整性、连续性，每年底应对档案材料进行一次装订或整理，发现问题及时解决。</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第二十条</w:t>
      </w:r>
      <w:r>
        <w:rPr>
          <w:rFonts w:hint="eastAsia" w:ascii="仿宋" w:hAnsi="仿宋" w:eastAsia="仿宋" w:cs="仿宋"/>
          <w:sz w:val="32"/>
          <w:szCs w:val="32"/>
        </w:rPr>
        <w:t xml:space="preserve"> </w:t>
      </w:r>
      <w:r>
        <w:rPr>
          <w:rFonts w:hint="eastAsia" w:ascii="仿宋" w:hAnsi="仿宋" w:eastAsia="仿宋" w:cs="仿宋"/>
          <w:color w:val="000000"/>
          <w:sz w:val="32"/>
          <w:szCs w:val="32"/>
        </w:rPr>
        <w:t>党员档案管理人员应认真履行职责，做好党员档案管理工作。如发生岗位变动，应及时办理好档案移交手续。档案发生丢失、损毁的，要追究档案管理人员及其他责任人责任。</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第二十一条</w:t>
      </w:r>
      <w:r>
        <w:rPr>
          <w:rFonts w:hint="eastAsia" w:ascii="仿宋" w:hAnsi="仿宋" w:eastAsia="仿宋" w:cs="仿宋"/>
          <w:sz w:val="32"/>
          <w:szCs w:val="32"/>
        </w:rPr>
        <w:t xml:space="preserve"> </w:t>
      </w:r>
      <w:r>
        <w:rPr>
          <w:rFonts w:hint="eastAsia" w:ascii="仿宋" w:hAnsi="仿宋" w:eastAsia="仿宋" w:cs="仿宋"/>
          <w:color w:val="000000"/>
          <w:sz w:val="32"/>
          <w:szCs w:val="32"/>
        </w:rPr>
        <w:t>党员档案的保密工作，按照《干部人事档案保管保密制度》执行。</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第二十二条</w:t>
      </w:r>
      <w:r>
        <w:rPr>
          <w:rFonts w:hint="eastAsia" w:ascii="仿宋" w:hAnsi="仿宋" w:eastAsia="仿宋" w:cs="仿宋"/>
          <w:sz w:val="32"/>
          <w:szCs w:val="32"/>
        </w:rPr>
        <w:t xml:space="preserve"> </w:t>
      </w:r>
      <w:r>
        <w:rPr>
          <w:rFonts w:hint="eastAsia" w:ascii="仿宋" w:hAnsi="仿宋" w:eastAsia="仿宋" w:cs="仿宋"/>
          <w:color w:val="000000"/>
          <w:sz w:val="32"/>
          <w:szCs w:val="32"/>
        </w:rPr>
        <w:t>党员档案的查（借）阅，按照《干部人事档案查（借）阅制度》执行。</w:t>
      </w:r>
    </w:p>
    <w:p>
      <w:pPr>
        <w:pageBreakBefore w:val="0"/>
        <w:widowControl/>
        <w:kinsoku/>
        <w:wordWrap/>
        <w:overflowPunct/>
        <w:topLinePunct w:val="0"/>
        <w:autoSpaceDE/>
        <w:autoSpaceDN/>
        <w:bidi w:val="0"/>
        <w:adjustRightInd w:val="0"/>
        <w:snapToGrid w:val="0"/>
        <w:spacing w:line="596" w:lineRule="exact"/>
        <w:jc w:val="center"/>
        <w:outlineLvl w:val="9"/>
        <w:rPr>
          <w:rFonts w:hint="eastAsia" w:ascii="仿宋" w:hAnsi="仿宋" w:eastAsia="仿宋" w:cs="仿宋"/>
          <w:b/>
          <w:bCs/>
          <w:sz w:val="32"/>
          <w:szCs w:val="32"/>
        </w:rPr>
      </w:pPr>
      <w:r>
        <w:rPr>
          <w:rFonts w:hint="eastAsia" w:ascii="仿宋" w:hAnsi="仿宋" w:eastAsia="仿宋" w:cs="仿宋"/>
          <w:b/>
          <w:bCs/>
          <w:sz w:val="32"/>
          <w:szCs w:val="32"/>
        </w:rPr>
        <w:t>第六章  附  则</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第二十三条 </w:t>
      </w:r>
      <w:r>
        <w:rPr>
          <w:rFonts w:hint="eastAsia" w:ascii="仿宋" w:hAnsi="仿宋" w:eastAsia="仿宋" w:cs="仿宋"/>
          <w:color w:val="000000"/>
          <w:sz w:val="32"/>
          <w:szCs w:val="32"/>
        </w:rPr>
        <w:t>本办法由学校党委组织部负责解释。</w:t>
      </w:r>
    </w:p>
    <w:p>
      <w:pPr>
        <w:pageBreakBefore w:val="0"/>
        <w:widowControl/>
        <w:kinsoku/>
        <w:wordWrap/>
        <w:overflowPunct/>
        <w:topLinePunct w:val="0"/>
        <w:autoSpaceDE/>
        <w:autoSpaceDN/>
        <w:bidi w:val="0"/>
        <w:adjustRightInd w:val="0"/>
        <w:snapToGrid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第二十四条 </w:t>
      </w:r>
      <w:r>
        <w:rPr>
          <w:rFonts w:hint="eastAsia" w:ascii="仿宋" w:hAnsi="仿宋" w:eastAsia="仿宋" w:cs="仿宋"/>
          <w:sz w:val="32"/>
          <w:szCs w:val="32"/>
        </w:rPr>
        <w:t>本办法自下发之日起试行。</w:t>
      </w:r>
    </w:p>
    <w:p>
      <w:pPr>
        <w:pageBreakBefore w:val="0"/>
        <w:kinsoku/>
        <w:wordWrap/>
        <w:overflowPunct/>
        <w:topLinePunct w:val="0"/>
        <w:autoSpaceDE/>
        <w:autoSpaceDN/>
        <w:bidi w:val="0"/>
        <w:spacing w:line="590" w:lineRule="exact"/>
        <w:outlineLvl w:val="9"/>
        <w:rPr>
          <w:rFonts w:hint="eastAsia" w:ascii="仿宋" w:hAnsi="仿宋" w:eastAsia="仿宋" w:cs="仿宋"/>
          <w:sz w:val="32"/>
          <w:szCs w:val="32"/>
        </w:rPr>
      </w:pP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23" w:name="_Toc13513"/>
      <w:bookmarkStart w:id="124" w:name="_Toc19359"/>
      <w:bookmarkStart w:id="125" w:name="_Toc10779"/>
      <w:bookmarkStart w:id="126" w:name="_Toc5814"/>
      <w:r>
        <w:rPr>
          <w:rFonts w:hint="eastAsia" w:ascii="黑体" w:hAnsi="黑体" w:eastAsia="黑体" w:cs="黑体"/>
          <w:color w:val="000000"/>
          <w:kern w:val="2"/>
          <w:sz w:val="36"/>
          <w:szCs w:val="36"/>
        </w:rPr>
        <w:t>柳州职业技术学院关于对党外人士征求意见、传达重要文件和邀请参加重要会议的工作办法</w:t>
      </w:r>
      <w:bookmarkEnd w:id="123"/>
      <w:bookmarkEnd w:id="124"/>
      <w:bookmarkEnd w:id="125"/>
      <w:bookmarkEnd w:id="126"/>
    </w:p>
    <w:p>
      <w:pPr>
        <w:pageBreakBefore w:val="0"/>
        <w:widowControl/>
        <w:kinsoku/>
        <w:wordWrap/>
        <w:overflowPunct/>
        <w:topLinePunct w:val="0"/>
        <w:autoSpaceDE/>
        <w:autoSpaceDN/>
        <w:bidi w:val="0"/>
        <w:jc w:val="center"/>
        <w:outlineLvl w:val="9"/>
        <w:rPr>
          <w:rFonts w:hint="eastAsia" w:ascii="仿宋" w:hAnsi="仿宋" w:eastAsia="仿宋" w:cs="仿宋"/>
          <w:sz w:val="32"/>
          <w:szCs w:val="32"/>
        </w:rPr>
      </w:pPr>
      <w:r>
        <w:rPr>
          <w:rFonts w:hint="eastAsia" w:ascii="仿宋" w:hAnsi="仿宋" w:eastAsia="仿宋" w:cs="仿宋"/>
          <w:bCs/>
          <w:sz w:val="32"/>
          <w:szCs w:val="32"/>
        </w:rPr>
        <w:t xml:space="preserve"> (</w:t>
      </w:r>
      <w:r>
        <w:rPr>
          <w:rFonts w:hint="eastAsia" w:ascii="仿宋" w:hAnsi="仿宋" w:eastAsia="仿宋" w:cs="仿宋"/>
          <w:sz w:val="32"/>
          <w:szCs w:val="32"/>
        </w:rPr>
        <w:t>柳职院党字〔2021〕65号)</w:t>
      </w:r>
    </w:p>
    <w:p>
      <w:pPr>
        <w:pageBreakBefore w:val="0"/>
        <w:kinsoku/>
        <w:wordWrap/>
        <w:overflowPunct/>
        <w:topLinePunct w:val="0"/>
        <w:autoSpaceDE/>
        <w:autoSpaceDN/>
        <w:bidi w:val="0"/>
        <w:spacing w:line="54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为鼓励党外人士积极参政议政、建言献策，开展民主监督，完善学校治理，不断推进学校高质量发展，特制定本办法。</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一、严格按照上级有关文件传达范围的规定，及时向党外代表人士传达有关文件和会议精神，通报党和国家的大政方针和重大事项。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二、学校召开党代会、中层领导干部会议以及事关学校改革、发展、稳定的重要会议，应根据工作需要，邀请党外代表人士列席。</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三、学校召开党政领导班子和领导干部述职、考核会等，应邀请党外代表人士参加。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四、学校举办重要庆典、纪念活动，应邀请党外代表人士参加。</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五、学校召开教职工代表大会、工会会员代表大会前，应积极向党外人士就学校建设发展征求意见，并邀请党外代表人士参加会议。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六、建立学校党政主要负责人与党外代表人士协商座谈机制，每年至少举行1次座谈会，通报学校党建、教学、科研、管理等重大事项，听取意见建议。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七、学校各级领导班子和党组织召开民主生活会或组织生活会前，应听取党外代表人士的意见建议。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八、事关学校发展及师生切身利益的重大改革方案出台前，要及时召开党外代表人士座谈会，听取他们的意见建议。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九、各级人大、政协会议召开前，设立两会代表接待日，广泛听取意见建议。闭会期间，学校公布各级人大代表、政协委员名单及通讯方式，为广大师生建言献策搭建平台，开辟通道。</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十、党委统战部负责梳理征求到的意见和建议，及时向学校领导和所涉及部门进行汇报和通报，并将采纳或整改情况及时向党外人士反馈，做好解释工作。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十一、各基层党组织要建立健全本单位向党外代表人士通报情况、征求意见的工作机制。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十二、本办法由学校党委统战部负责解释。</w:t>
      </w:r>
    </w:p>
    <w:p>
      <w:pPr>
        <w:pageBreakBefore w:val="0"/>
        <w:widowControl/>
        <w:kinsoku/>
        <w:wordWrap/>
        <w:overflowPunct/>
        <w:topLinePunct w:val="0"/>
        <w:autoSpaceDE/>
        <w:autoSpaceDN/>
        <w:bidi w:val="0"/>
        <w:jc w:val="left"/>
        <w:outlineLvl w:val="9"/>
        <w:rPr>
          <w:rFonts w:hint="eastAsia" w:ascii="仿宋" w:hAnsi="仿宋" w:eastAsia="仿宋" w:cs="仿宋"/>
          <w:bCs/>
          <w:sz w:val="32"/>
          <w:szCs w:val="32"/>
        </w:rPr>
      </w:pPr>
      <w:r>
        <w:rPr>
          <w:rFonts w:hint="eastAsia" w:ascii="仿宋" w:hAnsi="仿宋" w:eastAsia="仿宋" w:cs="仿宋"/>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27" w:name="_Toc7032"/>
      <w:bookmarkStart w:id="128" w:name="_Toc3935"/>
      <w:bookmarkStart w:id="129" w:name="_Toc17994"/>
      <w:bookmarkStart w:id="130" w:name="_Toc13503"/>
      <w:r>
        <w:rPr>
          <w:rFonts w:hint="eastAsia" w:ascii="黑体" w:hAnsi="黑体" w:eastAsia="黑体" w:cs="黑体"/>
          <w:color w:val="000000"/>
          <w:kern w:val="2"/>
          <w:sz w:val="36"/>
          <w:szCs w:val="36"/>
        </w:rPr>
        <w:t>柳州职业技术学院关于激励统一战线成员建言献策的实施办法</w:t>
      </w:r>
      <w:bookmarkEnd w:id="127"/>
      <w:bookmarkEnd w:id="128"/>
      <w:bookmarkEnd w:id="129"/>
      <w:bookmarkEnd w:id="130"/>
    </w:p>
    <w:p>
      <w:pPr>
        <w:pageBreakBefore w:val="0"/>
        <w:widowControl/>
        <w:kinsoku/>
        <w:wordWrap/>
        <w:overflowPunct/>
        <w:topLinePunct w:val="0"/>
        <w:autoSpaceDE/>
        <w:autoSpaceDN/>
        <w:bidi w:val="0"/>
        <w:jc w:val="center"/>
        <w:outlineLvl w:val="9"/>
        <w:rPr>
          <w:rFonts w:hint="eastAsia" w:ascii="仿宋" w:hAnsi="仿宋" w:eastAsia="仿宋" w:cs="仿宋"/>
          <w:sz w:val="32"/>
          <w:szCs w:val="32"/>
        </w:rPr>
      </w:pPr>
      <w:r>
        <w:rPr>
          <w:rFonts w:hint="eastAsia" w:ascii="仿宋" w:hAnsi="仿宋" w:eastAsia="仿宋" w:cs="仿宋"/>
          <w:bCs/>
          <w:sz w:val="32"/>
          <w:szCs w:val="32"/>
        </w:rPr>
        <w:t xml:space="preserve"> (</w:t>
      </w:r>
      <w:r>
        <w:rPr>
          <w:rFonts w:hint="eastAsia" w:ascii="仿宋" w:hAnsi="仿宋" w:eastAsia="仿宋" w:cs="仿宋"/>
          <w:sz w:val="32"/>
          <w:szCs w:val="32"/>
        </w:rPr>
        <w:t>柳职院党字〔2021〕64号)</w:t>
      </w:r>
    </w:p>
    <w:p>
      <w:pPr>
        <w:pageBreakBefore w:val="0"/>
        <w:kinsoku/>
        <w:wordWrap/>
        <w:overflowPunct/>
        <w:topLinePunct w:val="0"/>
        <w:autoSpaceDE/>
        <w:autoSpaceDN/>
        <w:bidi w:val="0"/>
        <w:spacing w:line="540" w:lineRule="exac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 xml:space="preserve"> 根据《中国共产党统一战线工作条例》《广西高校党外知识分子建言献策激励制度》等文件精神，为进一步发挥我校统一战线人才优势，激励广大统一战线成员围绕中心工作、服务发展大局，积极参政议政建言献策，特制定本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 xml:space="preserve"> 学校统一战线成员，即学校各民主党派成员、学校知联会成员（无党派人士）、各级人大代表和政协委员、其他统战团体成员。</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本办法所指建言献策成果主要包括：</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（一）中共中央、国务院、自治区党委、政府信息采用、形成专题报告或写入立法、政策性文件的意见建议；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（二）全国人大、政协，自治区人大、政协立案的议案以及重点建议、提案；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（三）自治区政党协商、人大协商、政府协商、政协协商采用的意见建议；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（四）中央统战部、教育部，自治区党委统战部、教育工委信息采用或形成专题报告的意见建议；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（五）其他中央部委、自治区级党政机关信息采用或形成专题报告的意见建议；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（六）各民主党派中央、广西区委和广西党外知识分子联谊会采用的调研报告、重要意见建议；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（七）柳州市政党协商、人大协商、政府协商、政协协商采纳的意见建议或形成的专题调研报告、意见建议；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（八）其他。</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个人撰写的建言献策成果作为申报各系列职称的重要依据。</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单篇获中共中央、国务院信息刊物采用的视为国家权威期刊报刊1篇，其中：获中共中央、国务院领导肯定性批示的视为国家权威期刊报刊2篇；获中共中央、国务院信息刊物综合采用的视为国家权威期刊报刊0.5篇，其中：获中共中央、国务院领导肯定性批示的视为国家权威期刊报刊1篇。</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单篇获自治区党委、政府信息刊物采用的视为核心期刊1篇，其中：获自治区党委、政府主要负责同志肯定性批示的视为核心期刊2篇，获自治区党委、政府其他领导肯定性批示的视为核心期刊1.5篇；获自治区党委、政府信息刊物综合采用的视为公开发表论文1篇，其中：获自治区党委、政府主要负责同志肯定性批示的视为核心期刊1篇，获自治区党委、政府其他领导肯定性批示的视为核心期刊0.5篇。</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（三）同一篇决策咨询类信息被不同类别信息刊物采用，以及信息采用后获得领导同志肯定性批示的，按最高标准计算，不累计。</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 xml:space="preserve"> 对学校统一战线基层组织或成员获得的各类表彰和优秀成果，可参照学校相关文件予以表彰奖励。获得的各类表彰和优秀成果主要包括：</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（一）学校各民主党派基层组织、统战团体及个人被各自上级组织评为年度先进基层组织/年度先进个人，或提交的统战工作研究成果（须为第一作者或主持）获得优秀成果奖；</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（二）人大代表、政协委员及党外人士以个人或主提案者身份提交的建议、议案、提案、调研报告，获得市级及以上主要领导批示、采纳。</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 xml:space="preserve"> 每年1月份由学校党委统战部负责组织表彰和优秀成果奖励申报工作，对上一年度各类表彰和优秀成果进行审核认定。同一项成果获得多项奖励（或多次采纳）的，按就高原则给予表彰奖励，不重复表彰奖励。</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rPr>
        <w:t xml:space="preserve"> 本办法由学校党委统战部、人事处负责解释，并负责组织实施。</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lang w:val="en-US" w:eastAsia="zh-CN"/>
        </w:rPr>
      </w:pPr>
      <w:bookmarkStart w:id="131" w:name="_Toc534379503"/>
      <w:bookmarkStart w:id="132" w:name="_Toc5356"/>
      <w:bookmarkStart w:id="133" w:name="_Toc26244"/>
      <w:bookmarkStart w:id="134" w:name="_Toc1708"/>
      <w:r>
        <w:rPr>
          <w:rFonts w:hint="eastAsia" w:ascii="黑体" w:hAnsi="黑体" w:eastAsia="黑体" w:cs="黑体"/>
          <w:color w:val="000000"/>
          <w:kern w:val="2"/>
          <w:sz w:val="36"/>
          <w:szCs w:val="36"/>
          <w:lang w:val="en-US" w:eastAsia="zh-CN"/>
        </w:rPr>
        <w:t>柳州职业技术学院</w:t>
      </w:r>
      <w:bookmarkEnd w:id="131"/>
      <w:bookmarkStart w:id="135" w:name="_Toc534379504"/>
      <w:r>
        <w:rPr>
          <w:rFonts w:hint="eastAsia" w:ascii="黑体" w:hAnsi="黑体" w:eastAsia="黑体" w:cs="黑体"/>
          <w:color w:val="000000"/>
          <w:kern w:val="2"/>
          <w:sz w:val="36"/>
          <w:szCs w:val="36"/>
          <w:lang w:val="en-US" w:eastAsia="zh-CN"/>
        </w:rPr>
        <w:t>重点领域、关键环节监督与再监督实施办法</w:t>
      </w:r>
      <w:bookmarkEnd w:id="132"/>
      <w:bookmarkEnd w:id="133"/>
      <w:bookmarkEnd w:id="134"/>
      <w:bookmarkEnd w:id="135"/>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（柳职院纪字〔2018〕1号）</w:t>
      </w:r>
    </w:p>
    <w:p>
      <w:pPr>
        <w:pageBreakBefore w:val="0"/>
        <w:shd w:val="clear" w:color="auto" w:fill="FFFFFF"/>
        <w:kinsoku/>
        <w:wordWrap/>
        <w:overflowPunct/>
        <w:topLinePunct w:val="0"/>
        <w:autoSpaceDE/>
        <w:autoSpaceDN/>
        <w:bidi w:val="0"/>
        <w:spacing w:line="540" w:lineRule="exact"/>
        <w:outlineLvl w:val="9"/>
        <w:rPr>
          <w:rFonts w:hint="eastAsia" w:ascii="仿宋" w:hAnsi="仿宋" w:eastAsia="仿宋" w:cs="仿宋"/>
          <w:b/>
          <w:bCs/>
          <w:sz w:val="32"/>
          <w:szCs w:val="32"/>
        </w:rPr>
      </w:pP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为进一步发挥我校各部门（含二级学院、部，下同）的职能监督职责和纪检监察室的专职监督职责，形成有效防范廉政风险的合力，结合我校实际，特制订本办法。</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一、基本原则及工作目标</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（一）基本原则</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坚持业务工作由各部门负责监管，纪检监察室负责监督各部门的业务监管情况，形成监督的再监督工作机制。</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（二）工作目标</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牢固树立部门廉政风险意识、监督责任意识，切实承担起日常工作的监督责任，做到</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HYPERLINK "http://www.so.com/link?m=aSHWoAHk%2Ba7%2FewqOSQM3QxcmIia458MjSECKLbg2oFqQNEZIIcpIVZWLaQ5jAQgIEWnG2Hkv9n2m%2Be764FWOoVgjwm6Uv0yau6u07wvNCN%2BPRQIu6pqnSJJ1L62bsHYsmx254XOvRqRF%2BKCQWmXru2vhk7gNHmKNubmR%2BWvHr8%2Bqai4v%2BwaX7UMAfc0q62%2F3FCFWFgA%3D%3D" \t "_blank"</w:instrText>
      </w:r>
      <w:r>
        <w:rPr>
          <w:rFonts w:hint="eastAsia" w:ascii="仿宋" w:hAnsi="仿宋" w:eastAsia="仿宋" w:cs="仿宋"/>
          <w:sz w:val="32"/>
          <w:szCs w:val="32"/>
        </w:rPr>
        <w:fldChar w:fldCharType="separate"/>
      </w:r>
      <w:r>
        <w:rPr>
          <w:rFonts w:hint="eastAsia" w:ascii="仿宋" w:hAnsi="仿宋" w:eastAsia="仿宋" w:cs="仿宋"/>
          <w:sz w:val="32"/>
          <w:szCs w:val="32"/>
        </w:rPr>
        <w:t>抓早抓小防微杜渐</w:t>
      </w:r>
      <w:r>
        <w:rPr>
          <w:rFonts w:hint="eastAsia" w:ascii="仿宋" w:hAnsi="仿宋" w:eastAsia="仿宋" w:cs="仿宋"/>
          <w:sz w:val="32"/>
          <w:szCs w:val="32"/>
        </w:rPr>
        <w:fldChar w:fldCharType="end"/>
      </w:r>
      <w:r>
        <w:rPr>
          <w:rFonts w:hint="eastAsia" w:ascii="仿宋" w:hAnsi="仿宋" w:eastAsia="仿宋" w:cs="仿宋"/>
          <w:sz w:val="32"/>
          <w:szCs w:val="32"/>
        </w:rPr>
        <w:t>，不因疏于管理或失职失察引发严重违纪违法行为。</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确保实现纪检监察室“三转”工作到位，使纪检监察室做到专注监督执纪问责主业。</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二、监督范围和职责分工</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监督范围是重点领域、关键环节</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1.重点领域是指在干部选拔任用、人员聘用、职称职务评审、基建（修缮）、物资设备（服务）采购、资产管理、招生录取、财务管理、科研经费、学生资助、校企合作、校办企业、办班办学等权力运行相对集中的工作领域。</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2.关键环节是指在重点领域工作程序中存在廉政风险的环节。</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各部门负责对本部门重点领域、关键环节工作实施日常自主监督，履行第一监督人职责。</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1.部门主要负责人为本部门重点领域、关键环节监督的第一责任人，第一责任人及其他负责人应按照工作分工，抓好本部门重点领域、关键环节工作的日常监督，保证各项业务工作依纪依法依规、规范有序进行。</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2.负责组织制定完善本部门相关工作规范、工作流程、监管措施，建立逐级负责、层层落实、齐抓共管、协调推进的工作制度。负责组织梳理查找本部门重点领域、关键环节工作的廉政风险点，明确监督事项，填报《柳州职业技术学院重点领域、关键环节监督事项一览表》（附件1）。</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3.负责对本部门教职工的反腐倡廉宣传教育，坚持示范教育和警示教育相结合，自律和他律相结合，定期组织开展专题学习活动，增强遵纪守法意识、拒腐防变意识和自我监督意识。负责对本部门日常监督人员的工作指导和业务培训。</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4.负责向纪检监察室提交需要事前报备的监督事项（事前3—5个工作日填报《柳州职业技术学院纪检监察室监督事项事前报备表》向纪检监察室报备）（附件2），及时报告本部门监督工作中发现的问题，接受纪检监察室对本部门监督工作的指导和再监督、再检查，落实对有关问题的整改意见。</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纪检监察室负责对全校重点领域、关键环节的工作实施再监督，履行监督执纪问责职责。</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1.负责各部门重点领域、关键环节监督工作的组织协调与督促指导。</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2.负责对各部门开展的日常自主监督进行再监督、再检查，督促其完善内部管理制度、规范办事程序、找准廉政风险点、明确监督事项和是否需要报备、严格履行第一监督人责任。</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3. 负责对各部门的日常监督事项，有针对性地选择关键环节开展再监督（可以根据工作实际进行现场监督或事后抽查监督）；负责对各部门报备的监督项目进行审核、评估与指导，及时发现、消除可能存在的廉政风险与隐患，重要监督项目报学校纪委书记审批后执行再监督。</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4. 负责运用“四种形态”开展监督执纪问责。</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三、检查考核</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检查考核工作在学校党委统一领导下进行，由学校纪委、纪检监察室具体组织实施。</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对各部门监督工作的检查考核，一般与落实党风廉政建设责任制检查考核一起开展，必要时组织专门检查考核。考核结果作为各部门年度党风廉政建设责任制落实情况考核的重要依据。</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各部门应根据自查情况和学校考核结果，纠正存在的问题，修正廉政风险防控内容、完善防控措施，规范工作程序。学校纪委、纪检监察室通过跟踪回访强化监管。</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b/>
          <w:sz w:val="32"/>
          <w:szCs w:val="32"/>
        </w:rPr>
      </w:pPr>
      <w:r>
        <w:rPr>
          <w:rFonts w:hint="eastAsia" w:ascii="仿宋" w:hAnsi="仿宋" w:eastAsia="仿宋" w:cs="仿宋"/>
          <w:b/>
          <w:sz w:val="32"/>
          <w:szCs w:val="32"/>
        </w:rPr>
        <w:t>四、责任追究</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出现下列情况之一的，将视问题性质和情节轻重，追究有关部门责任人的责任：</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1.因不履行第一监督人职责或怠于履行监督职责，造成监管缺失而出现问题的。</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2.推卸监督责任或不积极主动配合甚至干扰学校纪委、纪检监察室履行再监督职责的。 </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3.在重点领域、关键环节工作开展中出现问题隐瞒不报的。</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4.对已发现问题不制定整改措施或拒不执行整改意见的。 </w:t>
      </w:r>
    </w:p>
    <w:p>
      <w:pPr>
        <w:pageBreakBefore w:val="0"/>
        <w:shd w:val="clear" w:color="auto" w:fill="FFFFFF"/>
        <w:kinsoku/>
        <w:wordWrap/>
        <w:overflowPunct/>
        <w:topLinePunct w:val="0"/>
        <w:autoSpaceDE/>
        <w:autoSpaceDN/>
        <w:bidi w:val="0"/>
        <w:spacing w:line="540" w:lineRule="exact"/>
        <w:ind w:firstLine="627" w:firstLineChars="196"/>
        <w:outlineLvl w:val="9"/>
        <w:rPr>
          <w:rFonts w:hint="eastAsia" w:ascii="仿宋" w:hAnsi="仿宋" w:eastAsia="仿宋" w:cs="仿宋"/>
          <w:sz w:val="32"/>
          <w:szCs w:val="32"/>
        </w:rPr>
      </w:pPr>
      <w:r>
        <w:rPr>
          <w:rFonts w:hint="eastAsia" w:ascii="仿宋" w:hAnsi="仿宋" w:eastAsia="仿宋" w:cs="仿宋"/>
          <w:sz w:val="32"/>
          <w:szCs w:val="32"/>
        </w:rPr>
        <w:t>对违反本办法的部门责任人及其他有关人员，依据党纪政纪和学校相关规定追究责任。</w:t>
      </w:r>
    </w:p>
    <w:p>
      <w:pPr>
        <w:pageBreakBefore w:val="0"/>
        <w:shd w:val="clear" w:color="auto" w:fill="FFFFFF"/>
        <w:kinsoku/>
        <w:wordWrap/>
        <w:overflowPunct/>
        <w:topLinePunct w:val="0"/>
        <w:autoSpaceDE/>
        <w:autoSpaceDN/>
        <w:bidi w:val="0"/>
        <w:spacing w:line="540" w:lineRule="exact"/>
        <w:ind w:firstLine="630" w:firstLineChars="196"/>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本办法自发布之日起施行，由学校纪检监察室负责解释。</w:t>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lang w:val="en-US" w:eastAsia="zh-CN"/>
        </w:rPr>
      </w:pPr>
      <w:r>
        <w:rPr>
          <w:rFonts w:hint="eastAsia" w:ascii="仿宋" w:hAnsi="仿宋" w:eastAsia="仿宋" w:cs="仿宋"/>
          <w:kern w:val="0"/>
          <w:sz w:val="32"/>
          <w:szCs w:val="32"/>
          <w:lang w:bidi="ar"/>
        </w:rPr>
        <w:br w:type="page"/>
      </w:r>
      <w:bookmarkStart w:id="136" w:name="_Toc534379501"/>
      <w:bookmarkStart w:id="137" w:name="_Toc28482"/>
      <w:bookmarkStart w:id="138" w:name="_Toc18281"/>
      <w:bookmarkStart w:id="139" w:name="_Toc26891"/>
      <w:r>
        <w:rPr>
          <w:rFonts w:hint="eastAsia" w:ascii="黑体" w:hAnsi="黑体" w:eastAsia="黑体" w:cs="黑体"/>
          <w:color w:val="000000"/>
          <w:kern w:val="2"/>
          <w:sz w:val="36"/>
          <w:szCs w:val="36"/>
          <w:lang w:val="en-US" w:eastAsia="zh-CN"/>
        </w:rPr>
        <w:t>柳州职业技术学院重大事项</w:t>
      </w:r>
      <w:bookmarkEnd w:id="136"/>
      <w:bookmarkStart w:id="140" w:name="_Toc534379502"/>
      <w:r>
        <w:rPr>
          <w:rFonts w:hint="eastAsia" w:ascii="黑体" w:hAnsi="黑体" w:eastAsia="黑体" w:cs="黑体"/>
          <w:color w:val="000000"/>
          <w:kern w:val="2"/>
          <w:sz w:val="36"/>
          <w:szCs w:val="36"/>
          <w:lang w:val="en-US" w:eastAsia="zh-CN"/>
        </w:rPr>
        <w:t>督查督办工作实施办法</w:t>
      </w:r>
      <w:bookmarkEnd w:id="137"/>
      <w:bookmarkEnd w:id="138"/>
      <w:bookmarkEnd w:id="139"/>
      <w:bookmarkEnd w:id="140"/>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（柳职院办字〔2018〕1号）</w:t>
      </w:r>
    </w:p>
    <w:p>
      <w:pPr>
        <w:pageBreakBefore w:val="0"/>
        <w:kinsoku/>
        <w:wordWrap/>
        <w:overflowPunct/>
        <w:topLinePunct w:val="0"/>
        <w:autoSpaceDE/>
        <w:autoSpaceDN/>
        <w:bidi w:val="0"/>
        <w:spacing w:line="580" w:lineRule="exact"/>
        <w:ind w:firstLine="643" w:firstLineChars="200"/>
        <w:jc w:val="center"/>
        <w:outlineLvl w:val="9"/>
        <w:rPr>
          <w:rFonts w:hint="eastAsia" w:ascii="仿宋" w:hAnsi="仿宋" w:eastAsia="仿宋" w:cs="仿宋"/>
          <w:b/>
          <w:sz w:val="32"/>
          <w:szCs w:val="32"/>
        </w:rPr>
      </w:pP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第一章    总  则</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第一条</w:t>
      </w:r>
      <w:r>
        <w:rPr>
          <w:rFonts w:hint="eastAsia" w:ascii="仿宋" w:hAnsi="仿宋" w:eastAsia="仿宋" w:cs="仿宋"/>
          <w:sz w:val="32"/>
          <w:szCs w:val="32"/>
        </w:rPr>
        <w:t xml:space="preserve">  为了切实转变工作作风，进一步提高工作效率，保证学校各项决策落到实处和学校各项工作顺利进行，结合学校实际，特制定本办法。</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第二条</w:t>
      </w:r>
      <w:r>
        <w:rPr>
          <w:rFonts w:hint="eastAsia" w:ascii="仿宋" w:hAnsi="仿宋" w:eastAsia="仿宋" w:cs="仿宋"/>
          <w:sz w:val="32"/>
          <w:szCs w:val="32"/>
        </w:rPr>
        <w:t xml:space="preserve">  督查督办工作要紧密围绕学校的中心工作进行，坚持“专人负责、分流承办、实事求是、注重实效”的基本原则，及时发现、推广各部门落实学校决策的新经验，督促并协调解决各部门在落实学校决策过程中存在的问题，为确保学校决策的贯彻落实提供有效服务。</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xml:space="preserve">  党委（学校）办公室是督察督办工作的职能部门。</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第二章    工作内容</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sz w:val="32"/>
          <w:szCs w:val="32"/>
        </w:rPr>
        <w:t xml:space="preserve">  督查督办工作内容如下：</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1.党和国家的路线、方针、政策、重要文件和重要会议精神的贯彻落实情况。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2.上级领导机关和学校党委、行政的重要工作部署、重要决定事项、重要规章制度的落实情况。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3.上级机关、主管部门领导和学校领导的重要批示、交办事项的落实情况。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4.学校党委会、校长办公会议决议的落实情况。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5.学校年度工作目标和工作计划所安排工作任务的完成情况。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6.学校党政公文中提出办理、执行事项的落实情况。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7.重大来信、来访的处理情况;。</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8.其它需要进行督查督办的重要事项。</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第三章    工作程序</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xml:space="preserve">  督查督办工作程序可分为拟办→立项→交办→催办、查办→办结→反馈→归档七个环节。</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（一）拟办。</w:t>
      </w:r>
      <w:r>
        <w:rPr>
          <w:rFonts w:hint="eastAsia" w:ascii="仿宋" w:hAnsi="仿宋" w:eastAsia="仿宋" w:cs="仿宋"/>
          <w:sz w:val="32"/>
          <w:szCs w:val="32"/>
        </w:rPr>
        <w:t>党委（学校）办公室负责人针对督查督办事项，及时提出拟办意见。拟办意见包括承办单位（牵头部门、协办部门）、承办时限和工作要求等。其中重大和复杂事项，在提出初步拟办方案后，应征求有关方面的意见，并报校领导审定。</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（二）立项。</w:t>
      </w:r>
      <w:r>
        <w:rPr>
          <w:rFonts w:hint="eastAsia" w:ascii="仿宋" w:hAnsi="仿宋" w:eastAsia="仿宋" w:cs="仿宋"/>
          <w:sz w:val="32"/>
          <w:szCs w:val="32"/>
        </w:rPr>
        <w:t>党委（学校）办公室根据分管工作及需要，提出督查督办拟立项目，立项要坚持一事一项的基本原则，一个工作部署或一项决策，立为一项。</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（三）交办。</w:t>
      </w:r>
      <w:r>
        <w:rPr>
          <w:rFonts w:hint="eastAsia" w:ascii="仿宋" w:hAnsi="仿宋" w:eastAsia="仿宋" w:cs="仿宋"/>
          <w:sz w:val="32"/>
          <w:szCs w:val="32"/>
        </w:rPr>
        <w:t>党委（学校）办公室根据工作任务的性质，用发放《督查督办通知单》的形式把督查事项交有关部门办理，在交办时要做到任务量化、时限具体化、责任明确化。</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（四）催办、查办。</w:t>
      </w:r>
      <w:r>
        <w:rPr>
          <w:rFonts w:hint="eastAsia" w:ascii="仿宋" w:hAnsi="仿宋" w:eastAsia="仿宋" w:cs="仿宋"/>
          <w:sz w:val="32"/>
          <w:szCs w:val="32"/>
        </w:rPr>
        <w:t>为及时了解督查事项的运行情况和办理情况，党委（学校）办公室采取电话联系或直接到承办单位催办等形式，适时加以催办查办。同时，要积极协助被督查单位解决工作中遇到的困难。对超过承办时限经催促仍未上报办理结果的，将报告相关校领导，必要时予以通报批评，直至追究部门负责人的责任。</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（五）办结。</w:t>
      </w:r>
      <w:r>
        <w:rPr>
          <w:rFonts w:hint="eastAsia" w:ascii="仿宋" w:hAnsi="仿宋" w:eastAsia="仿宋" w:cs="仿宋"/>
          <w:sz w:val="32"/>
          <w:szCs w:val="32"/>
        </w:rPr>
        <w:t>承办部门在工作任务完成后，应及时回复办理情况，认真填写《落实情况反馈单》。党委（学校）办公室将对承办部门的回复情况进行检查，按照交办时所提的要求，对不符合交办要求的，退回承办单位补办或重办；对符合交办要求的，呈报领导阅知。确有特殊情况不能按时办结的，承办部门要及时报告进展及其原因。</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（六）反馈。</w:t>
      </w:r>
      <w:r>
        <w:rPr>
          <w:rFonts w:hint="eastAsia" w:ascii="仿宋" w:hAnsi="仿宋" w:eastAsia="仿宋" w:cs="仿宋"/>
          <w:sz w:val="32"/>
          <w:szCs w:val="32"/>
        </w:rPr>
        <w:t>一项具体的督查督办任务完成后，要按照事事有结果，件件有回音的原则，及时向批示领导报告结果，做到批必办、办必果、果必报。</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（七）归档。</w:t>
      </w:r>
      <w:r>
        <w:rPr>
          <w:rFonts w:hint="eastAsia" w:ascii="仿宋" w:hAnsi="仿宋" w:eastAsia="仿宋" w:cs="仿宋"/>
          <w:sz w:val="32"/>
          <w:szCs w:val="32"/>
        </w:rPr>
        <w:t>督查事项办结后，应将各种有关的文字材料，包括领导批示、检查反馈、《完成情况登记表》等立卷归档。</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第四章    工作方式</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sz w:val="32"/>
          <w:szCs w:val="32"/>
        </w:rPr>
        <w:t>　组织协调。党委（学校）办公室在授权范围内组织、协调有关部门共同进行督查督办工作。事项涉及多个部门的，由党委（学校）办公室确定牵头或主办部门，防止出现推诿扯皮现象。</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第七条</w:t>
      </w:r>
      <w:r>
        <w:rPr>
          <w:rFonts w:hint="eastAsia" w:ascii="仿宋" w:hAnsi="仿宋" w:eastAsia="仿宋" w:cs="仿宋"/>
          <w:sz w:val="32"/>
          <w:szCs w:val="32"/>
        </w:rPr>
        <w:t>　催报督办。在规定的上报或办结期限内，党委（学校）办公室要定期或不定期与承办部门联系，催报工作进展，督促按时办结。</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第八条</w:t>
      </w:r>
      <w:r>
        <w:rPr>
          <w:rFonts w:hint="eastAsia" w:ascii="仿宋" w:hAnsi="仿宋" w:eastAsia="仿宋" w:cs="仿宋"/>
          <w:sz w:val="32"/>
          <w:szCs w:val="32"/>
        </w:rPr>
        <w:t>　督办调研。党委（学校）办公室在开展督促检查工作时，要融调查研究于督查之中，边督查边调研，进而形成调研成果，为学校党委、行政做好参谋助手。</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sz w:val="32"/>
          <w:szCs w:val="32"/>
        </w:rPr>
        <w:t>　反馈通报。党委（学校）办公室在督查督办过程中，可利用文件、简报、网络等途径，及时通报工作进展和存在的问题，激励先进、鞭策后进，交流经验、改进不足。</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第十条</w:t>
      </w:r>
      <w:r>
        <w:rPr>
          <w:rFonts w:hint="eastAsia" w:ascii="仿宋" w:hAnsi="仿宋" w:eastAsia="仿宋" w:cs="仿宋"/>
          <w:sz w:val="32"/>
          <w:szCs w:val="32"/>
        </w:rPr>
        <w:t>　实绩评议。党委（学校）办公室依据平时的督查督办结果，参加学校组织的部门绩效考核评议，提出评议意见，作为部门及部门负责人年终绩效考评的依据。　</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　</w:t>
      </w: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第五章    工作纪律</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第十一条</w:t>
      </w:r>
      <w:r>
        <w:rPr>
          <w:rFonts w:hint="eastAsia" w:ascii="仿宋" w:hAnsi="仿宋" w:eastAsia="仿宋" w:cs="仿宋"/>
          <w:sz w:val="32"/>
          <w:szCs w:val="32"/>
        </w:rPr>
        <w:t>　督查督办工作应坚决贯彻执行党的路线、方针、政策，模范遵守党的纪律和国家的法律、法规。督查督办工作人员要保持良好的职业道德和修养，正确行使督查督办工作职责，自觉接受监督，严禁以权谋私和滥用权力。对利用工作之便谋取私利和违纪的，一经查实，严肃处理。</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第十二条</w:t>
      </w:r>
      <w:r>
        <w:rPr>
          <w:rFonts w:hint="eastAsia" w:ascii="仿宋" w:hAnsi="仿宋" w:eastAsia="仿宋" w:cs="仿宋"/>
          <w:sz w:val="32"/>
          <w:szCs w:val="32"/>
        </w:rPr>
        <w:t>　督查督办工作应严格遵守《保密法》，认真执行保密制度。凡重要文件、资料，特别是上级和学校领导的重要批示件、上级领导机关的重要交办事项，必须由专人登记，及时立卷归档，妥善保管。任何人不得私自复印、摘抄自存和外借、外传。督查督办工作人员不得将正在办理或尚未解密的领导批示、交办事项及其办理情况向外泄露。</w:t>
      </w:r>
    </w:p>
    <w:p>
      <w:pPr>
        <w:pageBreakBefore w:val="0"/>
        <w:kinsoku/>
        <w:wordWrap/>
        <w:overflowPunct/>
        <w:topLinePunct w:val="0"/>
        <w:autoSpaceDE/>
        <w:autoSpaceDN/>
        <w:bidi w:val="0"/>
        <w:spacing w:line="54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40" w:lineRule="exact"/>
        <w:jc w:val="center"/>
        <w:outlineLvl w:val="9"/>
        <w:rPr>
          <w:rFonts w:hint="eastAsia" w:ascii="仿宋" w:hAnsi="仿宋" w:eastAsia="仿宋" w:cs="仿宋"/>
          <w:sz w:val="32"/>
          <w:szCs w:val="32"/>
        </w:rPr>
      </w:pPr>
      <w:r>
        <w:rPr>
          <w:rFonts w:hint="eastAsia" w:ascii="仿宋" w:hAnsi="仿宋" w:eastAsia="仿宋" w:cs="仿宋"/>
          <w:sz w:val="32"/>
          <w:szCs w:val="32"/>
        </w:rPr>
        <w:t>第六章    附  则</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第十三条</w:t>
      </w:r>
      <w:r>
        <w:rPr>
          <w:rFonts w:hint="eastAsia" w:ascii="仿宋" w:hAnsi="仿宋" w:eastAsia="仿宋" w:cs="仿宋"/>
          <w:sz w:val="32"/>
          <w:szCs w:val="32"/>
        </w:rPr>
        <w:t>　本办法由党委（学校）办公室负责解释。</w:t>
      </w:r>
    </w:p>
    <w:p>
      <w:pPr>
        <w:pageBreakBefore w:val="0"/>
        <w:kinsoku/>
        <w:wordWrap/>
        <w:overflowPunct/>
        <w:topLinePunct w:val="0"/>
        <w:autoSpaceDE/>
        <w:autoSpaceDN/>
        <w:bidi w:val="0"/>
        <w:spacing w:line="54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第十四条</w:t>
      </w:r>
      <w:r>
        <w:rPr>
          <w:rFonts w:hint="eastAsia" w:ascii="仿宋" w:hAnsi="仿宋" w:eastAsia="仿宋" w:cs="仿宋"/>
          <w:sz w:val="32"/>
          <w:szCs w:val="32"/>
        </w:rPr>
        <w:t>　本办法自公布之日起施行。</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41" w:name="_Toc24323"/>
      <w:bookmarkStart w:id="142" w:name="_Toc28649"/>
      <w:bookmarkStart w:id="143" w:name="_Toc13487"/>
      <w:bookmarkStart w:id="144" w:name="_Toc21797"/>
      <w:r>
        <w:rPr>
          <w:rFonts w:hint="eastAsia" w:ascii="黑体" w:hAnsi="黑体" w:eastAsia="黑体" w:cs="黑体"/>
          <w:color w:val="000000"/>
          <w:kern w:val="2"/>
          <w:sz w:val="36"/>
          <w:szCs w:val="36"/>
        </w:rPr>
        <w:t>柳州职业技术学院意识形态领域突发事件应急预案</w:t>
      </w:r>
      <w:bookmarkEnd w:id="141"/>
      <w:bookmarkEnd w:id="142"/>
      <w:bookmarkEnd w:id="143"/>
      <w:bookmarkEnd w:id="144"/>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r>
        <w:rPr>
          <w:rFonts w:hint="eastAsia" w:ascii="仿宋" w:hAnsi="仿宋" w:eastAsia="仿宋" w:cs="仿宋"/>
          <w:bCs/>
          <w:sz w:val="32"/>
          <w:szCs w:val="32"/>
        </w:rPr>
        <w:t>（柳职院党字〔2021〕43 号）</w:t>
      </w:r>
    </w:p>
    <w:p>
      <w:pPr>
        <w:pageBreakBefore w:val="0"/>
        <w:widowControl/>
        <w:kinsoku/>
        <w:wordWrap/>
        <w:overflowPunct/>
        <w:topLinePunct w:val="0"/>
        <w:autoSpaceDE/>
        <w:autoSpaceDN/>
        <w:bidi w:val="0"/>
        <w:jc w:val="center"/>
        <w:outlineLvl w:val="9"/>
        <w:rPr>
          <w:rFonts w:hint="eastAsia" w:ascii="仿宋" w:hAnsi="仿宋" w:eastAsia="仿宋" w:cs="仿宋"/>
          <w:bCs/>
          <w:sz w:val="32"/>
          <w:szCs w:val="32"/>
        </w:rPr>
      </w:pP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第一章  总 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 xml:space="preserve"> 本预案根据中共中央办公厅颁布的《党委（党组）意识形态工作责任制实施办法》(中办发〔2015〕52号)、国务院颁布的《国家突发公共事件总体应急预案》和自治区党委教育工作委员会关于意识形态工作的有关要求制订。本预案适用于校内意识形态领域突发事件的应急处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第二条 </w:t>
      </w:r>
      <w:r>
        <w:rPr>
          <w:rFonts w:hint="eastAsia" w:ascii="仿宋" w:hAnsi="仿宋" w:eastAsia="仿宋" w:cs="仿宋"/>
          <w:sz w:val="32"/>
          <w:szCs w:val="32"/>
        </w:rPr>
        <w:t>本预案所指意识形态领域突发事件，包括以下几类：</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与我校师生教育教学密切相关的涉及意识形态的突发事件。教育教学活动中出现传播有害于学校与社会安全稳定的政治谣言和政治性错误观点的突发事件；恶意传播可能危及到国家、社会与学校在思想意识形态领域安全和稳定的言论等突发事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（二）网络舆情突发事件。利用校园网络平台发送危害国家安全、不利于社会安全稳定、谣言惑众、揭人隐私、偏激和非理性等信息造成严重影响的事件；进行反动、违法、迷信、低俗等宣传活动的事件。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信息安全事件。窃取国家及教育行政部门、学校保密信息，可能造成严重后果的事件；针对校园网络和信息系统发生的有害程序事件、网络攻击事件、信息破坏事件、信息内容安全事件、设备设施故障和灾害性事件等。</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b/>
          <w:bCs/>
          <w:sz w:val="32"/>
          <w:szCs w:val="32"/>
        </w:rPr>
      </w:pPr>
      <w:r>
        <w:rPr>
          <w:rFonts w:hint="eastAsia" w:ascii="仿宋" w:hAnsi="仿宋" w:eastAsia="仿宋" w:cs="仿宋"/>
          <w:b/>
          <w:bCs/>
          <w:sz w:val="32"/>
          <w:szCs w:val="32"/>
        </w:rPr>
        <w:t>（四）其它意识形态领域的突发事件。</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第二章  工作原则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党委领导、分级负责。学校成立意识形态领域突发事件应急处置工作领导小组（以下简称“应急领导小组”），全面负责学校意识形态领域突发事件应急处置工作。建立健全“属地管理、分级负责”的应急管理体制。发生突发事件后，各党政部门、二级学院要在应急领导小组统一领导下，迅速启动应急预案。在处置工作中，既要密切配合、齐抓共管，又要明确分工、各负其责，严格落实领导责任制和责任追究制。学校党委书记为意识形态领域突发事件第一责任人。</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靠前指挥、协同应对。发生意识形态领域突发事件后，学校党委和各相关部门负责人要立即深入第一线，掌握情况、开展工作、控制局面，形成以学校“应急领导小组”为指挥、其它各部门协同配合的处置工作格局。</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 xml:space="preserve"> 依法处置、加强保障。按照国家相关法律、行政法规和政策，加强应急管理，提高应急管理水平。做到依法办事、合情合理，使应对意识形态领域突发事件的工作规范化、制度化、法制化。必要时可请求公安、司法等部门介入和援助。在经费保障、力量部署等方面加强硬件与软件建设，增强工作实力，提高工作效率。</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第三章  组织机构</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 xml:space="preserve"> 学校成立意识形态领域突发事件应急处置工作领导小组。</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组   长：党委书记、校长</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副组长：分管意识形态工作校领导及其他校领导</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成   员：学校各党政部门、二级学院主要负责人</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应急领导小组办公室设在党委宣传部，党委宣传部部长任办公室主任，成员由党委办公室、党委组织部、党委学生工作部、教务与实训管理处、团委、保卫处、纪委办公室、信息技术服务中心等部门主要负责人组成。</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应急领导小组的主要职责：在学校党委统一领导下，全面负责处置学校意识形态领域突发事件的应急响应行动，下达应急处置工作任务；在处理突发事件过程中，协调与校外相关单位的关系；当突发事件超出学校处置能力时，依程序向上级党组织汇报，请求支持与配合。</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学校应急领导小组办公室的主要职责：履行值守应急、信息汇总、综合协调职能，发挥运转枢纽作用。及时收集和分析相应的信息和工作情况，提出处置意识形态领域突发事件的指导意见和具体措施报学校应急领导小组；研究决定对外公布、公开与事件有关信息的口径及发布时间、方式；确保以最短的时间、最快的速度，发布最新的消息，消除舆论不良影响；事后及时进行总结和反思，并追究有关责任人的责任；督导、检查校内各部门落实意识形态领域突发事件应急处置工作的情况。</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第四章  预防和预警机制</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rPr>
        <w:t xml:space="preserve"> 学校党委严格落实意识形态工作责任制，以守土有责、守土尽责的使命守好意识形态阵地，落实责任，积极预防。要把意识形态工作作为党的建设的重要内容，纳入重要议事日程，纳入年度工作要点，纳入领导班子、领导干部目标管理，与学校中心工作和重点工作紧密结合，同部署、同落实、同检查、同考核。</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 xml:space="preserve"> 建立健全意识形态领域问题分析研判机制，完善规范日常管理工作。学校党委和各级党组织每年至少安排2次专题会研究解决意识形态工作。及时分析研判重大舆情、重点问题，及时深入研究各种错误思潮对学校教育教学带来的影响，分析掌握师生中思想动态中具有倾向性，苗头性的问题。强化舆情信息的广泛收集和深层次研判，争取做到早发现、早报告、早控制、早解决。</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 xml:space="preserve"> 党委宣传部履行好指导、组织、协调、督查的职责。定期对学校意识形态工作进行专项督查，督查工作每年至少开展1次。可以进行全面检查考核，也可以进行专项检查考核或者抽查，督查结果要向学校党委报告。</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第五章  突发事件处置办法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应急处置。最先发现或接到发生意识形态领域突发事件的部门和个人应在第一时间内向学校应急领导小组办公室报告，不得迟报；学校应急领导小组办公室接到报告后，立即向学校主要领导和分管领导报告；学校应急处置工作领导小组要立即启动应急预案，尽力采取针对性措施控制事态发展，组织开展前期处置工作；各部门主要负责人要在学校领导小组的统一指挥下，各司其职，密切配合，形成快速、准确、高效的工作机制。同时迅速向学校党委报告，最迟不得超过2小时。</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第十一条</w:t>
      </w:r>
      <w:r>
        <w:rPr>
          <w:rFonts w:hint="eastAsia" w:ascii="仿宋" w:hAnsi="仿宋" w:eastAsia="仿宋" w:cs="仿宋"/>
          <w:sz w:val="32"/>
          <w:szCs w:val="32"/>
        </w:rPr>
        <w:t xml:space="preserve"> 信息报告</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（一）信息报送原则</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1.准确：要全面了解意识形态领域突发事件的起因、性质等基本情况，并及时以信息形式报告。信息内容要客观翔实，不得主观臆断，不得瞒报、漏报、谎报。</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2.保密：要针对意识形态领域突发事件的情况，按照保密工作的各项要求，确保整个事件的信息处理过程不出现失密、泄密情况。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3.续报：在事件情况发生变化后，应及时续报事件有关变化的情况。</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（二）信息报送机制</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1.紧急电话报告系统</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接到意识形态领域突发事件情况报告后，学校应急领导小组办公室按信息报告程序报学校主要领导和分管领导，同时将信息通报相应的部门和负责人；把校领导做出的处置批示或指示及时传达给有关部门。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2.紧急文件报送系统</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意识形态领域突发事件执行电话报告后，学校应急领导小组办公室应立即书面正式报应急领导小组组长、副组长，通知相关应急处置部门，并按照预案和领导要求开展工作。重大事件信息，学校应急领导小组办公室要根据校领导意见，以信息专报形式报告上级主管部门。</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（三）应急信息的主要内容</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1.事件发生的基本情况，包括时间、地点、涉及人员、影响程度；</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2.事件发生起因分析、性质判断和影响程度评估；</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3.学校和相关部门已采取的措施；</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4.校内外公众及媒体等各方面的反应；</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5.事态发展状态、处置过程和结果；</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6.需要报送的其他事项。</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信息公开</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一）学校在处置意识形态领域突发事件时，信息公开工作由党委宣传部统一负责。要牢牢把握信息公开和舆论控制的主动权，要全面、客观、准确、及时公开有关突发事件事态发展和应急处置工作的信息，并根据事件处置情况做好相应的后续信息公开工作，正确引导校园舆论。建立学校新闻发言人制度，必要时向公众或媒体公布突发事件的相关信息。</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二）有关意识形态领域突发事件详情和应急处置措施等相关权威信息，要根据突发事件涉及或波及的范围和影响程度等情况，可通过有关新闻媒体、重点新闻网站、手机短信或教育主管部门网站和校园网等发布。</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（三）任何部门和个人不得编造、传播有关意识形态领域突发事件事态发展及其应急处置工作的虚假信息。</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第六章  善后处置</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第十三条</w:t>
      </w:r>
      <w:r>
        <w:rPr>
          <w:rFonts w:hint="eastAsia" w:ascii="仿宋" w:hAnsi="仿宋" w:eastAsia="仿宋" w:cs="仿宋"/>
          <w:sz w:val="32"/>
          <w:szCs w:val="32"/>
        </w:rPr>
        <w:t xml:space="preserve"> 学校要妥善解决因处置意识形态领域突发事件引发的矛盾和纠纷，认真总结经验教训，落实整改措施，依法依规追究并查处相关责任人，尽快恢复正常秩序，同时要积极协助公安机关对突发事件中出现的违法行为进行调查处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学校要及时查明意识形态领域突发事件的发生经过和原因，严格执行报告制度，严格落实意识形态工作责任制，要总结突发事件以及应急处置工作的经验教训、制度改进措施，对突发事件造成的影响进行评估。对工作不落实、行动迟缓、措施不力以及清查处理后仍出现虚假信息的，要追究有关部门和人员的责任。</w:t>
      </w:r>
    </w:p>
    <w:p>
      <w:pPr>
        <w:pageBreakBefore w:val="0"/>
        <w:kinsoku/>
        <w:wordWrap/>
        <w:overflowPunct/>
        <w:topLinePunct w:val="0"/>
        <w:autoSpaceDE/>
        <w:autoSpaceDN/>
        <w:bidi w:val="0"/>
        <w:spacing w:line="596" w:lineRule="exact"/>
        <w:jc w:val="center"/>
        <w:outlineLvl w:val="9"/>
        <w:rPr>
          <w:rFonts w:hint="eastAsia" w:ascii="仿宋" w:hAnsi="仿宋" w:eastAsia="仿宋" w:cs="仿宋"/>
          <w:b/>
          <w:sz w:val="32"/>
          <w:szCs w:val="32"/>
        </w:rPr>
      </w:pPr>
      <w:r>
        <w:rPr>
          <w:rFonts w:hint="eastAsia" w:ascii="仿宋" w:hAnsi="仿宋" w:eastAsia="仿宋" w:cs="仿宋"/>
          <w:b/>
          <w:sz w:val="32"/>
          <w:szCs w:val="32"/>
        </w:rPr>
        <w:t>第七章  附 则</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 xml:space="preserve"> 本预案由学校制定并根据有关法律法规及实际情况的变化适时修订，由意识形态领域突发事件应急处置工作领导小组办公室负责解释并组织实施。</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第十六条</w:t>
      </w:r>
      <w:r>
        <w:rPr>
          <w:rFonts w:hint="eastAsia" w:ascii="仿宋" w:hAnsi="仿宋" w:eastAsia="仿宋" w:cs="仿宋"/>
          <w:sz w:val="32"/>
          <w:szCs w:val="32"/>
        </w:rPr>
        <w:t xml:space="preserve"> 本预案自发布之日起实施。</w:t>
      </w:r>
    </w:p>
    <w:p>
      <w:pPr>
        <w:pageBreakBefore w:val="0"/>
        <w:kinsoku/>
        <w:wordWrap/>
        <w:overflowPunct/>
        <w:topLinePunct w:val="0"/>
        <w:autoSpaceDE/>
        <w:autoSpaceDN/>
        <w:bidi w:val="0"/>
        <w:outlineLvl w:val="9"/>
        <w:rPr>
          <w:rFonts w:hint="eastAsia" w:ascii="仿宋" w:hAnsi="仿宋" w:eastAsia="仿宋" w:cs="仿宋"/>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45" w:name="_Toc28171"/>
      <w:bookmarkStart w:id="146" w:name="_Toc534377787"/>
      <w:bookmarkStart w:id="147" w:name="_Toc13359"/>
      <w:bookmarkStart w:id="148" w:name="_Toc24360"/>
      <w:r>
        <w:rPr>
          <w:rFonts w:hint="eastAsia" w:ascii="黑体" w:hAnsi="黑体" w:eastAsia="黑体" w:cs="黑体"/>
          <w:color w:val="000000"/>
          <w:kern w:val="2"/>
          <w:sz w:val="36"/>
          <w:szCs w:val="36"/>
        </w:rPr>
        <w:t>干部人事档案保管保密制度</w:t>
      </w:r>
      <w:bookmarkEnd w:id="145"/>
      <w:bookmarkEnd w:id="146"/>
      <w:bookmarkEnd w:id="147"/>
      <w:bookmarkEnd w:id="148"/>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（柳职院人字〔2017〕2号）</w:t>
      </w:r>
    </w:p>
    <w:p>
      <w:pPr>
        <w:pageBreakBefore w:val="0"/>
        <w:kinsoku/>
        <w:wordWrap/>
        <w:overflowPunct/>
        <w:topLinePunct w:val="0"/>
        <w:autoSpaceDE/>
        <w:autoSpaceDN/>
        <w:bidi w:val="0"/>
        <w:spacing w:line="580" w:lineRule="exact"/>
        <w:jc w:val="center"/>
        <w:outlineLvl w:val="9"/>
        <w:rPr>
          <w:rFonts w:hint="eastAsia" w:ascii="仿宋" w:hAnsi="仿宋" w:eastAsia="仿宋" w:cs="仿宋"/>
          <w:b/>
          <w:bCs/>
          <w:color w:val="000000"/>
          <w:kern w:val="0"/>
          <w:sz w:val="32"/>
          <w:szCs w:val="32"/>
        </w:rPr>
      </w:pP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干部人事档案是党和国家的重要机密，必须严格遵守《中华人民共和国档案法》，《保密法》和本院有关保管保密规定，确保档案的安全和保密。</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牢固树立保密观念，严守党和国家机密。不随意向无关人员提供或泄露档案内容，违者视情节轻重，给予批评教育或处分。</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不得在不安全的地方存放和查阅干部人事档案。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不准携带干部人事档案出入公共场所，不准用普通电话提供重要档案内容。</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档案管理人员不得保管本人及其亲属的档案。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整理档案过程中不得丢失档案材料，不随便议论档案内容；在档案整理中形成的各种稿纸、废纸一律按照保密纸处理或销毁。</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档案库房除档案管理人员和主管领导外，其他人员不得入内。</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八、</w:t>
      </w:r>
      <w:r>
        <w:rPr>
          <w:rFonts w:hint="eastAsia" w:ascii="仿宋" w:hAnsi="仿宋" w:eastAsia="仿宋" w:cs="仿宋"/>
          <w:sz w:val="32"/>
          <w:szCs w:val="32"/>
        </w:rPr>
        <w:t>档案及档案材料离开档案室，必须办理借阅手续，外来单位查阅档案要提供《档案查阅审批表》。</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九、</w:t>
      </w:r>
      <w:r>
        <w:rPr>
          <w:rFonts w:hint="eastAsia" w:ascii="仿宋" w:hAnsi="仿宋" w:eastAsia="仿宋" w:cs="仿宋"/>
          <w:sz w:val="32"/>
          <w:szCs w:val="32"/>
        </w:rPr>
        <w:t>个人不得擅自转移、分散和销毁档案材料。需销毁的材料，必须进行登记，经主管负责人批准后，方可销毁。</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十、</w:t>
      </w:r>
      <w:r>
        <w:rPr>
          <w:rFonts w:hint="eastAsia" w:ascii="仿宋" w:hAnsi="仿宋" w:eastAsia="仿宋" w:cs="仿宋"/>
          <w:sz w:val="32"/>
          <w:szCs w:val="32"/>
        </w:rPr>
        <w:t>干部人事档案必须存放在铁质档案柜内，档案室门窗必须坚固适用，有防盗、防火安全措施，定时杀虫除湿。</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十一、</w:t>
      </w:r>
      <w:r>
        <w:rPr>
          <w:rFonts w:hint="eastAsia" w:ascii="仿宋" w:hAnsi="仿宋" w:eastAsia="仿宋" w:cs="仿宋"/>
          <w:sz w:val="32"/>
          <w:szCs w:val="32"/>
        </w:rPr>
        <w:t>库房和档案柜要保持清洁。严禁在档案室内吸烟、放置易燃易爆物品、食品等，以确保安全。</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十二、</w:t>
      </w:r>
      <w:r>
        <w:rPr>
          <w:rFonts w:hint="eastAsia" w:ascii="仿宋" w:hAnsi="仿宋" w:eastAsia="仿宋" w:cs="仿宋"/>
          <w:sz w:val="32"/>
          <w:szCs w:val="32"/>
        </w:rPr>
        <w:t>档案人员应经常检查档案的“六防”（防火、防潮、防蛀、防盗、防光、防高温）情况，发现隐患，及时采取措施。</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49" w:name="_Toc534377788"/>
      <w:bookmarkStart w:id="150" w:name="_Toc9765"/>
      <w:bookmarkStart w:id="151" w:name="_Toc14884"/>
      <w:bookmarkStart w:id="152" w:name="_Toc19628"/>
      <w:r>
        <w:rPr>
          <w:rFonts w:hint="eastAsia" w:ascii="黑体" w:hAnsi="黑体" w:eastAsia="黑体" w:cs="黑体"/>
          <w:color w:val="000000"/>
          <w:kern w:val="2"/>
          <w:sz w:val="36"/>
          <w:szCs w:val="36"/>
        </w:rPr>
        <w:t>干部人事档案鉴别归档制度</w:t>
      </w:r>
      <w:bookmarkEnd w:id="149"/>
      <w:bookmarkEnd w:id="150"/>
      <w:bookmarkEnd w:id="151"/>
      <w:bookmarkEnd w:id="152"/>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（柳职院人字〔2017〕2号）</w:t>
      </w:r>
    </w:p>
    <w:p>
      <w:pPr>
        <w:pageBreakBefore w:val="0"/>
        <w:kinsoku/>
        <w:wordWrap/>
        <w:overflowPunct/>
        <w:topLinePunct w:val="0"/>
        <w:autoSpaceDE/>
        <w:autoSpaceDN/>
        <w:bidi w:val="0"/>
        <w:spacing w:line="550" w:lineRule="exact"/>
        <w:jc w:val="center"/>
        <w:outlineLvl w:val="9"/>
        <w:rPr>
          <w:rFonts w:hint="eastAsia" w:ascii="仿宋" w:hAnsi="仿宋" w:eastAsia="仿宋" w:cs="仿宋"/>
          <w:b/>
          <w:bCs/>
          <w:color w:val="000000"/>
          <w:kern w:val="0"/>
          <w:sz w:val="32"/>
          <w:szCs w:val="32"/>
        </w:rPr>
      </w:pPr>
    </w:p>
    <w:p>
      <w:pPr>
        <w:pageBreakBefore w:val="0"/>
        <w:kinsoku/>
        <w:wordWrap/>
        <w:overflowPunct/>
        <w:topLinePunct w:val="0"/>
        <w:autoSpaceDE/>
        <w:autoSpaceDN/>
        <w:bidi w:val="0"/>
        <w:spacing w:line="55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以中央有关文件为依据，对归档材料进行严格审核和有关情况的确认，坚持用历史的、辩证的观点，慎重对待档案材料的取舍，以保证档案材料的真实、准确、完整和实用。</w:t>
      </w:r>
    </w:p>
    <w:p>
      <w:pPr>
        <w:pageBreakBefore w:val="0"/>
        <w:kinsoku/>
        <w:wordWrap/>
        <w:overflowPunct/>
        <w:topLinePunct w:val="0"/>
        <w:autoSpaceDE/>
        <w:autoSpaceDN/>
        <w:bidi w:val="0"/>
        <w:spacing w:line="55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从干部人事档案中剔除的材料，必须由专人审核把关，重要材料的取舍，应请示主管领导。</w:t>
      </w:r>
    </w:p>
    <w:p>
      <w:pPr>
        <w:pageBreakBefore w:val="0"/>
        <w:kinsoku/>
        <w:wordWrap/>
        <w:overflowPunct/>
        <w:topLinePunct w:val="0"/>
        <w:autoSpaceDE/>
        <w:autoSpaceDN/>
        <w:bidi w:val="0"/>
        <w:spacing w:line="55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经鉴别后，对不符合归档要求的材料，视情况处理：</w:t>
      </w:r>
    </w:p>
    <w:p>
      <w:pPr>
        <w:pageBreakBefore w:val="0"/>
        <w:kinsoku/>
        <w:wordWrap/>
        <w:overflowPunct/>
        <w:topLinePunct w:val="0"/>
        <w:autoSpaceDE/>
        <w:autoSpaceDN/>
        <w:bidi w:val="0"/>
        <w:spacing w:line="55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1.近期形成的不符合要求的归档材料，应退回材料形成部门，提出意见，进行订正，限期归档。</w:t>
      </w:r>
    </w:p>
    <w:p>
      <w:pPr>
        <w:pageBreakBefore w:val="0"/>
        <w:kinsoku/>
        <w:wordWrap/>
        <w:overflowPunct/>
        <w:topLinePunct w:val="0"/>
        <w:autoSpaceDE/>
        <w:autoSpaceDN/>
        <w:bidi w:val="0"/>
        <w:spacing w:line="55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2.不属于归档范围，应转回有关部门或退还本人或按照规定程序做销毁处理。</w:t>
      </w:r>
    </w:p>
    <w:p>
      <w:pPr>
        <w:pageBreakBefore w:val="0"/>
        <w:kinsoku/>
        <w:wordWrap/>
        <w:overflowPunct/>
        <w:topLinePunct w:val="0"/>
        <w:autoSpaceDE/>
        <w:autoSpaceDN/>
        <w:bidi w:val="0"/>
        <w:spacing w:line="55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3.没有保存价值或重复的材料，登记造册，经主管领导批准后，进行销毁。</w:t>
      </w:r>
    </w:p>
    <w:p>
      <w:pPr>
        <w:pageBreakBefore w:val="0"/>
        <w:kinsoku/>
        <w:wordWrap/>
        <w:overflowPunct/>
        <w:topLinePunct w:val="0"/>
        <w:autoSpaceDE/>
        <w:autoSpaceDN/>
        <w:bidi w:val="0"/>
        <w:spacing w:line="55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4.不属于归档范围的材料不得擅自归档，需要暂时保存备查的材料，经主管领导批准后，方能存入。</w:t>
      </w:r>
    </w:p>
    <w:p>
      <w:pPr>
        <w:pageBreakBefore w:val="0"/>
        <w:kinsoku/>
        <w:wordWrap/>
        <w:overflowPunct/>
        <w:topLinePunct w:val="0"/>
        <w:autoSpaceDE/>
        <w:autoSpaceDN/>
        <w:bidi w:val="0"/>
        <w:spacing w:line="55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5.伪造或涂改档案内容的材料，应及时消除，并报领导，追究责任，严肃查处。</w:t>
      </w:r>
    </w:p>
    <w:p>
      <w:pPr>
        <w:pageBreakBefore w:val="0"/>
        <w:kinsoku/>
        <w:wordWrap/>
        <w:overflowPunct/>
        <w:topLinePunct w:val="0"/>
        <w:autoSpaceDE/>
        <w:autoSpaceDN/>
        <w:bidi w:val="0"/>
        <w:spacing w:line="55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鉴别登记后的干部人事档案材料要及时归档入册，一年装订入卷一次。</w:t>
      </w:r>
    </w:p>
    <w:p>
      <w:pPr>
        <w:pageBreakBefore w:val="0"/>
        <w:kinsoku/>
        <w:wordWrap/>
        <w:overflowPunct/>
        <w:topLinePunct w:val="0"/>
        <w:autoSpaceDE/>
        <w:autoSpaceDN/>
        <w:bidi w:val="0"/>
        <w:spacing w:line="55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干部人事档案管理部门与形成干部人事档案材料的有关部门建立联系制度，加强沟通，确保人事档案管理材料及时归档。</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53" w:name="_Toc534377789"/>
      <w:bookmarkStart w:id="154" w:name="_Toc19352"/>
      <w:bookmarkStart w:id="155" w:name="_Toc26036"/>
      <w:bookmarkStart w:id="156" w:name="_Toc26185"/>
      <w:r>
        <w:rPr>
          <w:rFonts w:hint="eastAsia" w:ascii="黑体" w:hAnsi="黑体" w:eastAsia="黑体" w:cs="黑体"/>
          <w:color w:val="000000"/>
          <w:kern w:val="2"/>
          <w:sz w:val="36"/>
          <w:szCs w:val="36"/>
        </w:rPr>
        <w:t>干部人事档案检查核对</w:t>
      </w:r>
      <w:r>
        <w:rPr>
          <w:rFonts w:hint="eastAsia" w:ascii="黑体" w:hAnsi="黑体" w:eastAsia="黑体" w:cs="黑体"/>
          <w:color w:val="000000"/>
          <w:kern w:val="2"/>
          <w:sz w:val="36"/>
          <w:szCs w:val="36"/>
        </w:rPr>
        <w:fldChar w:fldCharType="begin"/>
      </w:r>
      <w:r>
        <w:rPr>
          <w:rFonts w:hint="eastAsia" w:ascii="黑体" w:hAnsi="黑体" w:eastAsia="黑体" w:cs="黑体"/>
          <w:color w:val="000000"/>
          <w:kern w:val="2"/>
          <w:sz w:val="36"/>
          <w:szCs w:val="36"/>
        </w:rPr>
        <w:instrText xml:space="preserve"> HYPERLINK "http://www.fdcew.com/hypx/List_177.html" \t "http://www.fdcew.com/Article/renshi/_blank" </w:instrText>
      </w:r>
      <w:r>
        <w:rPr>
          <w:rFonts w:hint="eastAsia" w:ascii="黑体" w:hAnsi="黑体" w:eastAsia="黑体" w:cs="黑体"/>
          <w:color w:val="000000"/>
          <w:kern w:val="2"/>
          <w:sz w:val="36"/>
          <w:szCs w:val="36"/>
        </w:rPr>
        <w:fldChar w:fldCharType="separate"/>
      </w:r>
      <w:r>
        <w:rPr>
          <w:rFonts w:hint="eastAsia" w:ascii="黑体" w:hAnsi="黑体" w:eastAsia="黑体" w:cs="黑体"/>
          <w:color w:val="000000"/>
          <w:kern w:val="2"/>
          <w:sz w:val="36"/>
          <w:szCs w:val="36"/>
        </w:rPr>
        <w:t>制度</w:t>
      </w:r>
      <w:bookmarkEnd w:id="153"/>
      <w:r>
        <w:rPr>
          <w:rFonts w:hint="eastAsia" w:ascii="黑体" w:hAnsi="黑体" w:eastAsia="黑体" w:cs="黑体"/>
          <w:color w:val="000000"/>
          <w:kern w:val="2"/>
          <w:sz w:val="36"/>
          <w:szCs w:val="36"/>
        </w:rPr>
        <w:fldChar w:fldCharType="end"/>
      </w:r>
      <w:bookmarkEnd w:id="154"/>
      <w:bookmarkEnd w:id="155"/>
      <w:bookmarkEnd w:id="156"/>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（柳职院人字〔2017〕2号）</w:t>
      </w:r>
    </w:p>
    <w:p>
      <w:pPr>
        <w:pageBreakBefore w:val="0"/>
        <w:kinsoku/>
        <w:wordWrap/>
        <w:overflowPunct/>
        <w:topLinePunct w:val="0"/>
        <w:autoSpaceDE/>
        <w:autoSpaceDN/>
        <w:bidi w:val="0"/>
        <w:spacing w:line="580" w:lineRule="exact"/>
        <w:jc w:val="center"/>
        <w:outlineLvl w:val="9"/>
        <w:rPr>
          <w:rFonts w:hint="eastAsia" w:ascii="仿宋" w:hAnsi="仿宋" w:eastAsia="仿宋" w:cs="仿宋"/>
          <w:b/>
          <w:bCs/>
          <w:color w:val="000000"/>
          <w:kern w:val="0"/>
          <w:sz w:val="32"/>
          <w:szCs w:val="32"/>
        </w:rPr>
      </w:pP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定期或不定期对库存干部人事档案进行检查核对，确保干部人事档案安全。</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建立登记和统计制度，在接收、转递、查（借）阅档案的工作中，认真做好记录，始终做到名册与档案相符，人与档案内容相符。</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每年年终全面检查核对一次干部人事档案，做到人事档案底册与库存人事档案一致。</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在发生水灾、火灾、地震等自然灾害后，必须及时检查核对档案。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发现虫害、霉变、潮湿等情况时，必须检查核对档案。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管理人员变更，必须在检查核对无误后办理移交手续。</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在搬迁库房或移动档案资料存放地点之后，必须清查核实档案。</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57" w:name="_Toc534377790"/>
      <w:bookmarkStart w:id="158" w:name="_Toc11445"/>
      <w:bookmarkStart w:id="159" w:name="_Toc23347"/>
      <w:bookmarkStart w:id="160" w:name="_Toc13203"/>
      <w:r>
        <w:rPr>
          <w:rFonts w:hint="eastAsia" w:ascii="黑体" w:hAnsi="黑体" w:eastAsia="黑体" w:cs="黑体"/>
          <w:color w:val="000000"/>
          <w:kern w:val="2"/>
          <w:sz w:val="36"/>
          <w:szCs w:val="36"/>
        </w:rPr>
        <w:t>干部人事档案查（借）阅制度</w:t>
      </w:r>
      <w:bookmarkEnd w:id="157"/>
      <w:bookmarkEnd w:id="158"/>
      <w:bookmarkEnd w:id="159"/>
      <w:bookmarkEnd w:id="160"/>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（柳职院人字〔2017〕2号）</w:t>
      </w:r>
    </w:p>
    <w:p>
      <w:pPr>
        <w:pageBreakBefore w:val="0"/>
        <w:kinsoku/>
        <w:wordWrap/>
        <w:overflowPunct/>
        <w:topLinePunct w:val="0"/>
        <w:autoSpaceDE/>
        <w:autoSpaceDN/>
        <w:bidi w:val="0"/>
        <w:spacing w:line="580" w:lineRule="exact"/>
        <w:jc w:val="center"/>
        <w:outlineLvl w:val="9"/>
        <w:rPr>
          <w:rFonts w:hint="eastAsia" w:ascii="仿宋" w:hAnsi="仿宋" w:eastAsia="仿宋" w:cs="仿宋"/>
          <w:b/>
          <w:bCs/>
          <w:color w:val="000000"/>
          <w:kern w:val="0"/>
          <w:sz w:val="32"/>
          <w:szCs w:val="32"/>
        </w:rPr>
      </w:pP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学校组织部、人事处、纪委、监察处等部门因工作需要，经学院主管人事工作领导批准，可查（借）阅干部人事档案。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本校干部人事档案，除公安部门调查取证外，一般不对外提供查阅。外单位因工作而须查阅干部人事档案，需填写《干部人事档案查阅申报表》，经学校人事部门批准，在核实相关证件后，方可查阅。</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查阅干部人事档案，应遵守如下要求：</w:t>
      </w:r>
    </w:p>
    <w:p>
      <w:pPr>
        <w:pageBreakBefore w:val="0"/>
        <w:kinsoku/>
        <w:wordWrap/>
        <w:overflowPunct/>
        <w:topLinePunct w:val="0"/>
        <w:autoSpaceDE/>
        <w:autoSpaceDN/>
        <w:bidi w:val="0"/>
        <w:spacing w:line="57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1.干部职工考研、考博、入党（团）、考察、任免、调动、政治审查、组织处理、复查或甄别历史案件、福利待遇、退（离）休、治丧等，经组织、人事部门批准，可由有关部门查阅本人档案。</w:t>
      </w:r>
    </w:p>
    <w:p>
      <w:pPr>
        <w:pageBreakBefore w:val="0"/>
        <w:kinsoku/>
        <w:wordWrap/>
        <w:overflowPunct/>
        <w:topLinePunct w:val="0"/>
        <w:autoSpaceDE/>
        <w:autoSpaceDN/>
        <w:bidi w:val="0"/>
        <w:spacing w:line="57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2.因编写史志，需要了解当事人的经历和社会情况，而当事人已故或重病不能书写和口述的，可提供其履历和自传的有关部分。因其他特殊原因，必须从其档案中取旁证材料的，可提供有关内容。</w:t>
      </w:r>
    </w:p>
    <w:p>
      <w:pPr>
        <w:pageBreakBefore w:val="0"/>
        <w:kinsoku/>
        <w:wordWrap/>
        <w:overflowPunct/>
        <w:topLinePunct w:val="0"/>
        <w:autoSpaceDE/>
        <w:autoSpaceDN/>
        <w:bidi w:val="0"/>
        <w:spacing w:line="57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3.查阅已故人员的档案，由人事主管部门领导签字同意并加盖部门公章，方可查阅。</w:t>
      </w:r>
    </w:p>
    <w:p>
      <w:pPr>
        <w:pageBreakBefore w:val="0"/>
        <w:kinsoku/>
        <w:wordWrap/>
        <w:overflowPunct/>
        <w:topLinePunct w:val="0"/>
        <w:autoSpaceDE/>
        <w:autoSpaceDN/>
        <w:bidi w:val="0"/>
        <w:spacing w:line="570" w:lineRule="exact"/>
        <w:ind w:firstLine="640" w:firstLineChars="200"/>
        <w:outlineLvl w:val="9"/>
        <w:rPr>
          <w:rFonts w:hint="eastAsia" w:ascii="仿宋" w:hAnsi="仿宋" w:eastAsia="仿宋" w:cs="仿宋"/>
          <w:sz w:val="32"/>
          <w:szCs w:val="32"/>
        </w:rPr>
      </w:pPr>
      <w:r>
        <w:rPr>
          <w:rFonts w:hint="eastAsia" w:ascii="仿宋" w:hAnsi="仿宋" w:eastAsia="仿宋" w:cs="仿宋"/>
          <w:sz w:val="32"/>
          <w:szCs w:val="32"/>
        </w:rPr>
        <w:t>4.干部职工亲属入党、升学、参军等政审，由学校组织部查阅档案后，出具证明材料。</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查阅档案者必须是中共党员,任何人不得查阅本人及其亲属的档案。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需摘录或复制有关档案内容和材料的，应征得组织部或人事处同意，并办理登记手续；作直接证明材料的，摘录或复制的档案材料，均不予盖章。</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阅档时，不得随意圈划、涂改、拆散、抽换、污损档案。</w:t>
      </w:r>
    </w:p>
    <w:p>
      <w:pPr>
        <w:pageBreakBefore w:val="0"/>
        <w:kinsoku/>
        <w:wordWrap/>
        <w:overflowPunct/>
        <w:topLinePunct w:val="0"/>
        <w:autoSpaceDE/>
        <w:autoSpaceDN/>
        <w:bidi w:val="0"/>
        <w:spacing w:line="57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档案一般不得外借，确因特殊情况必须借用的，应在《干部人事档案查阅申报表》中写明借阅理由，经组织部或人事处领导审核后，学院主管人事工作领导批准，方可借出。借出档案应妥善保管，不得转借或给无关人员翻阅，借出档案一般不超过15天，若不能按期归还，应办理续借手续，续借不得超过一周。</w:t>
      </w:r>
    </w:p>
    <w:p>
      <w:pPr>
        <w:pageBreakBefore w:val="0"/>
        <w:widowControl/>
        <w:kinsoku/>
        <w:wordWrap/>
        <w:overflowPunct/>
        <w:topLinePunct w:val="0"/>
        <w:autoSpaceDE/>
        <w:autoSpaceDN/>
        <w:bidi w:val="0"/>
        <w:jc w:val="left"/>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61" w:name="_Toc5802"/>
      <w:bookmarkStart w:id="162" w:name="_Toc1543"/>
      <w:bookmarkStart w:id="163" w:name="_Toc17493"/>
      <w:bookmarkStart w:id="164" w:name="_Toc534377791"/>
      <w:r>
        <w:rPr>
          <w:rFonts w:hint="eastAsia" w:ascii="黑体" w:hAnsi="黑体" w:eastAsia="黑体" w:cs="黑体"/>
          <w:color w:val="000000"/>
          <w:kern w:val="2"/>
          <w:sz w:val="36"/>
          <w:szCs w:val="36"/>
        </w:rPr>
        <w:t>干部人事档案转递制度</w:t>
      </w:r>
      <w:bookmarkEnd w:id="161"/>
      <w:bookmarkEnd w:id="162"/>
      <w:bookmarkEnd w:id="163"/>
      <w:bookmarkEnd w:id="164"/>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（柳职院人字〔2017〕2号）</w:t>
      </w:r>
    </w:p>
    <w:p>
      <w:pPr>
        <w:pageBreakBefore w:val="0"/>
        <w:kinsoku/>
        <w:wordWrap/>
        <w:overflowPunct/>
        <w:topLinePunct w:val="0"/>
        <w:autoSpaceDE/>
        <w:autoSpaceDN/>
        <w:bidi w:val="0"/>
        <w:spacing w:line="56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转递干部人事档案和档案材料，必须做到及时、完整、准确、安全、保密。</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干部职工工作调动，档案管理人员凭调档通知，在10日内将其档案转至新的主管单位，人事干部档案要随干部调动及时转递，避免人档分离。</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转出的档案必须完整齐全，并按规定整理装订，不得扣留档案材料或分批转出。</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干部人事档案应通过机要交通（或特快专递）转递，或派专人送取，不准邮寄及交干部本人或其亲属自带。</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转出档案或档案材料，必须填写《干部档案转递通知单》，办理登记手续，并随档案一并寄出，寄出档案应在封口处加盖公章或贴密封签。</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收到的档案经认真核对无误后，应在《干部档案转递通知单》回执上签名盖章，立即退回回执；转出的档案，逾期一个月未退回执的，应及时催收，以防丢失。</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对已出现的“无头档案”，应认真查找。确属查不到人员下落，又有保存价值的档案或档案材料，应转至当事人的原单位保存。</w:t>
      </w:r>
    </w:p>
    <w:p>
      <w:pPr>
        <w:pageBreakBefore w:val="0"/>
        <w:kinsoku/>
        <w:wordWrap/>
        <w:overflowPunct/>
        <w:topLinePunct w:val="0"/>
        <w:autoSpaceDE/>
        <w:autoSpaceDN/>
        <w:bidi w:val="0"/>
        <w:spacing w:line="56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八、</w:t>
      </w:r>
      <w:r>
        <w:rPr>
          <w:rFonts w:hint="eastAsia" w:ascii="仿宋" w:hAnsi="仿宋" w:eastAsia="仿宋" w:cs="仿宋"/>
          <w:spacing w:val="-6"/>
          <w:sz w:val="32"/>
          <w:szCs w:val="32"/>
        </w:rPr>
        <w:t>凡是转出的档案或人事材料均需严密包封，并加盖机密章。</w:t>
      </w: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65" w:name="_Toc32375"/>
      <w:bookmarkStart w:id="166" w:name="_Toc17117"/>
      <w:bookmarkStart w:id="167" w:name="_Toc534377792"/>
      <w:bookmarkStart w:id="168" w:name="_Toc1446"/>
      <w:r>
        <w:rPr>
          <w:rFonts w:hint="eastAsia" w:ascii="黑体" w:hAnsi="黑体" w:eastAsia="黑体" w:cs="黑体"/>
          <w:color w:val="000000"/>
          <w:kern w:val="2"/>
          <w:sz w:val="36"/>
          <w:szCs w:val="36"/>
        </w:rPr>
        <w:t>干部人事档案收集制度</w:t>
      </w:r>
      <w:bookmarkEnd w:id="165"/>
      <w:bookmarkEnd w:id="166"/>
      <w:bookmarkEnd w:id="167"/>
      <w:bookmarkEnd w:id="168"/>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（柳职院人字〔2017〕3号）</w:t>
      </w:r>
    </w:p>
    <w:p>
      <w:pPr>
        <w:pageBreakBefore w:val="0"/>
        <w:kinsoku/>
        <w:wordWrap/>
        <w:overflowPunct/>
        <w:topLinePunct w:val="0"/>
        <w:autoSpaceDE/>
        <w:autoSpaceDN/>
        <w:bidi w:val="0"/>
        <w:spacing w:line="580" w:lineRule="exact"/>
        <w:jc w:val="left"/>
        <w:outlineLvl w:val="9"/>
        <w:rPr>
          <w:rFonts w:hint="eastAsia" w:ascii="仿宋" w:hAnsi="仿宋" w:eastAsia="仿宋" w:cs="仿宋"/>
          <w:b/>
          <w:sz w:val="32"/>
          <w:szCs w:val="32"/>
        </w:rPr>
      </w:pP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认真执行广西区委组织部《干部人事档案资料收集归档规定》及《柳州职业技术学院干部人事档案收集归档规定》，及时、准确收集干部人事档案材料。</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组织部、人事处、纪委、监察室、教务与实训管理处、二级学院等干部人事档案材料形成部门，应按有关规定收集，整理归档材料，并及时归档。</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归档材料应真实规范，完整齐全，文字清楚，对象明确，手续完备。由组织形成的材料有形成时间和组织印章，个人撰写的材料有形成时间和本人签字。</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对符合归档要求的材料，应按收进材料的时间顺序，登记在《干部人事档案材料收集归档登记簿》上，并在次月内归入档案袋（盒）内。</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五、</w:t>
      </w:r>
      <w:r>
        <w:rPr>
          <w:rFonts w:hint="eastAsia" w:ascii="仿宋" w:hAnsi="仿宋" w:eastAsia="仿宋" w:cs="仿宋"/>
          <w:sz w:val="32"/>
          <w:szCs w:val="32"/>
        </w:rPr>
        <w:t>对不符合归档要求的材料，应及时通知形成材料的部门订正或补送，补办手续，限期报送。</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统一布置填写的归档材料，按限定时间及时收集，对逾期不报的进行催收，并通报批评。</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定期核查收取、管理的档案，发现缺少的材料，及时登记在《索取所缺干部人事档案材料登记表》上，主动向有关部门查询索取。</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八、</w:t>
      </w:r>
      <w:r>
        <w:rPr>
          <w:rFonts w:hint="eastAsia" w:ascii="仿宋" w:hAnsi="仿宋" w:eastAsia="仿宋" w:cs="仿宋"/>
          <w:sz w:val="32"/>
          <w:szCs w:val="32"/>
        </w:rPr>
        <w:t>干部人事档案材料形成部门，应在材料形成的一个月内，将材料送交主管人事档案部门归档。</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九、</w:t>
      </w:r>
      <w:r>
        <w:rPr>
          <w:rFonts w:hint="eastAsia" w:ascii="仿宋" w:hAnsi="仿宋" w:eastAsia="仿宋" w:cs="仿宋"/>
          <w:sz w:val="32"/>
          <w:szCs w:val="32"/>
        </w:rPr>
        <w:t>形成的档案材料使用A4纸张（规格210mm*797mm）。</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十、</w:t>
      </w:r>
      <w:r>
        <w:rPr>
          <w:rFonts w:hint="eastAsia" w:ascii="仿宋" w:hAnsi="仿宋" w:eastAsia="仿宋" w:cs="仿宋"/>
          <w:sz w:val="32"/>
          <w:szCs w:val="32"/>
        </w:rPr>
        <w:t>根据工作需要，定时布置填写《干部履历表》或《干部履历补充表》等，及时充实档案内容。</w:t>
      </w:r>
    </w:p>
    <w:p>
      <w:pPr>
        <w:pageBreakBefore w:val="0"/>
        <w:widowControl/>
        <w:kinsoku/>
        <w:wordWrap/>
        <w:overflowPunct/>
        <w:topLinePunct w:val="0"/>
        <w:autoSpaceDE/>
        <w:autoSpaceDN/>
        <w:bidi w:val="0"/>
        <w:jc w:val="left"/>
        <w:outlineLvl w:val="9"/>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黑体" w:hAnsi="黑体" w:eastAsia="黑体" w:cs="黑体"/>
          <w:color w:val="000000"/>
          <w:kern w:val="2"/>
          <w:sz w:val="36"/>
          <w:szCs w:val="36"/>
        </w:rPr>
      </w:pPr>
      <w:bookmarkStart w:id="169" w:name="_Toc2610"/>
      <w:bookmarkStart w:id="170" w:name="_Toc18427"/>
      <w:bookmarkStart w:id="171" w:name="_Toc24642"/>
      <w:bookmarkStart w:id="172" w:name="_Toc534377793"/>
      <w:r>
        <w:rPr>
          <w:rFonts w:hint="eastAsia" w:ascii="黑体" w:hAnsi="黑体" w:eastAsia="黑体" w:cs="黑体"/>
          <w:color w:val="000000"/>
          <w:kern w:val="2"/>
          <w:sz w:val="36"/>
          <w:szCs w:val="36"/>
        </w:rPr>
        <w:t>干部人事档案送交档案材料归档工作制度</w:t>
      </w:r>
      <w:bookmarkEnd w:id="169"/>
      <w:bookmarkEnd w:id="170"/>
      <w:bookmarkEnd w:id="171"/>
      <w:bookmarkEnd w:id="172"/>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 w:hAnsi="仿宋" w:eastAsia="仿宋" w:cs="仿宋"/>
          <w:sz w:val="32"/>
          <w:szCs w:val="32"/>
        </w:rPr>
      </w:pPr>
      <w:r>
        <w:rPr>
          <w:rFonts w:hint="eastAsia" w:ascii="仿宋" w:hAnsi="仿宋" w:eastAsia="仿宋" w:cs="仿宋"/>
          <w:sz w:val="32"/>
          <w:szCs w:val="32"/>
        </w:rPr>
        <w:t>（柳职院人字〔2017〕3号）</w:t>
      </w:r>
    </w:p>
    <w:p>
      <w:pPr>
        <w:pageBreakBefore w:val="0"/>
        <w:kinsoku/>
        <w:wordWrap/>
        <w:overflowPunct/>
        <w:topLinePunct w:val="0"/>
        <w:autoSpaceDE/>
        <w:autoSpaceDN/>
        <w:bidi w:val="0"/>
        <w:spacing w:line="580"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一、</w:t>
      </w:r>
      <w:r>
        <w:rPr>
          <w:rFonts w:hint="eastAsia" w:ascii="仿宋" w:hAnsi="仿宋" w:eastAsia="仿宋" w:cs="仿宋"/>
          <w:sz w:val="32"/>
          <w:szCs w:val="32"/>
        </w:rPr>
        <w:t>形成干部人事档案材料的有关单位和部门，应主动按照干部人事档案收集归档范围的要求，将本单位、本部门形成的干部人事档案材料及时报送到干部人事档案室归档。</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二、</w:t>
      </w:r>
      <w:r>
        <w:rPr>
          <w:rFonts w:hint="eastAsia" w:ascii="仿宋" w:hAnsi="仿宋" w:eastAsia="仿宋" w:cs="仿宋"/>
          <w:sz w:val="32"/>
          <w:szCs w:val="32"/>
        </w:rPr>
        <w:t>任何组织与个人，不得以任何理由积压或滞留应归档材料，形成干部人事档案材料的部门在材料形成后一个月内，按要求将材料送交干部人事档案室归档。</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三、</w:t>
      </w:r>
      <w:r>
        <w:rPr>
          <w:rFonts w:hint="eastAsia" w:ascii="仿宋" w:hAnsi="仿宋" w:eastAsia="仿宋" w:cs="仿宋"/>
          <w:sz w:val="32"/>
          <w:szCs w:val="32"/>
        </w:rPr>
        <w:t>报送干部人事档案材料时要认真填写干部人事档案《移交材料登记表》和《收材料登记表》，交接双方签字，办理好交接手续。</w:t>
      </w:r>
    </w:p>
    <w:p>
      <w:pPr>
        <w:pageBreakBefore w:val="0"/>
        <w:kinsoku/>
        <w:wordWrap/>
        <w:overflowPunct/>
        <w:topLinePunct w:val="0"/>
        <w:autoSpaceDE/>
        <w:autoSpaceDN/>
        <w:bidi w:val="0"/>
        <w:spacing w:line="580"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四、</w:t>
      </w:r>
      <w:r>
        <w:rPr>
          <w:rFonts w:hint="eastAsia" w:ascii="仿宋" w:hAnsi="仿宋" w:eastAsia="仿宋" w:cs="仿宋"/>
          <w:sz w:val="32"/>
          <w:szCs w:val="32"/>
        </w:rPr>
        <w:t>干部人事档案室对送交的归档材料，要认真进行检查，凡材料不齐全、内容不真实、手续不完备等不符合归档要求的材料，应及时退还不符合规定的档案材料，并通知材料形成部门，补送材料或补办手续，形成材料的部门须按规定认真办理。</w:t>
      </w:r>
    </w:p>
    <w:p>
      <w:pPr>
        <w:pageBreakBefore w:val="0"/>
        <w:kinsoku/>
        <w:wordWrap/>
        <w:overflowPunct/>
        <w:topLinePunct w:val="0"/>
        <w:autoSpaceDE/>
        <w:autoSpaceDN/>
        <w:bidi w:val="0"/>
        <w:outlineLvl w:val="9"/>
        <w:sectPr>
          <w:footerReference r:id="rId7" w:type="default"/>
          <w:headerReference r:id="rId6" w:type="even"/>
          <w:pgSz w:w="11906" w:h="16838"/>
          <w:pgMar w:top="2098" w:right="1474" w:bottom="1985" w:left="1588" w:header="851" w:footer="992" w:gutter="0"/>
          <w:pgNumType w:fmt="decimal"/>
          <w:cols w:space="720" w:num="1"/>
          <w:docGrid w:linePitch="312" w:charSpace="0"/>
        </w:sectPr>
      </w:pPr>
    </w:p>
    <w:p>
      <w:pPr>
        <w:pStyle w:val="2"/>
        <w:keepNext/>
        <w:keepLines/>
        <w:widowControl w:val="0"/>
        <w:spacing w:before="0" w:beforeAutospacing="0" w:after="0" w:afterAutospacing="0" w:line="600" w:lineRule="exact"/>
        <w:jc w:val="center"/>
        <w:outlineLvl w:val="1"/>
        <w:rPr>
          <w:rFonts w:ascii="宋体" w:hAnsi="宋体"/>
          <w:b/>
          <w:bCs/>
          <w:color w:val="000000"/>
          <w:sz w:val="36"/>
          <w:szCs w:val="36"/>
          <w:lang w:val="en-US" w:eastAsia="zh-CN"/>
        </w:rPr>
      </w:pPr>
      <w:bookmarkStart w:id="173" w:name="_Toc27073"/>
      <w:bookmarkStart w:id="174" w:name="_Toc17448"/>
      <w:bookmarkStart w:id="175" w:name="_Toc21217"/>
      <w:bookmarkStart w:id="176" w:name="_Toc534379507"/>
      <w:bookmarkStart w:id="177" w:name="_Toc18611"/>
      <w:bookmarkStart w:id="178" w:name="_Toc2449"/>
      <w:r>
        <w:rPr>
          <w:rFonts w:hint="eastAsia" w:ascii="宋体" w:hAnsi="宋体"/>
          <w:b/>
          <w:bCs/>
          <w:color w:val="000000"/>
          <w:sz w:val="36"/>
          <w:szCs w:val="36"/>
          <w:lang w:val="en-US" w:eastAsia="zh-CN"/>
        </w:rPr>
        <w:t>柳州职业技术学院校园网新闻管理办法（试行）</w:t>
      </w:r>
      <w:bookmarkEnd w:id="173"/>
      <w:bookmarkEnd w:id="174"/>
      <w:bookmarkEnd w:id="175"/>
      <w:bookmarkEnd w:id="176"/>
    </w:p>
    <w:p>
      <w:pPr>
        <w:pStyle w:val="14"/>
        <w:spacing w:before="0" w:beforeAutospacing="0" w:after="0" w:afterAutospacing="0" w:line="580" w:lineRule="exact"/>
        <w:jc w:val="center"/>
        <w:outlineLvl w:val="2"/>
        <w:rPr>
          <w:rFonts w:hint="eastAsia" w:ascii="仿宋_GB2312" w:hAnsi="黑体" w:eastAsia="仿宋_GB2312" w:cs="黑体"/>
          <w:sz w:val="32"/>
          <w:szCs w:val="32"/>
        </w:rPr>
      </w:pPr>
      <w:r>
        <w:rPr>
          <w:rFonts w:hint="eastAsia" w:ascii="仿宋_GB2312" w:hAnsi="黑体" w:eastAsia="仿宋_GB2312" w:cs="黑体"/>
          <w:sz w:val="32"/>
          <w:szCs w:val="32"/>
        </w:rPr>
        <w:t>（柳职院宣字〔2018〕1号）</w:t>
      </w:r>
    </w:p>
    <w:p>
      <w:pPr>
        <w:rPr>
          <w:rFonts w:ascii="仿宋_GB2312" w:hAnsi="仿宋_GB2312" w:eastAsia="仿宋_GB2312" w:cs="仿宋_GB2312"/>
          <w:b/>
          <w:bCs/>
          <w:sz w:val="30"/>
          <w:szCs w:val="30"/>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第一章  总则</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第一条</w:t>
      </w:r>
      <w:r>
        <w:rPr>
          <w:rFonts w:hint="eastAsia" w:ascii="仿宋_GB2312" w:hAnsi="仿宋_GB2312" w:eastAsia="仿宋_GB2312" w:cs="仿宋_GB2312"/>
          <w:sz w:val="32"/>
          <w:szCs w:val="32"/>
        </w:rPr>
        <w:t xml:space="preserve">  为进一步加强学校校园网新闻宣传工作，规范对校园网新闻发布的管理，充分发挥校园网络宣传的主阵地、主旋律作用，着力提高舆论引导水平，确保校园网新闻发布的权威性、导向性和时效性，特制定本办法。</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第二条 </w:t>
      </w:r>
      <w:r>
        <w:rPr>
          <w:rFonts w:hint="eastAsia" w:ascii="仿宋_GB2312" w:hAnsi="仿宋_GB2312" w:eastAsia="仿宋_GB2312" w:cs="仿宋_GB2312"/>
          <w:sz w:val="32"/>
          <w:szCs w:val="32"/>
        </w:rPr>
        <w:t xml:space="preserve"> 本办法所指的校园新闻，指在本校网站群系统内发布的新闻，包括在校园网主页、新闻网、各行政部门及教学院部网站和各专题网站发布的新闻。除以上所述网站外，其余依托校园网络建立的网站均不得发布新闻。</w:t>
      </w:r>
    </w:p>
    <w:p>
      <w:pPr>
        <w:spacing w:line="560" w:lineRule="exact"/>
        <w:ind w:firstLine="640" w:firstLineChars="200"/>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第二章  组织与管理</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第三条  </w:t>
      </w:r>
      <w:r>
        <w:rPr>
          <w:rFonts w:hint="eastAsia" w:ascii="仿宋_GB2312" w:hAnsi="仿宋_GB2312" w:eastAsia="仿宋_GB2312" w:cs="仿宋_GB2312"/>
          <w:sz w:val="32"/>
          <w:szCs w:val="32"/>
        </w:rPr>
        <w:t>党委宣传部负责监管学校各级新闻网站，学校主站新闻网由党委宣传部负责建设和管理。各行政部门、教学院部负责本级网站的新闻建设和管理。</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第四条</w:t>
      </w:r>
      <w:r>
        <w:rPr>
          <w:rFonts w:hint="eastAsia" w:ascii="仿宋_GB2312" w:hAnsi="仿宋_GB2312" w:eastAsia="仿宋_GB2312" w:cs="仿宋_GB2312"/>
          <w:sz w:val="32"/>
          <w:szCs w:val="32"/>
        </w:rPr>
        <w:t xml:space="preserve">  党委宣传部负责学校主站新闻的编审、发布，确保正确的舆论导向，对各行政部门、教学院部的新闻宣传工作进行指导和管理。</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第五条  </w:t>
      </w:r>
      <w:r>
        <w:rPr>
          <w:rFonts w:hint="eastAsia" w:ascii="仿宋_GB2312" w:hAnsi="仿宋_GB2312" w:eastAsia="仿宋_GB2312" w:cs="仿宋_GB2312"/>
          <w:sz w:val="32"/>
          <w:szCs w:val="32"/>
        </w:rPr>
        <w:t>各行政部门、教学院部的新闻由各行政部门正职领导、各二级学院（部）书记（或副书记）担任本组织实施和管理的责任人。各行政部门、教学院部的网站是各自组织信息发布的平台，自行维护。</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第六条  </w:t>
      </w:r>
      <w:r>
        <w:rPr>
          <w:rFonts w:hint="eastAsia" w:ascii="仿宋_GB2312" w:hAnsi="仿宋_GB2312" w:eastAsia="仿宋_GB2312" w:cs="仿宋_GB2312"/>
          <w:sz w:val="32"/>
          <w:szCs w:val="32"/>
        </w:rPr>
        <w:t xml:space="preserve">任何组织和个人不得利用学校新闻网站制作、发布、传播危害国家安全、泄露国家秘密的内容或链接，不得侵犯国家、社会、集体、学校的利益和广大师生的合法权益，不得从事违法犯罪活动。不得传播有损国家机关荣誉和学校形象的信息。未经批准，不得对学校新闻网站中存储、处理或者传输的数据和应用程序进行删除、修改或添加。不准故意制作、传播计算机病毒等破坏性程序。  </w:t>
      </w:r>
    </w:p>
    <w:p>
      <w:pPr>
        <w:spacing w:line="560" w:lineRule="exact"/>
        <w:ind w:firstLine="640" w:firstLineChars="200"/>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第三章  奖励、表彰与处罚</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第七条</w:t>
      </w:r>
      <w:r>
        <w:rPr>
          <w:rFonts w:hint="eastAsia" w:ascii="仿宋_GB2312" w:hAnsi="仿宋_GB2312" w:eastAsia="仿宋_GB2312" w:cs="仿宋_GB2312"/>
          <w:sz w:val="32"/>
          <w:szCs w:val="32"/>
        </w:rPr>
        <w:t xml:space="preserve">  党委宣传部以通知公告的形式定期统计公布行政部门、教学院部报送稿件的相关情况；每年年末对投稿积极的行政部门、教学院部集体及通讯员个人进行表彰。</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第八条</w:t>
      </w:r>
      <w:r>
        <w:rPr>
          <w:rFonts w:hint="eastAsia" w:ascii="仿宋_GB2312" w:hAnsi="仿宋_GB2312" w:eastAsia="仿宋_GB2312" w:cs="仿宋_GB2312"/>
          <w:sz w:val="32"/>
          <w:szCs w:val="32"/>
        </w:rPr>
        <w:t xml:space="preserve">  对新闻稿件审核不严、内容失实造成重大错误或影响的行政部门、教学院部，学校将进行通报批评，并追究相关负责人责任。</w:t>
      </w:r>
    </w:p>
    <w:p>
      <w:pPr>
        <w:spacing w:line="560" w:lineRule="exact"/>
        <w:ind w:firstLine="640" w:firstLineChars="200"/>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第四章  新闻采写要求</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第九条  </w:t>
      </w:r>
      <w:r>
        <w:rPr>
          <w:rFonts w:hint="eastAsia" w:ascii="仿宋_GB2312" w:hAnsi="仿宋_GB2312" w:eastAsia="仿宋_GB2312" w:cs="仿宋_GB2312"/>
          <w:sz w:val="32"/>
          <w:szCs w:val="32"/>
        </w:rPr>
        <w:t>全校全局性重要活动、重要会议以及学校推出的涉及学校改革、发展、稳定的重要举措，由党委宣传部采写</w:t>
      </w:r>
      <w:r>
        <w:rPr>
          <w:rFonts w:hint="eastAsia" w:ascii="仿宋_GB2312" w:hAnsi="仿宋_GB2312" w:eastAsia="仿宋_GB2312" w:cs="仿宋_GB2312"/>
          <w:color w:val="000000"/>
          <w:sz w:val="32"/>
          <w:szCs w:val="32"/>
        </w:rPr>
        <w:t>。非</w:t>
      </w:r>
      <w:r>
        <w:rPr>
          <w:rFonts w:hint="eastAsia" w:ascii="仿宋_GB2312" w:hAnsi="仿宋_GB2312" w:eastAsia="仿宋_GB2312" w:cs="仿宋_GB2312"/>
          <w:sz w:val="32"/>
          <w:szCs w:val="32"/>
        </w:rPr>
        <w:t xml:space="preserve">全校全局性的各类活动、会议、来访接待、各类各级技能大赛等，执行“谁主办谁负责报道”的原则。  </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第十条  </w:t>
      </w:r>
      <w:r>
        <w:rPr>
          <w:rFonts w:hint="eastAsia" w:ascii="仿宋_GB2312" w:hAnsi="仿宋_GB2312" w:eastAsia="仿宋_GB2312" w:cs="仿宋_GB2312"/>
          <w:sz w:val="32"/>
          <w:szCs w:val="32"/>
        </w:rPr>
        <w:t>新闻须符合国家新闻宣传规定和国家有关法律、法令、法规的要求，信息应规范、准确、真实。</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第十一条</w:t>
      </w:r>
      <w:r>
        <w:rPr>
          <w:rFonts w:hint="eastAsia" w:ascii="仿宋_GB2312" w:hAnsi="仿宋_GB2312" w:eastAsia="仿宋_GB2312" w:cs="仿宋_GB2312"/>
          <w:sz w:val="32"/>
          <w:szCs w:val="32"/>
        </w:rPr>
        <w:t xml:space="preserve">  所有稿件要突出新闻性、导向性。文中数字、职务、名称、引语等应核实准确。</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第十二条</w:t>
      </w:r>
      <w:r>
        <w:rPr>
          <w:rFonts w:hint="eastAsia" w:ascii="仿宋_GB2312" w:hAnsi="仿宋_GB2312" w:eastAsia="仿宋_GB2312" w:cs="仿宋_GB2312"/>
          <w:sz w:val="32"/>
          <w:szCs w:val="32"/>
        </w:rPr>
        <w:t xml:space="preserve">  新闻应客观、遵循事实，文风平和，勿带有作者感情色彩的主观评价，勿使用夸大、夸张词语。内容要客观真实，表述事件逻辑清晰，杜绝虚假、空洞的说教，增强新闻的有效信息含量和可读性。</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第十三条  </w:t>
      </w:r>
      <w:r>
        <w:rPr>
          <w:rFonts w:hint="eastAsia" w:ascii="仿宋_GB2312" w:hAnsi="仿宋_GB2312" w:eastAsia="仿宋_GB2312" w:cs="仿宋_GB2312"/>
          <w:sz w:val="32"/>
          <w:szCs w:val="32"/>
        </w:rPr>
        <w:t>行政部门、教学院部要在校园新闻网发布专题新闻或系列报道的等，需提前3日向党委宣传部提出申请，获准后方可在新闻标题前加入专题或系列报道栏目名称。</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第十四条</w:t>
      </w:r>
      <w:r>
        <w:rPr>
          <w:rFonts w:hint="eastAsia" w:ascii="仿宋_GB2312" w:hAnsi="仿宋_GB2312" w:eastAsia="仿宋_GB2312" w:cs="仿宋_GB2312"/>
          <w:sz w:val="32"/>
          <w:szCs w:val="32"/>
        </w:rPr>
        <w:t xml:space="preserve">  党委宣传部有权对行政部门、教学院部报送的稿件进行选择性发布，或进行相关编辑和修改后发布，或不予发布。</w:t>
      </w:r>
    </w:p>
    <w:p>
      <w:pPr>
        <w:spacing w:line="560" w:lineRule="exact"/>
        <w:ind w:firstLine="640" w:firstLineChars="200"/>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第五章  新闻时效要求</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第十五条</w:t>
      </w:r>
      <w:r>
        <w:rPr>
          <w:rFonts w:hint="eastAsia" w:ascii="仿宋_GB2312" w:hAnsi="仿宋_GB2312" w:eastAsia="仿宋_GB2312" w:cs="仿宋_GB2312"/>
          <w:sz w:val="32"/>
          <w:szCs w:val="32"/>
        </w:rPr>
        <w:t xml:space="preserve">  新闻报道应符合网络新闻时效性强的特点，鼓励即时或当天发稿，最迟须在活动结束后5天内报送新闻稿。超过规定报送时间的新闻稿件，新闻网将不予采用。</w:t>
      </w:r>
    </w:p>
    <w:p>
      <w:pPr>
        <w:spacing w:line="560" w:lineRule="exact"/>
        <w:ind w:firstLine="640" w:firstLineChars="200"/>
        <w:jc w:val="center"/>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 xml:space="preserve"> 第六章  新闻审核发布原则</w:t>
      </w:r>
    </w:p>
    <w:p>
      <w:pPr>
        <w:spacing w:line="56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第十六条  </w:t>
      </w:r>
      <w:r>
        <w:rPr>
          <w:rFonts w:hint="eastAsia" w:ascii="仿宋_GB2312" w:hAnsi="仿宋_GB2312" w:eastAsia="仿宋_GB2312" w:cs="仿宋_GB2312"/>
          <w:sz w:val="32"/>
          <w:szCs w:val="32"/>
        </w:rPr>
        <w:t>校园网新闻稿件的审核：严格执行“新闻信息来源所在部门负责制”的原则，各行政部门、教学院部拟发布于校园网主页的新闻报道，须先经分管宣传的领导审核，严格审核把关宣传报道的内容，确保信息的准确性、导向性和可靠性。所有推送到校园网主页的新闻均视为分管宣传的领导已审核。</w:t>
      </w:r>
    </w:p>
    <w:p>
      <w:pPr>
        <w:spacing w:line="560" w:lineRule="exact"/>
        <w:ind w:firstLine="640" w:firstLineChars="200"/>
        <w:jc w:val="left"/>
        <w:rPr>
          <w:rFonts w:ascii="仿宋_GB2312" w:hAnsi="仿宋_GB2312" w:eastAsia="仿宋_GB2312" w:cs="仿宋_GB2312"/>
          <w:sz w:val="32"/>
          <w:szCs w:val="32"/>
        </w:rPr>
      </w:pPr>
    </w:p>
    <w:p>
      <w:pPr>
        <w:spacing w:line="560" w:lineRule="exact"/>
        <w:jc w:val="center"/>
        <w:outlineLvl w:val="2"/>
        <w:rPr>
          <w:rFonts w:ascii="黑体" w:hAnsi="仿宋_GB2312" w:eastAsia="黑体" w:cs="仿宋_GB2312"/>
          <w:b/>
          <w:bCs/>
          <w:sz w:val="32"/>
          <w:szCs w:val="32"/>
        </w:rPr>
      </w:pPr>
      <w:r>
        <w:rPr>
          <w:rFonts w:hint="eastAsia" w:ascii="黑体" w:hAnsi="仿宋_GB2312" w:eastAsia="黑体" w:cs="仿宋_GB2312"/>
          <w:b/>
          <w:bCs/>
          <w:sz w:val="32"/>
          <w:szCs w:val="32"/>
        </w:rPr>
        <w:t>第七章  附则</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第十七条  </w:t>
      </w:r>
      <w:r>
        <w:rPr>
          <w:rFonts w:hint="eastAsia" w:ascii="仿宋_GB2312" w:hAnsi="仿宋_GB2312" w:eastAsia="仿宋_GB2312" w:cs="仿宋_GB2312"/>
          <w:sz w:val="32"/>
          <w:szCs w:val="32"/>
        </w:rPr>
        <w:t>其它未尽事宜由党委宣传部负责解释。</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第十八条  </w:t>
      </w:r>
      <w:r>
        <w:rPr>
          <w:rFonts w:hint="eastAsia" w:ascii="仿宋_GB2312" w:hAnsi="仿宋_GB2312" w:eastAsia="仿宋_GB2312" w:cs="仿宋_GB2312"/>
          <w:sz w:val="32"/>
          <w:szCs w:val="32"/>
        </w:rPr>
        <w:t>本管理办法从发布之日起实施。</w:t>
      </w:r>
    </w:p>
    <w:p>
      <w:pPr>
        <w:spacing w:line="560" w:lineRule="exact"/>
        <w:ind w:firstLine="643" w:firstLineChars="200"/>
        <w:rPr>
          <w:rFonts w:ascii="仿宋_GB2312" w:hAnsi="仿宋_GB2312" w:eastAsia="仿宋_GB2312" w:cs="仿宋_GB2312"/>
          <w:b/>
          <w:bCs/>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附件：柳州职业技术学院主站新闻网管理实施细则</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黑体" w:hAnsi="仿宋_GB2312" w:eastAsia="黑体" w:cs="仿宋_GB2312"/>
          <w:b/>
          <w:bCs/>
          <w:sz w:val="32"/>
          <w:szCs w:val="32"/>
        </w:rPr>
      </w:pPr>
      <w:r>
        <w:rPr>
          <w:rFonts w:ascii="仿宋_GB2312" w:hAnsi="仿宋_GB2312" w:eastAsia="仿宋_GB2312" w:cs="仿宋_GB2312"/>
          <w:sz w:val="32"/>
          <w:szCs w:val="32"/>
        </w:rPr>
        <w:br w:type="page"/>
      </w:r>
      <w:r>
        <w:rPr>
          <w:rFonts w:hint="eastAsia" w:ascii="黑体" w:hAnsi="黑体" w:eastAsia="黑体"/>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ascii="宋体" w:hAnsi="宋体" w:cs="宋体"/>
          <w:b/>
          <w:bCs/>
          <w:color w:val="000000"/>
          <w:kern w:val="0"/>
          <w:sz w:val="32"/>
          <w:szCs w:val="32"/>
        </w:rPr>
      </w:pPr>
      <w:r>
        <w:rPr>
          <w:rFonts w:hint="eastAsia" w:ascii="宋体" w:hAnsi="宋体" w:cs="宋体"/>
          <w:b/>
          <w:bCs/>
          <w:color w:val="000000"/>
          <w:kern w:val="0"/>
          <w:sz w:val="32"/>
          <w:szCs w:val="32"/>
        </w:rPr>
        <w:t>柳州职业技术学院主站新闻网管理实施细则</w:t>
      </w:r>
    </w:p>
    <w:p>
      <w:pPr>
        <w:spacing w:line="560" w:lineRule="exact"/>
        <w:ind w:firstLine="600"/>
        <w:rPr>
          <w:rFonts w:ascii="仿宋_GB2312" w:hAnsi="仿宋_GB2312" w:eastAsia="仿宋_GB2312" w:cs="仿宋_GB2312"/>
          <w:b/>
          <w:bCs/>
          <w:color w:val="FF0000"/>
          <w:sz w:val="32"/>
          <w:szCs w:val="32"/>
        </w:rPr>
      </w:pPr>
    </w:p>
    <w:p>
      <w:pPr>
        <w:spacing w:line="560" w:lineRule="exact"/>
        <w:jc w:val="center"/>
        <w:outlineLvl w:val="0"/>
        <w:rPr>
          <w:rFonts w:ascii="黑体" w:hAnsi="仿宋_GB2312" w:eastAsia="黑体" w:cs="仿宋_GB2312"/>
          <w:b/>
          <w:bCs/>
          <w:sz w:val="30"/>
          <w:szCs w:val="30"/>
        </w:rPr>
      </w:pPr>
      <w:bookmarkStart w:id="179" w:name="_Toc20043"/>
      <w:r>
        <w:rPr>
          <w:rFonts w:hint="eastAsia" w:ascii="黑体" w:hAnsi="仿宋_GB2312" w:eastAsia="黑体" w:cs="仿宋_GB2312"/>
          <w:b/>
          <w:bCs/>
          <w:sz w:val="30"/>
          <w:szCs w:val="30"/>
        </w:rPr>
        <w:t>第一章  校园网主页各栏目刊发内容</w:t>
      </w:r>
      <w:bookmarkEnd w:id="179"/>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第一条  </w:t>
      </w:r>
      <w:r>
        <w:rPr>
          <w:rFonts w:hint="eastAsia" w:ascii="仿宋_GB2312" w:hAnsi="仿宋_GB2312" w:eastAsia="仿宋_GB2312" w:cs="仿宋_GB2312"/>
          <w:sz w:val="30"/>
          <w:szCs w:val="30"/>
        </w:rPr>
        <w:t>校园网主页上“大图新闻”、“热点新闻”等2个栏目由党委宣传部负责维护和管理。</w:t>
      </w:r>
    </w:p>
    <w:p>
      <w:pPr>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第二条</w:t>
      </w:r>
      <w:r>
        <w:rPr>
          <w:rFonts w:hint="eastAsia" w:ascii="仿宋_GB2312" w:hAnsi="仿宋_GB2312" w:eastAsia="仿宋_GB2312" w:cs="仿宋_GB2312"/>
          <w:sz w:val="30"/>
          <w:szCs w:val="30"/>
        </w:rPr>
        <w:t xml:space="preserve">  新闻网设“学校要闻”、“综合新闻”、“媒体柳职”、“校园生活”、“柳职之子”、“名师风采”、“荣誉展台”7个栏目，均由党委宣传部负责维护和管理。</w:t>
      </w:r>
    </w:p>
    <w:p>
      <w:pPr>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第三条  </w:t>
      </w:r>
      <w:r>
        <w:rPr>
          <w:rFonts w:hint="eastAsia" w:ascii="仿宋_GB2312" w:hAnsi="仿宋_GB2312" w:eastAsia="仿宋_GB2312" w:cs="仿宋_GB2312"/>
          <w:sz w:val="30"/>
          <w:szCs w:val="30"/>
        </w:rPr>
        <w:t>“大图新闻”刊发展现学校发展且画质较高的新闻图片，校级以上较有影响力的活动的新闻图片以及国家法定节日、纪念日、学校中心工作宣传标语。</w:t>
      </w:r>
    </w:p>
    <w:p>
      <w:pPr>
        <w:spacing w:line="560" w:lineRule="exact"/>
        <w:ind w:firstLine="602" w:firstLineChars="200"/>
        <w:jc w:val="left"/>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第四条</w:t>
      </w:r>
      <w:r>
        <w:rPr>
          <w:rFonts w:hint="eastAsia" w:ascii="仿宋_GB2312" w:hAnsi="仿宋_GB2312" w:eastAsia="仿宋_GB2312" w:cs="仿宋_GB2312"/>
          <w:sz w:val="30"/>
          <w:szCs w:val="30"/>
        </w:rPr>
        <w:t xml:space="preserve">  “热点新闻”区域由党委宣传部审稿人员根据“学校要闻”、“综合新闻”版块的更新速度，挑选最新的、最有新闻价值的（或是最有亮点特色的）的新闻放置。党委宣传部有权根据学校的中心工作或者新闻的重要性，在“热点新闻”处对某条新闻设置“置顶”，一般置顶天数为3个工作日。</w:t>
      </w:r>
    </w:p>
    <w:p>
      <w:pPr>
        <w:spacing w:line="560" w:lineRule="exact"/>
        <w:rPr>
          <w:rFonts w:ascii="仿宋_GB2312" w:hAnsi="仿宋_GB2312" w:eastAsia="仿宋_GB2312" w:cs="仿宋_GB2312"/>
          <w:sz w:val="30"/>
          <w:szCs w:val="30"/>
        </w:rPr>
      </w:pPr>
    </w:p>
    <w:p>
      <w:pPr>
        <w:spacing w:line="560" w:lineRule="exact"/>
        <w:jc w:val="center"/>
        <w:outlineLvl w:val="0"/>
        <w:rPr>
          <w:rFonts w:ascii="黑体" w:hAnsi="仿宋_GB2312" w:eastAsia="黑体" w:cs="仿宋_GB2312"/>
          <w:b/>
          <w:bCs/>
          <w:sz w:val="30"/>
          <w:szCs w:val="30"/>
        </w:rPr>
      </w:pPr>
      <w:bookmarkStart w:id="180" w:name="_Toc20590"/>
      <w:r>
        <w:rPr>
          <w:rFonts w:hint="eastAsia" w:ascii="黑体" w:hAnsi="仿宋_GB2312" w:eastAsia="黑体" w:cs="仿宋_GB2312"/>
          <w:b/>
          <w:bCs/>
          <w:sz w:val="30"/>
          <w:szCs w:val="30"/>
        </w:rPr>
        <w:t>第二章  新闻网各栏目刊发内容</w:t>
      </w:r>
      <w:bookmarkEnd w:id="180"/>
    </w:p>
    <w:p>
      <w:pPr>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第五条  </w:t>
      </w:r>
      <w:r>
        <w:rPr>
          <w:rFonts w:hint="eastAsia" w:ascii="仿宋_GB2312" w:hAnsi="仿宋_GB2312" w:eastAsia="仿宋_GB2312" w:cs="仿宋_GB2312"/>
          <w:sz w:val="30"/>
          <w:szCs w:val="30"/>
        </w:rPr>
        <w:t>“学校要闻”发布的主要内容</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1.学校学习、贯彻、落实党和国家的路线、方针、政策，落实上级有关部门重要工作部署、重要会议精神等情况的报道。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2.国家、自治区、市等各级领导参加我校有关会议和重要活动，视察、检查、调研我校工作，有关重要批示的新闻报道。</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3.学校重点工作、重大决策、重要会议和大型活动的新闻报道。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4.校领导开展调研、指导工作或出席重要活动、会议的报道。同一调研主题，分别到不同行政部门、教学院部调研的，统一由牵头调研部门撰写一篇综述性报道。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5.学校各项工作所取得的重要成就及在此过程中涌现的先进事迹、典型经验的新闻报道。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6.学校开展的重要国内外交流与合作活动、组织承办的有影响力的国内外学术活动报道。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7.集体或个人获市级以上（含市级）荣誉的报道。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8.学校各部门、教学院部改革与发展的重大举措、突出成就、典型经验和特色活动等有关事件的报道。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9.具有新闻价值的我校杰出校友最新动态的相关报道。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10.主流新闻媒体对学校教学科研、社会服务、党建与思想政治教育、学生活动等方面工作的新闻报道。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11.学校其他具有重大新闻价值及师生关注的校园热点报道。</w:t>
      </w:r>
    </w:p>
    <w:p>
      <w:pPr>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第六条</w:t>
      </w:r>
      <w:r>
        <w:rPr>
          <w:rFonts w:hint="eastAsia" w:ascii="仿宋_GB2312" w:hAnsi="仿宋_GB2312" w:eastAsia="仿宋_GB2312" w:cs="仿宋_GB2312"/>
          <w:sz w:val="30"/>
          <w:szCs w:val="30"/>
        </w:rPr>
        <w:t xml:space="preserve">  “综合新闻”栏目发布的主要内容</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1.在“学校要闻”发布内容之外的校级工作和活动报道。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2.各行政部门、教学院部在教学、科研、党建、管理、服务、学生工作、思想政治工作、精神文明建设等方面有特色、有创新性的工作报道。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3.各行政部门、教学院部贯彻学校重要会议精神的工作部署、活动安排的报道。</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4.各行政部门、教学院部阶段性重要工作的报道。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5.各行政部门、教学院部在各方面所取得的新成就的新闻报道。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第七条</w:t>
      </w:r>
      <w:r>
        <w:rPr>
          <w:rFonts w:hint="eastAsia" w:ascii="仿宋_GB2312" w:hAnsi="仿宋_GB2312" w:eastAsia="仿宋_GB2312" w:cs="仿宋_GB2312"/>
          <w:sz w:val="30"/>
          <w:szCs w:val="30"/>
        </w:rPr>
        <w:t xml:space="preserve">  “媒体柳职”刊发校外媒体报道我校的新闻梗概及新闻链接、截图、视频等。</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第八条</w:t>
      </w:r>
      <w:r>
        <w:rPr>
          <w:rFonts w:hint="eastAsia" w:ascii="仿宋_GB2312" w:hAnsi="仿宋_GB2312" w:eastAsia="仿宋_GB2312" w:cs="仿宋_GB2312"/>
          <w:sz w:val="30"/>
          <w:szCs w:val="30"/>
        </w:rPr>
        <w:t xml:space="preserve">  “校园生活”刊发学生社团协会、班级开展的有意义的学生活动。</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第九条</w:t>
      </w:r>
      <w:r>
        <w:rPr>
          <w:rFonts w:hint="eastAsia" w:ascii="仿宋_GB2312" w:hAnsi="仿宋_GB2312" w:eastAsia="仿宋_GB2312" w:cs="仿宋_GB2312"/>
          <w:sz w:val="30"/>
          <w:szCs w:val="30"/>
        </w:rPr>
        <w:t xml:space="preserve">  “柳职之子”、“名师风采”刊发学校具有代表性且有一定影响力的师生典型报道。</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第十条</w:t>
      </w:r>
      <w:r>
        <w:rPr>
          <w:rFonts w:hint="eastAsia" w:ascii="仿宋_GB2312" w:hAnsi="仿宋_GB2312" w:eastAsia="仿宋_GB2312" w:cs="仿宋_GB2312"/>
          <w:sz w:val="30"/>
          <w:szCs w:val="30"/>
        </w:rPr>
        <w:t xml:space="preserve">  “荣誉展台”刊发学校、师生在全国、区、市获得的比较有影响力的奖项。</w:t>
      </w:r>
    </w:p>
    <w:p>
      <w:pPr>
        <w:spacing w:line="560" w:lineRule="exact"/>
        <w:rPr>
          <w:rFonts w:ascii="仿宋_GB2312" w:hAnsi="仿宋_GB2312" w:eastAsia="仿宋_GB2312" w:cs="仿宋_GB2312"/>
          <w:b/>
          <w:bCs/>
          <w:color w:val="FF0000"/>
          <w:sz w:val="32"/>
          <w:szCs w:val="32"/>
        </w:rPr>
      </w:pPr>
    </w:p>
    <w:p>
      <w:pPr>
        <w:spacing w:line="560" w:lineRule="exact"/>
        <w:jc w:val="center"/>
        <w:outlineLvl w:val="0"/>
        <w:rPr>
          <w:rFonts w:ascii="黑体" w:hAnsi="仿宋_GB2312" w:eastAsia="黑体" w:cs="仿宋_GB2312"/>
          <w:b/>
          <w:bCs/>
          <w:sz w:val="30"/>
          <w:szCs w:val="30"/>
        </w:rPr>
      </w:pPr>
      <w:bookmarkStart w:id="181" w:name="_Toc21202"/>
      <w:r>
        <w:rPr>
          <w:rFonts w:hint="eastAsia" w:ascii="黑体" w:hAnsi="仿宋_GB2312" w:eastAsia="黑体" w:cs="仿宋_GB2312"/>
          <w:b/>
          <w:bCs/>
          <w:sz w:val="30"/>
          <w:szCs w:val="30"/>
        </w:rPr>
        <w:t>第三章  新闻采写要求</w:t>
      </w:r>
      <w:bookmarkEnd w:id="181"/>
    </w:p>
    <w:p>
      <w:pPr>
        <w:spacing w:line="560" w:lineRule="exact"/>
        <w:ind w:firstLine="60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 xml:space="preserve">第十一条  </w:t>
      </w:r>
      <w:r>
        <w:rPr>
          <w:rFonts w:hint="eastAsia" w:ascii="仿宋_GB2312" w:hAnsi="仿宋_GB2312" w:eastAsia="仿宋_GB2312" w:cs="仿宋_GB2312"/>
          <w:sz w:val="30"/>
          <w:szCs w:val="30"/>
        </w:rPr>
        <w:t>新闻报道基本要件必须准确完备，包括时间、地点、人物，活动过程、效果及背景介绍。应避免过于口语化、语句不通、错字别字、过多修饰等情况出现。</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第十二条  </w:t>
      </w:r>
      <w:r>
        <w:rPr>
          <w:rFonts w:hint="eastAsia" w:ascii="仿宋_GB2312" w:hAnsi="仿宋_GB2312" w:eastAsia="仿宋_GB2312" w:cs="仿宋_GB2312"/>
          <w:sz w:val="30"/>
          <w:szCs w:val="30"/>
        </w:rPr>
        <w:t>注重新闻的有效信息含量，语言简洁明快。一般情况下，普通新闻消息不超过800字。</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第十三条</w:t>
      </w:r>
      <w:r>
        <w:rPr>
          <w:rFonts w:hint="eastAsia" w:ascii="仿宋_GB2312" w:hAnsi="仿宋_GB2312" w:eastAsia="仿宋_GB2312" w:cs="仿宋_GB2312"/>
          <w:sz w:val="30"/>
          <w:szCs w:val="30"/>
        </w:rPr>
        <w:t xml:space="preserve">  新闻中所涉及的行政部门、教学院部全称要规范，以学校正式下文为准。</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第十四条</w:t>
      </w:r>
      <w:r>
        <w:rPr>
          <w:rFonts w:hint="eastAsia" w:ascii="仿宋_GB2312" w:hAnsi="仿宋_GB2312" w:eastAsia="仿宋_GB2312" w:cs="仿宋_GB2312"/>
          <w:sz w:val="30"/>
          <w:szCs w:val="30"/>
        </w:rPr>
        <w:t xml:space="preserve">  全校性重要活动和工作的新闻中，导语中出现的人名应到校级领导为止。要规范校领导职务、称谓及排序。新闻中涉及校内两个以上部门或校内人员，应根据新闻事件性质并参照学校机构设置和调整的有关文件进行排序。</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第十五条</w:t>
      </w:r>
      <w:r>
        <w:rPr>
          <w:rFonts w:hint="eastAsia" w:ascii="仿宋_GB2312" w:hAnsi="仿宋_GB2312" w:eastAsia="仿宋_GB2312" w:cs="仿宋_GB2312"/>
          <w:sz w:val="30"/>
          <w:szCs w:val="30"/>
        </w:rPr>
        <w:t xml:space="preserve">  校内新闻提及人物职务，在人名初始出现时，以“职务称谓+姓名”的方式出现，如“校党委书记××、校长××”等；其后再次出现，应直接以姓名出现。特定事件需涉及某人物两个或两个以上职务称谓时，一般可酌情使用“主职务称谓+兼职务称谓+姓名”的方式；社会知名人士、文教界人士等，再次出现时直接以姓名出现；军界人士姓名后可加军衔；如无必要，新闻稿中一般不在姓名后加“同志”称呼。多位校领导参与的活动，可采用“校领导×××、×××等”的简略形式。</w:t>
      </w:r>
    </w:p>
    <w:p>
      <w:pPr>
        <w:pStyle w:val="13"/>
        <w:shd w:val="clear" w:color="auto" w:fill="FFFFFF"/>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 xml:space="preserve">第十六条  </w:t>
      </w:r>
      <w:r>
        <w:rPr>
          <w:rFonts w:hint="eastAsia" w:ascii="仿宋_GB2312" w:hAnsi="仿宋_GB2312" w:eastAsia="仿宋_GB2312" w:cs="仿宋_GB2312"/>
          <w:kern w:val="2"/>
          <w:sz w:val="30"/>
          <w:szCs w:val="30"/>
        </w:rPr>
        <w:t>新闻中涉及领导讲话的，一般应避免使用“重要讲话”“指示”等字眼，一般使用“指出”“强调”等中性词。</w:t>
      </w:r>
      <w:r>
        <w:rPr>
          <w:rFonts w:ascii="仿宋_GB2312" w:hAnsi="仿宋_GB2312" w:eastAsia="仿宋_GB2312" w:cs="仿宋_GB2312"/>
          <w:kern w:val="2"/>
          <w:sz w:val="30"/>
          <w:szCs w:val="30"/>
        </w:rPr>
        <w:t>对各级领导同志的各种活动报道，不使用“亲自”等形容词。</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第十七条</w:t>
      </w:r>
      <w:r>
        <w:rPr>
          <w:rFonts w:hint="eastAsia" w:ascii="仿宋_GB2312" w:hAnsi="仿宋_GB2312" w:eastAsia="仿宋_GB2312" w:cs="仿宋_GB2312"/>
          <w:sz w:val="30"/>
          <w:szCs w:val="30"/>
        </w:rPr>
        <w:t xml:space="preserve">  新闻中涉及校外人物姓名、职务等背景资料，一般应由相关单位（部门）提供，并参考相关部门意见酌情处理。</w:t>
      </w:r>
    </w:p>
    <w:p>
      <w:pPr>
        <w:spacing w:line="560" w:lineRule="exact"/>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第十八条</w:t>
      </w:r>
      <w:r>
        <w:rPr>
          <w:rFonts w:hint="eastAsia" w:ascii="仿宋_GB2312" w:hAnsi="仿宋_GB2312" w:eastAsia="仿宋_GB2312" w:cs="仿宋_GB2312"/>
          <w:sz w:val="30"/>
          <w:szCs w:val="30"/>
        </w:rPr>
        <w:t xml:space="preserve">  新闻中涉及中央、自治区、市两个以上部门或负责人排序时，一般应以上级部门有关规定为准。</w:t>
      </w:r>
    </w:p>
    <w:p>
      <w:pPr>
        <w:spacing w:line="560" w:lineRule="exact"/>
        <w:ind w:firstLine="600"/>
        <w:rPr>
          <w:rFonts w:ascii="仿宋_GB2312" w:hAnsi="仿宋_GB2312" w:eastAsia="仿宋_GB2312" w:cs="仿宋_GB2312"/>
          <w:sz w:val="30"/>
          <w:szCs w:val="30"/>
        </w:rPr>
      </w:pPr>
    </w:p>
    <w:p>
      <w:pPr>
        <w:spacing w:line="560" w:lineRule="exact"/>
        <w:jc w:val="center"/>
        <w:outlineLvl w:val="0"/>
        <w:rPr>
          <w:rFonts w:ascii="黑体" w:hAnsi="仿宋_GB2312" w:eastAsia="黑体" w:cs="仿宋_GB2312"/>
          <w:b/>
          <w:bCs/>
          <w:sz w:val="30"/>
          <w:szCs w:val="30"/>
        </w:rPr>
      </w:pPr>
      <w:bookmarkStart w:id="182" w:name="_Toc16237"/>
      <w:r>
        <w:rPr>
          <w:rFonts w:hint="eastAsia" w:ascii="黑体" w:hAnsi="仿宋_GB2312" w:eastAsia="黑体" w:cs="仿宋_GB2312"/>
          <w:b/>
          <w:bCs/>
          <w:sz w:val="30"/>
          <w:szCs w:val="30"/>
        </w:rPr>
        <w:t>第四章  格式要求</w:t>
      </w:r>
      <w:bookmarkEnd w:id="182"/>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第十九条</w:t>
      </w:r>
      <w:r>
        <w:rPr>
          <w:rFonts w:hint="eastAsia" w:ascii="仿宋_GB2312" w:hAnsi="仿宋_GB2312" w:eastAsia="仿宋_GB2312" w:cs="仿宋_GB2312"/>
          <w:sz w:val="30"/>
          <w:szCs w:val="30"/>
        </w:rPr>
        <w:t xml:space="preserve">  文字要求：拟发布于校园网主页的新闻报道，须在共享到新闻网后台前调整为统一格式：正文字体采用微软雅黑16px，行距为1.75倍行距，首行缩进2字符。文章标题不宜过长，以主谓宾的格式制作标题，如：XXX学院组织学工队伍培训。文章开篇必须分文、图注明来稿作者，如：文/***部门 *** 图/***部门 ***。全篇行文简洁、语句通顺、语义清晰。</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b/>
          <w:bCs/>
          <w:sz w:val="30"/>
          <w:szCs w:val="30"/>
        </w:rPr>
        <w:t>第二十条</w:t>
      </w:r>
      <w:r>
        <w:rPr>
          <w:rFonts w:hint="eastAsia" w:ascii="仿宋_GB2312" w:hAnsi="仿宋_GB2312" w:eastAsia="仿宋_GB2312" w:cs="仿宋_GB2312"/>
          <w:sz w:val="30"/>
          <w:szCs w:val="30"/>
        </w:rPr>
        <w:t xml:space="preserve">  图片要求：新闻图片要紧扣新闻主题，突出主要人物和新闻事件，应体现事件状态，注意图片的构图方式、像素质量，力求新闻价值鲜明。为提高新闻浏览速度，普通活动新闻图片2-3张为宜，重大活动酌情增加。新闻网编辑页面的新闻照片均需要配上描述图片内容的简要说明，图片格式为JPG格式，新闻图片以大小在1M-3M间的原图上传，保持原图比例，上传后再将宽度设置为600。拼图处理、比例失调、画面模糊的图片不得使用。</w:t>
      </w:r>
    </w:p>
    <w:p>
      <w:pPr>
        <w:spacing w:line="560" w:lineRule="exact"/>
        <w:ind w:firstLine="600"/>
        <w:rPr>
          <w:rFonts w:ascii="仿宋_GB2312" w:hAnsi="仿宋_GB2312" w:eastAsia="仿宋_GB2312" w:cs="仿宋_GB2312"/>
          <w:sz w:val="30"/>
          <w:szCs w:val="30"/>
        </w:rPr>
      </w:pPr>
    </w:p>
    <w:p>
      <w:pPr>
        <w:spacing w:line="560" w:lineRule="exact"/>
        <w:jc w:val="center"/>
        <w:outlineLvl w:val="0"/>
        <w:rPr>
          <w:rFonts w:ascii="黑体" w:hAnsi="仿宋_GB2312" w:eastAsia="黑体" w:cs="仿宋_GB2312"/>
          <w:b/>
          <w:bCs/>
          <w:sz w:val="30"/>
          <w:szCs w:val="30"/>
        </w:rPr>
      </w:pPr>
      <w:bookmarkStart w:id="183" w:name="_Toc13239"/>
      <w:r>
        <w:rPr>
          <w:rFonts w:hint="eastAsia" w:ascii="黑体" w:hAnsi="仿宋_GB2312" w:eastAsia="黑体" w:cs="仿宋_GB2312"/>
          <w:b/>
          <w:bCs/>
          <w:sz w:val="30"/>
          <w:szCs w:val="30"/>
        </w:rPr>
        <w:t>第五章  审稿要求</w:t>
      </w:r>
      <w:bookmarkEnd w:id="183"/>
    </w:p>
    <w:p>
      <w:pPr>
        <w:spacing w:line="560" w:lineRule="exact"/>
        <w:ind w:firstLine="602" w:firstLineChars="200"/>
        <w:jc w:val="left"/>
        <w:rPr>
          <w:rFonts w:hint="eastAsia" w:eastAsia="仿宋_GB2312"/>
          <w:b/>
          <w:color w:val="000000"/>
          <w:sz w:val="36"/>
          <w:szCs w:val="36"/>
          <w:lang w:val="en-US" w:eastAsia="zh-CN"/>
        </w:rPr>
        <w:sectPr>
          <w:footerReference r:id="rId8" w:type="default"/>
          <w:pgSz w:w="11906" w:h="16838"/>
          <w:pgMar w:top="2098" w:right="1474" w:bottom="1985" w:left="1588" w:header="851" w:footer="992" w:gutter="0"/>
          <w:pgNumType w:fmt="decimal"/>
          <w:cols w:space="720" w:num="1"/>
          <w:docGrid w:linePitch="312" w:charSpace="0"/>
        </w:sectPr>
      </w:pPr>
      <w:r>
        <w:rPr>
          <w:rFonts w:hint="eastAsia" w:ascii="仿宋_GB2312" w:hAnsi="仿宋_GB2312" w:eastAsia="仿宋_GB2312" w:cs="仿宋_GB2312"/>
          <w:b/>
          <w:bCs/>
          <w:sz w:val="30"/>
          <w:szCs w:val="30"/>
        </w:rPr>
        <w:t xml:space="preserve">第二十一条  </w:t>
      </w:r>
      <w:r>
        <w:rPr>
          <w:rFonts w:hint="eastAsia" w:ascii="仿宋_GB2312" w:hAnsi="仿宋_GB2312" w:eastAsia="仿宋_GB2312" w:cs="仿宋_GB2312"/>
          <w:sz w:val="30"/>
          <w:szCs w:val="30"/>
        </w:rPr>
        <w:t>校园网“学校要闻”新闻审核实行“三审制”：一审为各部门设置的新闻上传员；二审为党委宣传部新闻宣传科干事；三审为党委宣传部新闻科科长；校园网“综合新闻”新闻审核实行“二审”制：一审为各部门设置的新闻上传员；二审为党委宣传部新闻宣传科干事</w:t>
      </w:r>
      <w:r>
        <w:rPr>
          <w:rFonts w:hint="eastAsia" w:ascii="仿宋_GB2312" w:hAnsi="仿宋_GB2312" w:eastAsia="仿宋_GB2312" w:cs="仿宋_GB2312"/>
          <w:sz w:val="30"/>
          <w:szCs w:val="30"/>
          <w:lang w:eastAsia="zh-CN"/>
        </w:rPr>
        <w:t>。</w:t>
      </w:r>
    </w:p>
    <w:p>
      <w:pPr>
        <w:spacing w:line="596" w:lineRule="exact"/>
        <w:jc w:val="center"/>
        <w:outlineLvl w:val="1"/>
        <w:rPr>
          <w:rFonts w:hint="eastAsia"/>
          <w:b/>
          <w:color w:val="000000"/>
          <w:sz w:val="36"/>
          <w:szCs w:val="36"/>
        </w:rPr>
      </w:pPr>
      <w:bookmarkStart w:id="184" w:name="_Toc22453"/>
      <w:bookmarkStart w:id="185" w:name="_Toc30593"/>
      <w:bookmarkStart w:id="186" w:name="_Toc31969"/>
      <w:r>
        <w:rPr>
          <w:rFonts w:hint="eastAsia"/>
          <w:b/>
          <w:color w:val="000000"/>
          <w:sz w:val="36"/>
          <w:szCs w:val="36"/>
        </w:rPr>
        <w:t>柳州职业技术学院新媒体管理办法</w:t>
      </w:r>
      <w:bookmarkEnd w:id="184"/>
      <w:bookmarkEnd w:id="185"/>
      <w:bookmarkEnd w:id="186"/>
    </w:p>
    <w:p>
      <w:pPr>
        <w:widowControl/>
        <w:jc w:val="center"/>
        <w:outlineLvl w:val="2"/>
        <w:rPr>
          <w:rFonts w:hint="eastAsia" w:ascii="仿宋_GB2312" w:eastAsia="仿宋_GB2312"/>
          <w:bCs/>
          <w:sz w:val="32"/>
          <w:szCs w:val="32"/>
        </w:rPr>
      </w:pPr>
      <w:r>
        <w:rPr>
          <w:rFonts w:hint="eastAsia" w:ascii="仿宋_GB2312" w:eastAsia="仿宋_GB2312"/>
          <w:bCs/>
          <w:sz w:val="32"/>
          <w:szCs w:val="32"/>
        </w:rPr>
        <w:t>（柳职院党字〔2021〕44 号）</w:t>
      </w:r>
    </w:p>
    <w:p>
      <w:pPr>
        <w:spacing w:line="596" w:lineRule="exact"/>
        <w:jc w:val="center"/>
        <w:rPr>
          <w:rFonts w:hint="eastAsia" w:ascii="黑体" w:hAnsi="黑体" w:eastAsia="黑体"/>
          <w:b/>
          <w:sz w:val="32"/>
          <w:szCs w:val="32"/>
        </w:rPr>
      </w:pP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第一章 总  则</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贯彻落实网络意识形态工作责任制和党管媒体的原则要求，规范校园新媒体的建设和管理，增强校园新媒体的传播力、引导力、影响力和公信力，促进校园新媒体的健康有序发展，充分发挥各新媒体平台在展示学校形象、发布新闻信息和提供社会服务等方面的作用，根据国家相关法律、法规及文件要求，结合学校实际，制定本管理办法。</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本办法所指的新媒体，是以学校或校内各部门、学院及下属组织为主体建设、认证并运营的各类新媒体平台，包括但不限于微信公众平台、微信视频号、抖音号、快手号、百度百家号、今日头条号、微博及自主开发、外包开发或第三方提供的移动互联应用程序（APP）等。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校园新媒体平台是学校重要的网络意识形态阵地以及重要的宣传思想文化阵地，必须坚持党的领导，坚持正确政治方向，校内各级党组织要切实担负主体责任，按照党管媒体的原则，加强对新媒体建设管理工作的领导，增强对互联网发展的适应性，运用网络传播规律，弘扬主旋律，传播正能量，共同构建新媒体矩阵，助力学校高质量发展。</w:t>
      </w: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第二章 管理机制</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校园各新媒体必须严格遵守国家各项法律法规，遵守学校各项相关规章制度，按照“谁主办，谁负责”的原则进行建设和管理。各部门及二级学院主要负责人（职能部门为部门正职领导，二级学院为学院党总支书记）为第一责任人。新媒体建设管理主体必须建立完善的管理制度和运行机制，包括建立责任体系、落实工作队伍、完善发布审核机制等。</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党委宣传部是学校新媒体归口管理部门，其职责是研究制定管理办法，统一管理、协调统筹、整体规划，监督检查与考评校园新媒体运营状况等。</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第六条</w:t>
      </w:r>
      <w:r>
        <w:rPr>
          <w:rFonts w:hint="eastAsia" w:ascii="仿宋_GB2312" w:eastAsia="仿宋_GB2312"/>
          <w:sz w:val="32"/>
          <w:szCs w:val="32"/>
        </w:rPr>
        <w:t xml:space="preserve"> 学校对校园新媒体实行登记备案制度。校内各部门、学院及下属组织需要开通新媒体平台的，需在开通后7个工作日内，在CRP办公系统办公流程宣传工作区填写《柳州职业技术学院新媒体备案登记表》，由所在部门或学院主要负责人审批后，向党委宣传部备案。注册新媒体平台的名称原则上基于组织机构全称或规范简称，或根据机构的主要服务对象和工作特性命名，使用校名、校标等必须严格按照学校相关规定执行。若各新媒体平台账号名、后台管理人员或维护方式发生变更，应在7日内以书面形式报党委宣传部备案。</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学校对校园新媒体实行分级管理制度。学校官方微信、抖音号和其他新媒体平台为一级平台，由党委宣传部直接管理。校内各部门及二级学院官方微信和其他新媒体平台为二级平台，由各部门及二级学院负责建设和管理。学生班级、团学组织、社团创建的新媒体平台为三级平台，学生班级的新媒体平台归口所在学院管理，团学组织、社团的新媒体归口校团委管理。</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学校对一级、二级校园新媒体平台实行年检制度。本办法公布前已开设并运营的尚未备案账号，请按第五条规定补充填写并于本办法公布后5个工作日内提交备案表。</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由党委宣传部牵头，组织相关部门每年7月初对备案的新媒体平台进行年检。年检不合格的新媒体平台需进行整改，整改合格后方可继续运行，未通过年检的平台不得继续运行。</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以学校师生员工个人名义建立，主要用于工作交流、传播内容主要涉及学校事务的各类新媒体平台，如 QQ群、QQ工作组、微信群、聊天室等，实行管理员负责制，纳入创建人所在部门、二级学院管理。除此以外，以个人名义创建的新媒体平台，不得以“柳州职业技术学院***”、“柳职院***”“柳职***”“LZZY***”“LVTC***”等名义运营，不得擅自使用学校校标等相关标识作为新媒体平台标识，且本人对所发信息负全部法律责任。</w:t>
      </w:r>
    </w:p>
    <w:p>
      <w:pPr>
        <w:spacing w:line="596" w:lineRule="exact"/>
        <w:ind w:firstLine="643" w:firstLineChars="200"/>
        <w:rPr>
          <w:rFonts w:ascii="仿宋_GB2312" w:eastAsia="仿宋_GB2312"/>
          <w:sz w:val="32"/>
          <w:szCs w:val="32"/>
        </w:rPr>
      </w:pPr>
      <w:r>
        <w:rPr>
          <w:rFonts w:hint="eastAsia" w:ascii="仿宋_GB2312" w:eastAsia="仿宋_GB2312"/>
          <w:b/>
          <w:bCs/>
          <w:sz w:val="32"/>
          <w:szCs w:val="32"/>
        </w:rPr>
        <w:t xml:space="preserve">第十一条 </w:t>
      </w:r>
      <w:r>
        <w:rPr>
          <w:rFonts w:hint="eastAsia" w:ascii="仿宋_GB2312" w:eastAsia="仿宋_GB2312"/>
          <w:sz w:val="32"/>
          <w:szCs w:val="32"/>
        </w:rPr>
        <w:t>任何部门和个人须遵守国家法律法规，不得在新媒体平台制作、发布、传播不良社会影响信息。对有传播不良社会影响信息、发布泄密信息、发布有损学校及组织和个人声誉信息的新媒体平台将予以关停。</w:t>
      </w: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第三章 运行机制</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b/>
          <w:bCs/>
          <w:sz w:val="32"/>
          <w:szCs w:val="32"/>
        </w:rPr>
        <w:t xml:space="preserve">第十二条 </w:t>
      </w:r>
      <w:r>
        <w:rPr>
          <w:rFonts w:hint="eastAsia" w:ascii="仿宋_GB2312" w:eastAsia="仿宋_GB2312"/>
          <w:sz w:val="32"/>
          <w:szCs w:val="32"/>
        </w:rPr>
        <w:t>建立新媒体内容发布联动机制。在涉及学校重大宣传活动时，各新媒体平台须紧密配合党委宣传部，发挥本平台特色，形成良好的宣传矩阵效应。在涉及学校突发事件危机应对时，相关部门、学院等新媒体平台经党委宣传部同意后，可按照学校官方微信等新媒体平台发布的信息进行转发，严禁私自发布相关信息。</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第十三条 </w:t>
      </w:r>
      <w:r>
        <w:rPr>
          <w:rFonts w:hint="eastAsia" w:ascii="仿宋_GB2312" w:eastAsia="仿宋_GB2312"/>
          <w:sz w:val="32"/>
          <w:szCs w:val="32"/>
        </w:rPr>
        <w:t>建立新媒体内容发布审查机制。新媒体平台建设管理部门及相关责任人对所发布内容的真实性负责，严格执行“先审后发”制度。任何新媒体账号不得发布下列内容：</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1．反对宪法确定的基本原则的；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2．危害国家统一、主权和领土完整的；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3．泄露国家秘密、危害国家安全或者损害国家荣誉和利益的；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4．煽动民族仇恨、民族歧视，破坏民族团结，或者侵害民族风俗、习惯的；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5．宣扬邪教、迷信的；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6．扰乱社会秩序，破坏社会稳定的；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7．宣扬淫秽、赌博、暴力或者教唆犯罪的；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8．侮辱或者诽谤他人，侵害他人合法权益的；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9．危害社会公德或者民族优秀文化传统的；</w:t>
      </w:r>
    </w:p>
    <w:p>
      <w:pPr>
        <w:spacing w:line="596" w:lineRule="exact"/>
        <w:ind w:firstLine="640" w:firstLineChars="200"/>
        <w:rPr>
          <w:rFonts w:hint="eastAsia" w:ascii="仿宋_GB2312" w:eastAsia="仿宋_GB2312"/>
          <w:sz w:val="32"/>
          <w:szCs w:val="32"/>
        </w:rPr>
      </w:pPr>
      <w:r>
        <w:rPr>
          <w:rFonts w:hint="eastAsia" w:ascii="仿宋_GB2312" w:eastAsia="仿宋_GB2312"/>
          <w:sz w:val="32"/>
          <w:szCs w:val="32"/>
        </w:rPr>
        <w:t>10．法律、行政法规和国家规定禁止的其他内容。</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第十四条 </w:t>
      </w:r>
      <w:r>
        <w:rPr>
          <w:rFonts w:hint="eastAsia" w:ascii="仿宋_GB2312" w:eastAsia="仿宋_GB2312"/>
          <w:sz w:val="32"/>
          <w:szCs w:val="32"/>
        </w:rPr>
        <w:t>学校各新媒体平台严格执行“稿件（视频）来源所在部门（学院）负责制”的原则，各部门及二级学院严格审核把关宣传报道的内容，确保信息的准确性、导向正确性。各部门及二级学院投送到学校官方新媒体平台的稿件（含文字、图片、音视频、链接等），必须经本部门或二级学院分管宣传工作的负责人审核后方可报送。</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 xml:space="preserve">第十五条 </w:t>
      </w:r>
      <w:r>
        <w:rPr>
          <w:rFonts w:hint="eastAsia" w:ascii="仿宋_GB2312" w:eastAsia="仿宋_GB2312"/>
          <w:sz w:val="32"/>
          <w:szCs w:val="32"/>
        </w:rPr>
        <w:t>加强新媒体运行管理。开通了新媒体平台的部门、二级学院，需落实专人具体负责新媒体内容审核与日常维护等工作。各新媒体账号必须保持一定的更新频率，不得出现长时间不更新的“死账号”“僵尸号”。</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建立不良信息纠错机制。各新媒体平台对已发布的不当信息要及时应对处理。对于一般有误信息要及时删除；如有损国家、社会、学校声誉等不良信息，须第一时间由新媒体平台负责人进行处置并及时向党委宣传部报告。 </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建立保密管理责任制。严格遵守国家和学校有关保密管理相关规定，严格遵守“涉密不上网，上网不涉密”原则，严禁发布涉密信息。</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提升版权意识，遵守著作权法的相关规定，不得发布、转载或使用未获得著作权人授权的作品（包括但不限于文字、图片、字体、音频和视频）。在转载他人著作权作品时，除需取得授权外，不得歪曲、篡改原作品内容及标题，并应为著作权人署名和注明作品来源。</w:t>
      </w: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第四章 信息安全</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第十九条</w:t>
      </w:r>
      <w:r>
        <w:rPr>
          <w:rFonts w:hint="eastAsia" w:ascii="仿宋_GB2312" w:eastAsia="仿宋_GB2312"/>
          <w:sz w:val="32"/>
          <w:szCs w:val="32"/>
        </w:rPr>
        <w:t xml:space="preserve"> 新媒体各平台责任部门（学院）必须切实加强账号管理和内容监管，新媒体管理及运营人员必须具备政治意识、大局意识、核心意识、看齐意识，必须牢牢坚持党性原则、牢牢坚持马克思主义新闻观、牢牢坚持正确舆论导向、牢牢坚持正面宣传为主；必须提升技术安全意识，定期修改账号密码并维护好终端环境安全，确保网络安全与信息安全。</w:t>
      </w: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第五章 责任追究</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新媒体平台建设将纳入各部门及二级学院落实意识形态工作责任制考核体系。对违反相关法律、法规和本管理办法，造成不良影响的新媒体平台建设部门（二级学院），该年度意识形态工作考核实行一票否决制，并在年度意识形态相关会议通报。对出现违规内容的新媒体平台，情节严重并造成不良后果的，将按照有关规定追究直接责任人和主管领导责任。</w:t>
      </w:r>
    </w:p>
    <w:p>
      <w:pPr>
        <w:spacing w:line="596" w:lineRule="exact"/>
        <w:jc w:val="center"/>
        <w:outlineLvl w:val="2"/>
        <w:rPr>
          <w:rFonts w:hint="eastAsia" w:ascii="黑体" w:hAnsi="黑体" w:eastAsia="黑体"/>
          <w:b/>
          <w:sz w:val="32"/>
          <w:szCs w:val="32"/>
        </w:rPr>
      </w:pPr>
      <w:r>
        <w:rPr>
          <w:rFonts w:hint="eastAsia" w:ascii="黑体" w:hAnsi="黑体" w:eastAsia="黑体"/>
          <w:b/>
          <w:sz w:val="32"/>
          <w:szCs w:val="32"/>
        </w:rPr>
        <w:t>第六章 附 则</w:t>
      </w:r>
    </w:p>
    <w:p>
      <w:pPr>
        <w:spacing w:line="596" w:lineRule="exact"/>
        <w:ind w:firstLine="643" w:firstLineChars="200"/>
        <w:rPr>
          <w:rFonts w:hint="eastAsia" w:ascii="仿宋_GB2312" w:eastAsia="仿宋_GB2312"/>
          <w:sz w:val="32"/>
          <w:szCs w:val="32"/>
        </w:rPr>
      </w:pPr>
      <w:r>
        <w:rPr>
          <w:rFonts w:hint="eastAsia" w:ascii="仿宋_GB2312" w:eastAsia="仿宋_GB2312"/>
          <w:b/>
          <w:bCs/>
          <w:sz w:val="32"/>
          <w:szCs w:val="32"/>
        </w:rPr>
        <w:t>第二十一条</w:t>
      </w:r>
      <w:r>
        <w:rPr>
          <w:rFonts w:hint="eastAsia" w:ascii="仿宋_GB2312" w:eastAsia="仿宋_GB2312"/>
          <w:sz w:val="32"/>
          <w:szCs w:val="32"/>
        </w:rPr>
        <w:t xml:space="preserve"> 本办法由党委宣传部负责解释。</w:t>
      </w:r>
    </w:p>
    <w:p>
      <w:pPr>
        <w:spacing w:line="596" w:lineRule="exact"/>
        <w:ind w:firstLine="643" w:firstLineChars="200"/>
        <w:rPr>
          <w:rFonts w:hint="eastAsia" w:ascii="仿宋_GB2312" w:eastAsia="仿宋_GB2312"/>
          <w:szCs w:val="28"/>
        </w:rPr>
      </w:pPr>
      <w:r>
        <w:rPr>
          <w:rFonts w:hint="eastAsia" w:ascii="仿宋_GB2312" w:eastAsia="仿宋_GB2312"/>
          <w:b/>
          <w:bCs/>
          <w:sz w:val="32"/>
          <w:szCs w:val="32"/>
        </w:rPr>
        <w:t xml:space="preserve">第二十二条 </w:t>
      </w:r>
      <w:r>
        <w:rPr>
          <w:rFonts w:hint="eastAsia" w:ascii="仿宋_GB2312" w:eastAsia="仿宋_GB2312"/>
          <w:sz w:val="32"/>
          <w:szCs w:val="32"/>
        </w:rPr>
        <w:t>本办法自发布之日起实施。</w:t>
      </w:r>
    </w:p>
    <w:p>
      <w:pPr>
        <w:rPr>
          <w:rFonts w:hint="eastAsia" w:eastAsiaTheme="minorEastAsia"/>
          <w:sz w:val="32"/>
          <w:szCs w:val="32"/>
          <w:lang w:eastAsia="zh-CN"/>
        </w:rPr>
        <w:sectPr>
          <w:pgSz w:w="11906" w:h="16838"/>
          <w:pgMar w:top="1440" w:right="1800" w:bottom="1440" w:left="1800" w:header="851" w:footer="992" w:gutter="0"/>
          <w:pgNumType w:fmt="decimal"/>
          <w:cols w:space="425" w:num="1"/>
          <w:docGrid w:type="lines" w:linePitch="312" w:charSpace="0"/>
        </w:sectPr>
      </w:pPr>
    </w:p>
    <w:p>
      <w:pPr>
        <w:pStyle w:val="2"/>
        <w:spacing w:before="0" w:after="0" w:line="600" w:lineRule="exact"/>
        <w:jc w:val="center"/>
        <w:outlineLvl w:val="1"/>
        <w:rPr>
          <w:rFonts w:asciiTheme="minorEastAsia" w:hAnsiTheme="minorEastAsia" w:eastAsiaTheme="minorEastAsia"/>
          <w:color w:val="000000"/>
          <w:kern w:val="2"/>
          <w:sz w:val="36"/>
          <w:szCs w:val="36"/>
        </w:rPr>
      </w:pPr>
      <w:bookmarkStart w:id="187" w:name="_Toc15446"/>
      <w:bookmarkStart w:id="188" w:name="_Toc534377749"/>
      <w:bookmarkStart w:id="189" w:name="_Toc30292"/>
      <w:bookmarkStart w:id="190" w:name="_Toc10294"/>
      <w:r>
        <w:rPr>
          <w:rFonts w:hint="eastAsia" w:asciiTheme="minorEastAsia" w:hAnsiTheme="minorEastAsia" w:eastAsiaTheme="minorEastAsia"/>
          <w:color w:val="000000"/>
          <w:kern w:val="2"/>
          <w:sz w:val="36"/>
          <w:szCs w:val="36"/>
        </w:rPr>
        <w:t>柳州职业技术学院官方微信运营室管理制度</w:t>
      </w:r>
      <w:bookmarkEnd w:id="187"/>
      <w:bookmarkEnd w:id="188"/>
      <w:bookmarkEnd w:id="189"/>
      <w:bookmarkEnd w:id="190"/>
    </w:p>
    <w:p>
      <w:pPr>
        <w:pStyle w:val="14"/>
        <w:spacing w:before="0" w:beforeAutospacing="0" w:after="0" w:afterAutospacing="0" w:line="580" w:lineRule="exact"/>
        <w:jc w:val="center"/>
        <w:outlineLvl w:val="2"/>
        <w:rPr>
          <w:rFonts w:ascii="仿宋_GB2312" w:hAnsi="黑体" w:eastAsia="仿宋_GB2312" w:cs="黑体"/>
          <w:sz w:val="32"/>
          <w:szCs w:val="32"/>
        </w:rPr>
      </w:pPr>
      <w:r>
        <w:rPr>
          <w:rFonts w:hint="eastAsia" w:ascii="仿宋_GB2312" w:hAnsi="黑体" w:eastAsia="仿宋_GB2312" w:cs="黑体"/>
          <w:sz w:val="32"/>
          <w:szCs w:val="32"/>
        </w:rPr>
        <w:t>（柳职宣字〔2016〕4号）</w:t>
      </w:r>
    </w:p>
    <w:p>
      <w:pPr>
        <w:rPr>
          <w:sz w:val="24"/>
        </w:rPr>
      </w:pP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第一章  总  则</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 第一条</w:t>
      </w:r>
      <w:r>
        <w:rPr>
          <w:rFonts w:hint="eastAsia" w:ascii="仿宋_GB2312" w:hAnsi="仿宋" w:eastAsia="仿宋_GB2312" w:cs="宋体"/>
          <w:color w:val="000000"/>
          <w:kern w:val="0"/>
          <w:sz w:val="32"/>
          <w:szCs w:val="32"/>
        </w:rPr>
        <w:t xml:space="preserve">  柳州职业技术学院官方微信运营室是在学校党委领导下，由党委宣传部直接指导的组织，是校园文化建设、学校中心工作等重要的宣传阵地。围绕学校中心工作，营造积极向上的校园文化氛围，充分运用新媒体平台，做好思想引领、核心价值观宣传等工作。主要负责学校官方微信公众号等新媒体的管理、内容更新以及运行与维护工作。</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 xml:space="preserve"> </w:t>
      </w: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第二章  组织机构</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  </w:t>
      </w:r>
      <w:r>
        <w:rPr>
          <w:rFonts w:hint="eastAsia" w:ascii="仿宋_GB2312" w:hAnsi="仿宋" w:eastAsia="仿宋_GB2312" w:cs="宋体"/>
          <w:b/>
          <w:color w:val="000000"/>
          <w:kern w:val="0"/>
          <w:sz w:val="32"/>
          <w:szCs w:val="32"/>
        </w:rPr>
        <w:t>第二条</w:t>
      </w:r>
      <w:r>
        <w:rPr>
          <w:rFonts w:hint="eastAsia" w:ascii="仿宋_GB2312" w:hAnsi="仿宋" w:eastAsia="仿宋_GB2312" w:cs="宋体"/>
          <w:color w:val="000000"/>
          <w:kern w:val="0"/>
          <w:sz w:val="32"/>
          <w:szCs w:val="32"/>
        </w:rPr>
        <w:t xml:space="preserve">  官方微信运营室配备1名指导老师，成员由学生组成，岗位设置为室长（外部联系，负责协调三个小组）、副室长（兼秘书部部长，对内管理，协调安排推送期）、秘书部、记者团、编辑组、摄影组。</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 xml:space="preserve">                         </w:t>
      </w: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第三章  部门职责</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第三条</w:t>
      </w:r>
      <w:r>
        <w:rPr>
          <w:rFonts w:hint="eastAsia" w:ascii="仿宋_GB2312" w:hAnsi="仿宋" w:eastAsia="仿宋_GB2312" w:cs="宋体"/>
          <w:color w:val="000000"/>
          <w:kern w:val="0"/>
          <w:sz w:val="32"/>
          <w:szCs w:val="32"/>
        </w:rPr>
        <w:t xml:space="preserve">  秘书部：负责大学生新媒体中心的制度、文秘、财务、物品管理等日常行政事务工作，为各项工作和合作顺利开展提供坚实的后勤服务。让新媒体人在招新中闪现，在考核中提升，在培训中进步，在组织文化中凝聚力量。对外联络沟通，对内协调交流各部门关系，打造融洽亲密的氛围。</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 xml:space="preserve">第四条 </w:t>
      </w:r>
      <w:r>
        <w:rPr>
          <w:rFonts w:hint="eastAsia" w:ascii="仿宋_GB2312" w:hAnsi="仿宋" w:eastAsia="仿宋_GB2312" w:cs="宋体"/>
          <w:color w:val="000000"/>
          <w:kern w:val="0"/>
          <w:sz w:val="32"/>
          <w:szCs w:val="32"/>
        </w:rPr>
        <w:t xml:space="preserve"> 记者团：负责完成微信平台、电视台拍摄所需稿件的撰写；整理校对各部门、各二级学院、各学生组织的投稿，交由编辑部编辑发布；在大型活动中按照活动策划有目的的采集信息。</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第五条</w:t>
      </w:r>
      <w:r>
        <w:rPr>
          <w:rFonts w:hint="eastAsia" w:ascii="仿宋_GB2312" w:hAnsi="仿宋" w:eastAsia="仿宋_GB2312" w:cs="宋体"/>
          <w:color w:val="000000"/>
          <w:kern w:val="0"/>
          <w:sz w:val="32"/>
          <w:szCs w:val="32"/>
        </w:rPr>
        <w:t xml:space="preserve">  编辑部：负责微信平台视频、文字、图片编辑；对记者团提交的原始素材进行再加工；负责官方微信平台日常内容更新。</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第六条</w:t>
      </w:r>
      <w:r>
        <w:rPr>
          <w:rFonts w:hint="eastAsia" w:ascii="仿宋_GB2312" w:hAnsi="仿宋" w:eastAsia="仿宋_GB2312" w:cs="宋体"/>
          <w:color w:val="000000"/>
          <w:kern w:val="0"/>
          <w:sz w:val="32"/>
          <w:szCs w:val="32"/>
        </w:rPr>
        <w:t xml:space="preserve">  摄影组：负责推文所需图片的拍摄，建立图片库。</w:t>
      </w:r>
    </w:p>
    <w:p>
      <w:pPr>
        <w:spacing w:line="570" w:lineRule="exact"/>
        <w:ind w:firstLine="640" w:firstLineChars="200"/>
        <w:jc w:val="left"/>
        <w:rPr>
          <w:rFonts w:ascii="仿宋_GB2312" w:hAnsi="仿宋" w:eastAsia="仿宋_GB2312" w:cs="宋体"/>
          <w:color w:val="000000"/>
          <w:kern w:val="0"/>
          <w:sz w:val="32"/>
          <w:szCs w:val="32"/>
        </w:rPr>
      </w:pP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第四章  成员权利与义务</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第七条</w:t>
      </w:r>
      <w:r>
        <w:rPr>
          <w:rFonts w:hint="eastAsia" w:ascii="仿宋_GB2312" w:hAnsi="仿宋" w:eastAsia="仿宋_GB2312" w:cs="宋体"/>
          <w:color w:val="000000"/>
          <w:kern w:val="0"/>
          <w:sz w:val="32"/>
          <w:szCs w:val="32"/>
        </w:rPr>
        <w:t xml:space="preserve">  成员基本条件</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1.遵守校纪校规和本组织的章程。</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2.热爱新闻传媒工作，有一定的文字编辑和处理能力，对新闻有一定的敏感度，并具有较高的政治素养和觉悟，能做好新闻内容的保密工作。</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3.团结互助、友爱、相互学习，对待本职工作要有积极向上的态度，能够吃苦耐劳、任劳任怨，对待中心工作和发展要有无私奉献的精神。</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4.正确行使成员权利和成员义务。</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 xml:space="preserve">第八条  </w:t>
      </w:r>
      <w:r>
        <w:rPr>
          <w:rFonts w:hint="eastAsia" w:ascii="仿宋_GB2312" w:hAnsi="仿宋" w:eastAsia="仿宋_GB2312" w:cs="宋体"/>
          <w:color w:val="000000"/>
          <w:kern w:val="0"/>
          <w:sz w:val="32"/>
          <w:szCs w:val="32"/>
        </w:rPr>
        <w:t>成员权利</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1.本中心的选举权、被选举权和表决权。</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2.参加本中心的活动。</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3.获得服务的优先权。</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4.对工作有批评建议权和监督权。</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5.阅读有关文件及资料。</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6.接受培训。</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第九条</w:t>
      </w:r>
      <w:r>
        <w:rPr>
          <w:rFonts w:hint="eastAsia" w:ascii="仿宋_GB2312" w:hAnsi="仿宋" w:eastAsia="仿宋_GB2312" w:cs="宋体"/>
          <w:color w:val="000000"/>
          <w:kern w:val="0"/>
          <w:sz w:val="32"/>
          <w:szCs w:val="32"/>
        </w:rPr>
        <w:t xml:space="preserve">  成员义务</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1.执行工作室的正确决议。</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2.维护工作室的合法利益。</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3.积极参加工作室举办的活动。</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4.按要求及时完成工作任务。</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5.向本工作室反映情况，提供有关资料。</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6.必须保守工作室的有关资料，不私自将工作室资料发表。工作室的干部必须无条件接受分派的工作，准时完成，必须为成员服务，受成员监督。</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7.以工作室名义活动必须向指导老师申请，同意后方可进行，并要做好记录。</w:t>
      </w:r>
    </w:p>
    <w:p>
      <w:pPr>
        <w:spacing w:line="570" w:lineRule="exact"/>
        <w:ind w:firstLine="640" w:firstLineChars="200"/>
        <w:jc w:val="left"/>
        <w:rPr>
          <w:rFonts w:ascii="仿宋_GB2312" w:hAnsi="仿宋" w:eastAsia="仿宋_GB2312" w:cs="宋体"/>
          <w:color w:val="000000"/>
          <w:kern w:val="0"/>
          <w:sz w:val="32"/>
          <w:szCs w:val="32"/>
        </w:rPr>
      </w:pP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第五章  例会、考勤、值班制度</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第十条</w:t>
      </w:r>
      <w:r>
        <w:rPr>
          <w:rFonts w:hint="eastAsia" w:ascii="仿宋_GB2312" w:hAnsi="仿宋" w:eastAsia="仿宋_GB2312" w:cs="宋体"/>
          <w:color w:val="000000"/>
          <w:kern w:val="0"/>
          <w:sz w:val="32"/>
          <w:szCs w:val="32"/>
        </w:rPr>
        <w:t xml:space="preserve">  例会制度</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1.工作室每周周二中午召开例会，每两周召开一次推送选题会。</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2.开会时，成员应提前5分钟到场，实行签到制度，没有特殊原因不得请假。因故不能参加会议者，应提前请假，并在开会后及时了解会议内容，学习会议精神。</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3.严格遵守会议纪律，维持会场秩序，积极发言，举止文明，尊重他人，不得随意打断他人发言；严禁吸烟；通讯工具一律关机或静音；不得做与会议无关的事情；不得随意离席，认真做好会议记录。</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4.会议须有固定的会议记录格式及详尽的会议记录，且由秘书部分别负责进行文字记录,做好存档材料，以便总结经验，指导工作。</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5.全体会议遵循民主集中制原则，表决时少数服从多数，个人服从组织。会议形成的决议，在全体会议上宣布，所有成员必须无条件执行，有不同意见允许保留。</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6.会议结束后，与会者清理自身物品，并轮流整理会场。</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7.工作室各部门均由负责人负责每月召开一次内部成员的交流会，回顾前段工作中的得失，并讨论决定下一阶段的工作计划，形成一定的书面记录，并做好部员心理思想方面的工作。</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第十一条</w:t>
      </w:r>
      <w:r>
        <w:rPr>
          <w:rFonts w:hint="eastAsia" w:ascii="仿宋_GB2312" w:hAnsi="仿宋" w:eastAsia="仿宋_GB2312" w:cs="宋体"/>
          <w:color w:val="000000"/>
          <w:kern w:val="0"/>
          <w:sz w:val="32"/>
          <w:szCs w:val="32"/>
        </w:rPr>
        <w:t xml:space="preserve">  考勤制度</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成员在参加内部组织的活动以及统一组织的例会、活动中，原则上不允许请假。如果必须请假者，须履行书面请假申请递交老师并交由秘书部备案。特殊情况不能及时递交的也要提前短信告知，并及时补写请假条。如没有请假条，按旷会处理。</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2.活动期间不得无故离开，如有特殊情况需要离开，须向负责人说明情况，请示获得允许后方可离开。凡在活动中私自离队者，给予大会警告处分。</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3.在会议活动正式开始后，不再签到，没签到者视为迟到，活动会议开始二十分钟后再到者视为旷会。</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4.集体会议活动的考勤由秘书部负责记录存档。做为今后奖惩先进的考核项目。各部门自行开展的会议及活动，由部门负责做好本部门考勤记录，并交秘书部存档。</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5.成员必须按时参加组织活动，无故三次迟到或一次不到者，应写出书面检查，大会批评警告一次，取消年度评优资格；四次无故迟到或三次不到者，按自动退出处理。</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第十二条</w:t>
      </w:r>
      <w:r>
        <w:rPr>
          <w:rFonts w:hint="eastAsia" w:ascii="仿宋_GB2312" w:hAnsi="仿宋" w:eastAsia="仿宋_GB2312" w:cs="宋体"/>
          <w:color w:val="000000"/>
          <w:kern w:val="0"/>
          <w:sz w:val="32"/>
          <w:szCs w:val="32"/>
        </w:rPr>
        <w:t xml:space="preserve">  值班制度</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1.工作室周一到周五上午9-11点、下午5-6点均安排值班人员到办公室值班。</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2.值班内容</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（1）打扫干净值班地点，摆放好物品。</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（2）值完班后要登记，并登记值班情况。</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3.值班注意事项</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（1）值班时不做私事，比如因私打电话、玩手机、电脑。</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（2）不大声喧哗，影响他人工作。</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（3）用过的物品要归位。</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（4）值完班后，要记得关灯、关风扇，锁好门窗。</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 xml:space="preserve">            </w:t>
      </w: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第六章  资产管理制度</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第十三条</w:t>
      </w:r>
      <w:r>
        <w:rPr>
          <w:rFonts w:hint="eastAsia" w:ascii="仿宋_GB2312" w:hAnsi="仿宋" w:eastAsia="仿宋_GB2312" w:cs="宋体"/>
          <w:color w:val="000000"/>
          <w:kern w:val="0"/>
          <w:sz w:val="32"/>
          <w:szCs w:val="32"/>
        </w:rPr>
        <w:t xml:space="preserve">  办公用品管理制度</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1.办公物品由秘书部负责管理。</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2.专门设置物品使用情况登记簿，登记使用具体情况。</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（1）登记簿中需要登记使用物品活动的部门、名称。</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（2）写明使用物品名称、数量，使用时间，应有活动具体负责人签名。</w:t>
      </w:r>
    </w:p>
    <w:p>
      <w:pPr>
        <w:spacing w:line="570" w:lineRule="exact"/>
        <w:ind w:firstLine="640" w:firstLineChars="200"/>
        <w:jc w:val="left"/>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（3）物品使用过后，须有活动具体负责人负责送还办公室，由办公室专门人员查收 ，以便下次使用。</w:t>
      </w:r>
    </w:p>
    <w:p>
      <w:pPr>
        <w:spacing w:line="570" w:lineRule="exact"/>
        <w:jc w:val="center"/>
        <w:rPr>
          <w:rFonts w:ascii="黑体" w:hAnsi="仿宋" w:eastAsia="黑体" w:cs="宋体"/>
          <w:b/>
          <w:color w:val="000000"/>
          <w:kern w:val="0"/>
          <w:sz w:val="32"/>
          <w:szCs w:val="32"/>
        </w:rPr>
      </w:pPr>
    </w:p>
    <w:p>
      <w:pPr>
        <w:spacing w:line="570" w:lineRule="exact"/>
        <w:jc w:val="center"/>
        <w:outlineLvl w:val="2"/>
        <w:rPr>
          <w:rFonts w:ascii="黑体" w:hAnsi="仿宋" w:eastAsia="黑体" w:cs="宋体"/>
          <w:b/>
          <w:color w:val="000000"/>
          <w:kern w:val="0"/>
          <w:sz w:val="32"/>
          <w:szCs w:val="32"/>
        </w:rPr>
      </w:pPr>
      <w:r>
        <w:rPr>
          <w:rFonts w:hint="eastAsia" w:ascii="黑体" w:hAnsi="仿宋" w:eastAsia="黑体" w:cs="宋体"/>
          <w:b/>
          <w:color w:val="000000"/>
          <w:kern w:val="0"/>
          <w:sz w:val="32"/>
          <w:szCs w:val="32"/>
        </w:rPr>
        <w:t>第七章  附则</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第十四条</w:t>
      </w:r>
      <w:r>
        <w:rPr>
          <w:rFonts w:hint="eastAsia" w:ascii="仿宋_GB2312" w:hAnsi="仿宋" w:eastAsia="仿宋_GB2312" w:cs="宋体"/>
          <w:color w:val="000000"/>
          <w:kern w:val="0"/>
          <w:sz w:val="32"/>
          <w:szCs w:val="32"/>
        </w:rPr>
        <w:t xml:space="preserve">  本章程的最终解释权属于本工作室。</w:t>
      </w:r>
    </w:p>
    <w:p>
      <w:pPr>
        <w:spacing w:line="570" w:lineRule="exact"/>
        <w:ind w:firstLine="643" w:firstLineChars="200"/>
        <w:jc w:val="left"/>
        <w:rPr>
          <w:rFonts w:ascii="仿宋_GB2312" w:hAnsi="仿宋" w:eastAsia="仿宋_GB2312" w:cs="宋体"/>
          <w:color w:val="000000"/>
          <w:kern w:val="0"/>
          <w:sz w:val="32"/>
          <w:szCs w:val="32"/>
        </w:rPr>
      </w:pPr>
      <w:r>
        <w:rPr>
          <w:rFonts w:hint="eastAsia" w:ascii="仿宋_GB2312" w:hAnsi="仿宋" w:eastAsia="仿宋_GB2312" w:cs="宋体"/>
          <w:b/>
          <w:color w:val="000000"/>
          <w:kern w:val="0"/>
          <w:sz w:val="32"/>
          <w:szCs w:val="32"/>
        </w:rPr>
        <w:t>第十五条</w:t>
      </w:r>
      <w:r>
        <w:rPr>
          <w:rFonts w:hint="eastAsia" w:ascii="仿宋_GB2312" w:hAnsi="仿宋" w:eastAsia="仿宋_GB2312" w:cs="宋体"/>
          <w:color w:val="000000"/>
          <w:kern w:val="0"/>
          <w:sz w:val="32"/>
          <w:szCs w:val="32"/>
        </w:rPr>
        <w:t xml:space="preserve">  本章程自公布之日起生效。</w:t>
      </w:r>
    </w:p>
    <w:p>
      <w:pPr>
        <w:widowControl/>
        <w:jc w:val="left"/>
        <w:rPr>
          <w:sz w:val="32"/>
          <w:szCs w:val="32"/>
        </w:rPr>
      </w:pPr>
      <w:r>
        <w:rPr>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sectPr>
          <w:pgSz w:w="11906" w:h="16838"/>
          <w:pgMar w:top="2098" w:right="1474" w:bottom="1985" w:left="1588"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b/>
          <w:color w:val="000000"/>
          <w:sz w:val="36"/>
          <w:szCs w:val="36"/>
        </w:rPr>
      </w:pPr>
      <w:bookmarkStart w:id="191" w:name="_Toc6037"/>
      <w:r>
        <w:rPr>
          <w:rFonts w:hint="eastAsia"/>
          <w:b/>
          <w:color w:val="000000"/>
          <w:sz w:val="36"/>
          <w:szCs w:val="36"/>
        </w:rPr>
        <w:t>柳州职业技术学院校长办公会议议事规则</w:t>
      </w:r>
      <w:bookmarkEnd w:id="177"/>
      <w:bookmarkEnd w:id="178"/>
      <w:bookmarkEnd w:id="191"/>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柳职院党字〔2020〕2号</w:t>
      </w:r>
    </w:p>
    <w:p>
      <w:pPr>
        <w:pageBreakBefore w:val="0"/>
        <w:kinsoku/>
        <w:wordWrap/>
        <w:overflowPunct/>
        <w:topLinePunct w:val="0"/>
        <w:autoSpaceDE/>
        <w:autoSpaceDN/>
        <w:bidi w:val="0"/>
        <w:spacing w:line="580" w:lineRule="exact"/>
        <w:jc w:val="center"/>
        <w:outlineLvl w:val="9"/>
        <w:rPr>
          <w:rFonts w:ascii="宋体" w:hAnsi="宋体"/>
          <w:b/>
          <w:sz w:val="44"/>
          <w:szCs w:val="44"/>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一、总则</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第一条</w:t>
      </w:r>
      <w:r>
        <w:rPr>
          <w:rFonts w:hint="eastAsia" w:ascii="仿宋_GB2312" w:hAnsi="仿宋" w:eastAsia="仿宋_GB2312"/>
          <w:sz w:val="32"/>
          <w:szCs w:val="32"/>
        </w:rPr>
        <w:t xml:space="preserve">  根据《中华人民共和国高等教育法》《中国共产党普通高等学校基层组织工作条例》《关于坚持和完善普通高等学校党委领导下的校长负责制的实施意见》等法规文件,制定本规则。</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 xml:space="preserve">第二条  </w:t>
      </w:r>
      <w:r>
        <w:rPr>
          <w:rFonts w:hint="eastAsia" w:ascii="仿宋_GB2312" w:hAnsi="仿宋" w:eastAsia="仿宋_GB2312"/>
          <w:sz w:val="32"/>
          <w:szCs w:val="32"/>
        </w:rPr>
        <w:t>坚持党委领导下的校长负责制。校长在学校党委领导下组织实施学校党委有关决议,行使高等教育法等规定的各项职权,全面负责教学、科研、行政管理工作。</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 xml:space="preserve">第三条 </w:t>
      </w:r>
      <w:r>
        <w:rPr>
          <w:rFonts w:hint="eastAsia" w:ascii="仿宋_GB2312" w:hAnsi="仿宋" w:eastAsia="仿宋_GB2312"/>
          <w:sz w:val="32"/>
          <w:szCs w:val="32"/>
        </w:rPr>
        <w:t xml:space="preserve"> 校长办公会议是学校行政议事决策机构，坚持全面贯彻党的教育方针,坚持社会主义办学方向，落实立德树人根本任务，紧密围绕学校改革发展稳定，科学决策、民主决策、依法决策，推进学校人才培养、科学研究、社会服务、文化传承创新、国际交流合作等工作。</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二、议事决策范围</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第四条</w:t>
      </w:r>
      <w:r>
        <w:rPr>
          <w:rFonts w:hint="eastAsia" w:ascii="仿宋_GB2312" w:hAnsi="仿宋" w:eastAsia="仿宋_GB2312"/>
          <w:sz w:val="32"/>
          <w:szCs w:val="32"/>
        </w:rPr>
        <w:t xml:space="preserve">  校长办公会议主要研究提出拟由党委会讨论决定的重要事项方案，具体部署落实党委会决议的有关措施，研究决定教学、科研、行政管理工作。</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第五条</w:t>
      </w:r>
      <w:r>
        <w:rPr>
          <w:rFonts w:hint="eastAsia" w:ascii="仿宋_GB2312" w:hAnsi="仿宋" w:eastAsia="仿宋_GB2312"/>
          <w:sz w:val="32"/>
          <w:szCs w:val="32"/>
        </w:rPr>
        <w:t xml:space="preserve">  校长办公会议研究提议的重要事项: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1.学校章程、学校总体发展规划、综合改革方案等重大事项。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2.教师队伍建设、学生培养、专业建设、校园建设等学校内涵发展的重要工作规划，学校教学、科研、行政管理的重要改革措施、重要规章制度、重要工作计划等。</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3.学校行政管理组织机构和人员编制的设置与调整方案，学术组织机构的设置与调整方案。</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4.学校人才工作规划、重要人才政策、重要人才工程计划，涉及人才工作体制机制创新、人才成长环境优化等重要事项。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5.学校年度财务预算方案、决算情况的审定，未列入学校年度预算的预算追加和大额度支出，重大捐赠，以及其他大额度资金运作事项。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6.学校重要资产处置、重要办学资源配置、无形资产授权使用方案。</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7.国家或地方各类重点建设项目、国内国(境)外科学技术文化交流与合作重要项目、重大合资合作项目、重要设备和大宗物资采购或购买服务、重大基本建设和大额度基建修缮顼目等学校重大项目设立和安排方案。</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8.学术委员会、教学工作委员会等学术组织建设，以及学校学术评价、审议、评定工作中的重要事项。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9.教学、科研、行政管理的市厅级以上重大表彰推荐和校级重大表彰事项。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10.大学文化建设和校风教风学风建设的重要事项。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11.教职工薪酬体系、收入分配及福利待遇、奖励、惩处和其他事关师生员工切身利益的重要事项。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12.校长认为需要提交党委会讨论决定的其他事项。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13.党委会认为需要先由校长办公会议审议的事项。</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第六条</w:t>
      </w:r>
      <w:r>
        <w:rPr>
          <w:rFonts w:hint="eastAsia" w:ascii="仿宋_GB2312" w:hAnsi="仿宋" w:eastAsia="仿宋_GB2312"/>
          <w:sz w:val="32"/>
          <w:szCs w:val="32"/>
        </w:rPr>
        <w:t xml:space="preserve">  校长办公会议讨论决定的事项: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1.贯彻落实党的教育工作方针政策以及上级部门决策部署，加强教学、科研、行政管理的工作措施。</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2.执行学校党委会决定或决议事项的实施方案和重要措施。</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3.学校教学、科研、行政管理等具体规章制度和工作计划安排。</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4.学校人才引进、培养、使用工作的重要事项。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5.学校教师以及内部其他工作人员的人事聘任、解聘、考核、晋升、管理等重要事项。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6.学校年度财务预算方案的执行，大额度支出和年度追加预算的执行，大额度资金调动、使用和运作的具体安排，以及财务管理与监督审计的重要事项。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7.学校重要资产处置、重要办学资源配置、无形资产授权使用方案实施中的重要事项。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8.学校重大建设、合作、采购项目实施中的重要事项。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9.学校年度审计计划安排、重点审计项目执行等年度审计事项。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10.学校学科设置、建设与评估，专业设置与调整等重要事项。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11.人才培养方案制定与修订，课程体系建设和调整，教材编审，年度招生就业和学生毕业等重要事项。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12.科研项目设立，科研经费管理，科研成果申报、奖励与转化等重要事项。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13.学校服务国家和地方经济社会发展的重要事项。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14.学校对外交流与合作的重要事项。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15.实施思想品德教育，推进课程思政建设和教师、学生社会实践的重要措施。</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16.学校学术委员会、教学工作委员会等学术组织提交审议的相关事项。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17.教师及内部其他工作人员政纪处分，学生学籍管理、奖励及违规处理等重要事项。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18.学校安全稳定和后勤保障工作的重要事项。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19.教职工代表大会、学生代表大会、工会会员代表大会和团员代表大会有关行政工作的提案、意见办理事项。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20.其他事关学校事业发展、师生员工切身利益的重要行政事项。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21.按规定需要由校长办公会议审议的其他事项。</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三、议事决策原则和程序</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 xml:space="preserve">第七条 </w:t>
      </w:r>
      <w:r>
        <w:rPr>
          <w:rFonts w:hint="eastAsia" w:ascii="仿宋_GB2312" w:hAnsi="仿宋" w:eastAsia="仿宋_GB2312"/>
          <w:sz w:val="32"/>
          <w:szCs w:val="32"/>
        </w:rPr>
        <w:t xml:space="preserve"> 校长办公会议原则上每周召开一次,遇有重要情况经校长同意可以随时召开。会议由校长召集并主持。校长不能参加会议的，可以委托副校长召集并主持。</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第八条</w:t>
      </w:r>
      <w:r>
        <w:rPr>
          <w:rFonts w:hint="eastAsia" w:ascii="仿宋_GB2312" w:hAnsi="仿宋" w:eastAsia="仿宋_GB2312"/>
          <w:sz w:val="32"/>
          <w:szCs w:val="32"/>
        </w:rPr>
        <w:t xml:space="preserve">  校长办公会议成员一般为学校行政领导班子成员。会议必须有半数以上成员到会方能召开。会议成员因故不能出席时，应当在会前向校长请假。</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学校党委书记、副书记、纪委书记等可视议题情况参加会议。议题相关部门负责人可以列席会议;涉及师生切身利益的重大议题可以邀请师生代表列席。</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第九条</w:t>
      </w:r>
      <w:r>
        <w:rPr>
          <w:rFonts w:hint="eastAsia" w:ascii="仿宋_GB2312" w:hAnsi="仿宋" w:eastAsia="仿宋_GB2312"/>
          <w:sz w:val="32"/>
          <w:szCs w:val="32"/>
        </w:rPr>
        <w:t xml:space="preserve">  校长办公会议议题由校长提出，也可以由学校领导班子其他成员提出、校长综合考虑后确定。重要议题校长应当在会前听取党委书记意见,意见不一致的议题应暂缓上会。集体决定重要事项前，党委书记、校长和有关领导班子成员要个别酝酿、充分沟通。</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凡属学校行政领导班子成员自身职权范围内决定的事项，一般不提交校长办公会议研究讨论。</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第十条</w:t>
      </w:r>
      <w:r>
        <w:rPr>
          <w:rFonts w:hint="eastAsia" w:ascii="仿宋_GB2312" w:hAnsi="仿宋" w:eastAsia="仿宋_GB2312"/>
          <w:sz w:val="32"/>
          <w:szCs w:val="32"/>
        </w:rPr>
        <w:t xml:space="preserve">  校长办公会议应当健全决策咨询机制，对拟研究讨论的重要事项，议题相关部门应深入开展调查研究，充分听取各方面意见，进行合法合规性审查和风险评估。对专业性、技术性较强的重要事项，应经过专家评估及技术、政策、法律咨询，涉及学术事务的重要事项，应充分听取学术委员会等学术组织意见;对事关师生员工切身利益的重要事项，应通过教职工代表大会或其他方式，广泛听取师生员工的意见。</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第十一条</w:t>
      </w:r>
      <w:r>
        <w:rPr>
          <w:rFonts w:hint="eastAsia" w:ascii="仿宋_GB2312" w:hAnsi="仿宋" w:eastAsia="仿宋_GB2312"/>
          <w:sz w:val="32"/>
          <w:szCs w:val="32"/>
        </w:rPr>
        <w:t xml:space="preserve">  校长办公会议议题实行一事一报制度,议题相关材料应提前提交至学校办公室，学校办公室应提前将会议议题及相关材料送达有关参会人员。</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第十二条</w:t>
      </w:r>
      <w:r>
        <w:rPr>
          <w:rFonts w:hint="eastAsia" w:ascii="仿宋_GB2312" w:hAnsi="仿宋" w:eastAsia="仿宋_GB2312"/>
          <w:sz w:val="32"/>
          <w:szCs w:val="32"/>
        </w:rPr>
        <w:t xml:space="preserve">  校长办公会议按既定议程逐项进行。无特殊情况或未经会议主持人同意，一般不临时动议议题。</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第十三条</w:t>
      </w:r>
      <w:r>
        <w:rPr>
          <w:rFonts w:hint="eastAsia" w:ascii="仿宋_GB2312" w:hAnsi="仿宋" w:eastAsia="仿宋_GB2312"/>
          <w:sz w:val="32"/>
          <w:szCs w:val="32"/>
        </w:rPr>
        <w:t xml:space="preserve">  校长办公会议议题由分管校领导或相关部门负责人汇报。出席人员应当充分讨论，对决策建议明确表示同意、不同意或缓议的意见，并说明理由。未到会领导班子成员的意见可以书面形式表达。校长应当最后表态。</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第十四条</w:t>
      </w:r>
      <w:r>
        <w:rPr>
          <w:rFonts w:hint="eastAsia" w:ascii="仿宋_GB2312" w:hAnsi="仿宋" w:eastAsia="仿宋_GB2312"/>
          <w:sz w:val="32"/>
          <w:szCs w:val="32"/>
        </w:rPr>
        <w:t xml:space="preserve">  校长办公会议研究讨论议题时，校长应当广泛听取与会人员意见建议，在此基础上对研究讨论的事项作出决定。如对重要问题发生较大意见分歧,一般应当暂缓作出决定。</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第十五条</w:t>
      </w:r>
      <w:r>
        <w:rPr>
          <w:rFonts w:hint="eastAsia" w:ascii="仿宋_GB2312" w:hAnsi="仿宋" w:eastAsia="仿宋_GB2312"/>
          <w:sz w:val="32"/>
          <w:szCs w:val="32"/>
        </w:rPr>
        <w:t xml:space="preserve">  紧急情况下不能及时提交校长办公会议研究讨论的事项，可由校长与分管校领导共同商议临机处置，事后应及时向校长办公会议通报。</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第十六条</w:t>
      </w:r>
      <w:r>
        <w:rPr>
          <w:rFonts w:hint="eastAsia" w:ascii="仿宋_GB2312" w:hAnsi="仿宋" w:eastAsia="仿宋_GB2312"/>
          <w:sz w:val="32"/>
          <w:szCs w:val="32"/>
        </w:rPr>
        <w:t xml:space="preserve">  校长办公会议审议议题时应当通知相关部门负责人到会，听取意见，回答问询。</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第十七条</w:t>
      </w:r>
      <w:r>
        <w:rPr>
          <w:rFonts w:hint="eastAsia" w:ascii="仿宋_GB2312" w:hAnsi="仿宋" w:eastAsia="仿宋_GB2312"/>
          <w:sz w:val="32"/>
          <w:szCs w:val="32"/>
        </w:rPr>
        <w:t xml:space="preserve">  校长办公会议议题涉及与会人员本人及其亲属的，本人必须回避。</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第十八条</w:t>
      </w:r>
      <w:r>
        <w:rPr>
          <w:rFonts w:hint="eastAsia" w:ascii="仿宋_GB2312" w:hAnsi="仿宋" w:eastAsia="仿宋_GB2312"/>
          <w:sz w:val="32"/>
          <w:szCs w:val="32"/>
        </w:rPr>
        <w:t xml:space="preserve">  校长办公会议作出的决定，适合公开的应当依据有关规定及时公开。对需保密的会议内容和尚未正式公布的会议决定，参会人员应当遵守保密规定。</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四、议定事项执行与监督</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第十九条</w:t>
      </w:r>
      <w:r>
        <w:rPr>
          <w:rFonts w:hint="eastAsia" w:ascii="仿宋_GB2312" w:hAnsi="仿宋" w:eastAsia="仿宋_GB2312"/>
          <w:sz w:val="32"/>
          <w:szCs w:val="32"/>
        </w:rPr>
        <w:t xml:space="preserve">  校长办公会议讨论决定的事项,由学校分管领导或相关部门负责组织实施。执行情况应当及时向校长或校长办公会议汇报。明确由相关部门负责的,由学校办公室负责传达和督促检查。   </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r>
        <w:rPr>
          <w:rFonts w:hint="eastAsia" w:ascii="仿宋_GB2312" w:hAnsi="仿宋" w:eastAsia="仿宋_GB2312"/>
          <w:sz w:val="32"/>
          <w:szCs w:val="32"/>
        </w:rPr>
        <w:t>学校应当建立有效的督查、评估和反馈机制，确保决策落实。</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第二十条</w:t>
      </w:r>
      <w:r>
        <w:rPr>
          <w:rFonts w:hint="eastAsia" w:ascii="仿宋_GB2312" w:hAnsi="仿宋" w:eastAsia="仿宋_GB2312"/>
          <w:sz w:val="32"/>
          <w:szCs w:val="32"/>
        </w:rPr>
        <w:t xml:space="preserve">  校长办公会议讨论决定的事项,学校行政领导班子成员，相关部门和个人应当及时执行；对执行不力的,应当依照有关规定问责追责；决策执行过程中需作重大调整的，应当提交校长办公会议决定;需要复议的，按照第九条规定重新提交议题。</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p>
    <w:p>
      <w:pPr>
        <w:pageBreakBefore w:val="0"/>
        <w:kinsoku/>
        <w:wordWrap/>
        <w:overflowPunct/>
        <w:topLinePunct w:val="0"/>
        <w:autoSpaceDE/>
        <w:autoSpaceDN/>
        <w:bidi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五、附则</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第二十一条</w:t>
      </w:r>
      <w:r>
        <w:rPr>
          <w:rFonts w:hint="eastAsia" w:ascii="仿宋_GB2312" w:hAnsi="仿宋" w:eastAsia="仿宋_GB2312"/>
          <w:sz w:val="32"/>
          <w:szCs w:val="32"/>
        </w:rPr>
        <w:t xml:space="preserve">  学校办公室负责校长办公会议的会务工作,主要包括:收集议题，印发会议材料，通知参会人员，做好会议记录，编发会议纪要，分送校领导和有关部门,归档会议材料。</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第二十二条</w:t>
      </w:r>
      <w:r>
        <w:rPr>
          <w:rFonts w:hint="eastAsia" w:ascii="仿宋_GB2312" w:hAnsi="仿宋" w:eastAsia="仿宋_GB2312"/>
          <w:sz w:val="32"/>
          <w:szCs w:val="32"/>
        </w:rPr>
        <w:t xml:space="preserve">  本规则由学校校长办公会议负责解释，具体工作由学校办公室承担。</w:t>
      </w:r>
    </w:p>
    <w:p>
      <w:pPr>
        <w:pageBreakBefore w:val="0"/>
        <w:kinsoku/>
        <w:wordWrap/>
        <w:overflowPunct/>
        <w:topLinePunct w:val="0"/>
        <w:autoSpaceDE/>
        <w:autoSpaceDN/>
        <w:bidi w:val="0"/>
        <w:spacing w:line="596" w:lineRule="exact"/>
        <w:ind w:firstLine="643" w:firstLineChars="200"/>
        <w:outlineLvl w:val="9"/>
        <w:rPr>
          <w:rFonts w:hint="eastAsia" w:ascii="仿宋_GB2312" w:hAnsi="仿宋" w:eastAsia="仿宋_GB2312"/>
          <w:sz w:val="32"/>
          <w:szCs w:val="32"/>
        </w:rPr>
      </w:pPr>
      <w:r>
        <w:rPr>
          <w:rFonts w:hint="eastAsia" w:ascii="仿宋_GB2312" w:hAnsi="仿宋" w:eastAsia="仿宋_GB2312"/>
          <w:b/>
          <w:sz w:val="32"/>
          <w:szCs w:val="32"/>
        </w:rPr>
        <w:t>第二十三条</w:t>
      </w:r>
      <w:r>
        <w:rPr>
          <w:rFonts w:hint="eastAsia" w:ascii="仿宋_GB2312" w:hAnsi="仿宋" w:eastAsia="仿宋_GB2312"/>
          <w:sz w:val="32"/>
          <w:szCs w:val="32"/>
        </w:rPr>
        <w:t xml:space="preserve">  本规则自2020年1月1日起施行。原《柳州职业技术学院校长办公会议议事规则》同时废止。</w:t>
      </w:r>
    </w:p>
    <w:p>
      <w:pPr>
        <w:pageBreakBefore w:val="0"/>
        <w:kinsoku/>
        <w:wordWrap/>
        <w:overflowPunct/>
        <w:topLinePunct w:val="0"/>
        <w:autoSpaceDE/>
        <w:autoSpaceDN/>
        <w:bidi w:val="0"/>
        <w:spacing w:line="596" w:lineRule="exact"/>
        <w:ind w:firstLine="640" w:firstLineChars="200"/>
        <w:outlineLvl w:val="9"/>
        <w:rPr>
          <w:rFonts w:hint="eastAsia" w:ascii="仿宋_GB2312" w:hAnsi="仿宋" w:eastAsia="仿宋_GB2312"/>
          <w:sz w:val="32"/>
          <w:szCs w:val="32"/>
        </w:rPr>
      </w:pPr>
    </w:p>
    <w:p>
      <w:pPr>
        <w:pageBreakBefore w:val="0"/>
        <w:kinsoku/>
        <w:wordWrap/>
        <w:overflowPunct/>
        <w:topLinePunct w:val="0"/>
        <w:autoSpaceDE/>
        <w:autoSpaceDN/>
        <w:bidi w:val="0"/>
        <w:outlineLvl w:val="9"/>
        <w:sectPr>
          <w:pgSz w:w="11906" w:h="16838"/>
          <w:pgMar w:top="2098" w:right="1474" w:bottom="1985" w:left="1588"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192" w:name="_Toc24592"/>
      <w:bookmarkStart w:id="193" w:name="_Toc14039"/>
      <w:bookmarkStart w:id="194" w:name="_Toc9812"/>
      <w:bookmarkStart w:id="195" w:name="_Toc19099"/>
      <w:bookmarkStart w:id="196" w:name="_Toc22659"/>
      <w:r>
        <w:rPr>
          <w:rFonts w:hint="eastAsia"/>
          <w:b/>
          <w:color w:val="000000"/>
          <w:sz w:val="36"/>
          <w:szCs w:val="36"/>
        </w:rPr>
        <w:t>柳州职业技术学院理事会章程</w:t>
      </w:r>
      <w:bookmarkEnd w:id="192"/>
      <w:bookmarkEnd w:id="193"/>
      <w:bookmarkEnd w:id="194"/>
      <w:bookmarkEnd w:id="195"/>
      <w:bookmarkEnd w:id="196"/>
    </w:p>
    <w:p>
      <w:pPr>
        <w:pageBreakBefore w:val="0"/>
        <w:kinsoku/>
        <w:wordWrap/>
        <w:overflowPunct/>
        <w:topLinePunct w:val="0"/>
        <w:autoSpaceDE/>
        <w:autoSpaceDN/>
        <w:bidi w:val="0"/>
        <w:jc w:val="center"/>
        <w:outlineLvl w:val="9"/>
        <w:rPr>
          <w:rFonts w:hint="eastAsia" w:ascii="仿宋_GB2312" w:eastAsia="仿宋_GB2312"/>
          <w:b w:val="0"/>
          <w:bCs/>
          <w:sz w:val="32"/>
          <w:szCs w:val="32"/>
          <w:lang w:val="en-US" w:eastAsia="zh-CN"/>
        </w:rPr>
      </w:pPr>
      <w:r>
        <w:rPr>
          <w:rFonts w:hint="eastAsia" w:ascii="仿宋_GB2312" w:eastAsia="仿宋_GB2312"/>
          <w:b w:val="0"/>
          <w:bCs/>
          <w:sz w:val="32"/>
          <w:szCs w:val="32"/>
          <w:lang w:eastAsia="zh-CN"/>
        </w:rPr>
        <w:t>（</w:t>
      </w:r>
      <w:r>
        <w:rPr>
          <w:rFonts w:hint="eastAsia" w:ascii="仿宋_GB2312" w:eastAsia="仿宋_GB2312"/>
          <w:b w:val="0"/>
          <w:bCs/>
          <w:sz w:val="32"/>
          <w:szCs w:val="32"/>
        </w:rPr>
        <w:t>柳职院党字〔2019〕4号</w:t>
      </w:r>
      <w:r>
        <w:rPr>
          <w:rFonts w:hint="eastAsia" w:ascii="仿宋_GB2312" w:eastAsia="仿宋_GB2312"/>
          <w:b w:val="0"/>
          <w:bCs/>
          <w:sz w:val="32"/>
          <w:szCs w:val="32"/>
          <w:lang w:eastAsia="zh-CN"/>
        </w:rPr>
        <w:t>）</w:t>
      </w:r>
    </w:p>
    <w:p>
      <w:pPr>
        <w:pageBreakBefore w:val="0"/>
        <w:kinsoku/>
        <w:wordWrap/>
        <w:overflowPunct/>
        <w:topLinePunct w:val="0"/>
        <w:autoSpaceDE/>
        <w:autoSpaceDN/>
        <w:bidi w:val="0"/>
        <w:spacing w:line="560" w:lineRule="exact"/>
        <w:outlineLvl w:val="9"/>
        <w:rPr>
          <w:rFonts w:hint="eastAsia" w:ascii="仿宋_GB2312" w:hAnsi="仿宋" w:eastAsia="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第一章  总  则</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第一条</w:t>
      </w:r>
      <w:r>
        <w:rPr>
          <w:rFonts w:hint="eastAsia" w:ascii="仿宋_GB2312" w:hAnsi="仿宋" w:eastAsia="仿宋_GB2312"/>
          <w:color w:val="000000"/>
          <w:sz w:val="32"/>
          <w:szCs w:val="32"/>
        </w:rPr>
        <w:t xml:space="preserve">  理事会名称为柳州职业技术学院理事会，是沟通政府、行业、企业、学校等单位，促进产学研紧密合作和人才培养， 共商合作发展建设事项的机构和平台。</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 xml:space="preserve">第二条 </w:t>
      </w:r>
      <w:r>
        <w:rPr>
          <w:rFonts w:hint="eastAsia" w:ascii="仿宋_GB2312" w:hAnsi="仿宋" w:eastAsia="仿宋_GB2312"/>
          <w:color w:val="000000"/>
          <w:sz w:val="32"/>
          <w:szCs w:val="32"/>
        </w:rPr>
        <w:t xml:space="preserve"> 理事会是在柳州市人民政府的指导和监督下成立并开展工作，由政府有关部门、学校、行业、企业按照平等原则组成的具有联合性、互利性、非营利性行业组织, 不具有法人资格。理事会的宗旨是以政府支持、合作共赢为依托，以资源共享和合作项目为纽带，以校企合作、人才培养、科学研究、技术服务、社会服务为主要内容，推进学校改革发展，为地方经济社会发展培养高素质高技能人才。</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第三条</w:t>
      </w:r>
      <w:r>
        <w:rPr>
          <w:rFonts w:hint="eastAsia" w:ascii="仿宋_GB2312" w:hAnsi="仿宋" w:eastAsia="仿宋_GB2312"/>
          <w:color w:val="000000"/>
          <w:sz w:val="32"/>
          <w:szCs w:val="32"/>
        </w:rPr>
        <w:t xml:space="preserve">  理事会的主管单位为柳州市人民政府，接受其工作指导。 </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第四条</w:t>
      </w:r>
      <w:r>
        <w:rPr>
          <w:rFonts w:hint="eastAsia" w:ascii="仿宋_GB2312" w:hAnsi="仿宋" w:eastAsia="仿宋_GB2312"/>
          <w:color w:val="000000"/>
          <w:sz w:val="32"/>
          <w:szCs w:val="32"/>
        </w:rPr>
        <w:t xml:space="preserve">  理事会准则：合作共赢，务实创新</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第五条</w:t>
      </w:r>
      <w:r>
        <w:rPr>
          <w:rFonts w:hint="eastAsia" w:ascii="仿宋_GB2312" w:hAnsi="仿宋" w:eastAsia="仿宋_GB2312"/>
          <w:color w:val="000000"/>
          <w:sz w:val="32"/>
          <w:szCs w:val="32"/>
        </w:rPr>
        <w:t xml:space="preserve">  理事会制度：会员制</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第二章  理事会构成</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第六条</w:t>
      </w:r>
      <w:r>
        <w:rPr>
          <w:rFonts w:hint="eastAsia" w:ascii="仿宋_GB2312" w:hAnsi="仿宋" w:eastAsia="仿宋_GB2312"/>
          <w:color w:val="000000"/>
          <w:sz w:val="32"/>
          <w:szCs w:val="32"/>
        </w:rPr>
        <w:t xml:space="preserve">  理事会由政府、行业、企业和学校四方联合组成，是共同参与学校发展和管理的参谋、咨询、协调、监督机构。 </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 xml:space="preserve">第七条 </w:t>
      </w:r>
      <w:r>
        <w:rPr>
          <w:rFonts w:hint="eastAsia" w:ascii="仿宋_GB2312" w:hAnsi="仿宋" w:eastAsia="仿宋_GB2312"/>
          <w:color w:val="000000"/>
          <w:sz w:val="32"/>
          <w:szCs w:val="32"/>
        </w:rPr>
        <w:t xml:space="preserve"> 凡自愿遵守理事会章程，恪守理事会宗旨，具有独立法人资格的有较大影响与较强实力的行业、企业和政府有关职能部门，由学校提出邀请，单位或本人同意并颁发聘书后即可成为理事会正式成员。</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第八条</w:t>
      </w:r>
      <w:r>
        <w:rPr>
          <w:rFonts w:hint="eastAsia" w:ascii="仿宋_GB2312" w:hAnsi="仿宋" w:eastAsia="仿宋_GB2312"/>
          <w:color w:val="000000"/>
          <w:sz w:val="32"/>
          <w:szCs w:val="32"/>
        </w:rPr>
        <w:t xml:space="preserve">  理事会理事每届任期三年，届满后可连选连任。</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第九条</w:t>
      </w:r>
      <w:r>
        <w:rPr>
          <w:rFonts w:hint="eastAsia" w:ascii="仿宋_GB2312" w:hAnsi="仿宋" w:eastAsia="仿宋_GB2312"/>
          <w:color w:val="000000"/>
          <w:sz w:val="32"/>
          <w:szCs w:val="32"/>
        </w:rPr>
        <w:t xml:space="preserve">  理事会理事在任期内，如有出缺或工作需要可作调整或补充，调整和补充理事会成员可在理事会例会上讨论通过。</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w:t>
      </w: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第三章  理事会组织机构</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第十条</w:t>
      </w:r>
      <w:r>
        <w:rPr>
          <w:rFonts w:hint="eastAsia" w:ascii="仿宋_GB2312" w:hAnsi="仿宋" w:eastAsia="仿宋_GB2312"/>
          <w:color w:val="000000"/>
          <w:sz w:val="32"/>
          <w:szCs w:val="32"/>
        </w:rPr>
        <w:t xml:space="preserve">  理事会设理事长1人，常务副理事长4人，副理事长若干人，理事若干名，秘书长1名，副秘书长2名。</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第十一条</w:t>
      </w:r>
      <w:r>
        <w:rPr>
          <w:rFonts w:hint="eastAsia" w:ascii="仿宋_GB2312" w:hAnsi="仿宋" w:eastAsia="仿宋_GB2312"/>
          <w:color w:val="000000"/>
          <w:sz w:val="32"/>
          <w:szCs w:val="32"/>
        </w:rPr>
        <w:t xml:space="preserve">  理事长、常务副理事长、副理事长均经理事会提名，理事代表大会选举通过方可上任。</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 xml:space="preserve">第十二条 </w:t>
      </w:r>
      <w:r>
        <w:rPr>
          <w:rFonts w:hint="eastAsia" w:ascii="仿宋_GB2312" w:hAnsi="仿宋" w:eastAsia="仿宋_GB2312"/>
          <w:color w:val="000000"/>
          <w:sz w:val="32"/>
          <w:szCs w:val="32"/>
        </w:rPr>
        <w:t xml:space="preserve"> 理事会设立秘书处、校企合作和协同创新委员会、专业和实训基地建设委员会、人力资源合作委员会、社会服务能力建设委员会等职能机构。</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第十三条</w:t>
      </w:r>
      <w:r>
        <w:rPr>
          <w:rFonts w:hint="eastAsia" w:ascii="仿宋_GB2312" w:hAnsi="仿宋" w:eastAsia="仿宋_GB2312"/>
          <w:color w:val="000000"/>
          <w:sz w:val="32"/>
          <w:szCs w:val="32"/>
        </w:rPr>
        <w:t xml:space="preserve">  秘书处作为理事会的日常工作机构，设在柳州职业技术学院党校办，并受理事会委托，在理事长、常务副理事长领导下负责处理理事会的日常工作，负责学校与各理事单位及各专项委员会之间的工作协调、制订理事会相关制度，负责理事会文件管理、理事会重大活动备案报告撰写、接收处理各理事单位信息等。</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第十四条</w:t>
      </w:r>
      <w:r>
        <w:rPr>
          <w:rFonts w:hint="eastAsia" w:ascii="仿宋_GB2312" w:hAnsi="仿宋" w:eastAsia="仿宋_GB2312"/>
          <w:color w:val="000000"/>
          <w:sz w:val="32"/>
          <w:szCs w:val="32"/>
        </w:rPr>
        <w:t xml:space="preserve">  理事会的最高权利机构是理事代表大会。理事代表大会须有 2/3 以上的理事出席方能召开，其决议须经与会理事半数以上表决通过方能生效。</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 xml:space="preserve">第十五条 </w:t>
      </w:r>
      <w:r>
        <w:rPr>
          <w:rFonts w:hint="eastAsia" w:ascii="仿宋_GB2312" w:hAnsi="仿宋" w:eastAsia="仿宋_GB2312"/>
          <w:color w:val="000000"/>
          <w:sz w:val="32"/>
          <w:szCs w:val="32"/>
        </w:rPr>
        <w:t xml:space="preserve"> 原则上每年召开一次理事代表大会，特殊情况经理事长和常务副理事长协商可不定期召开。根据情况，也可采用通讯形式进行。</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第十六条</w:t>
      </w:r>
      <w:r>
        <w:rPr>
          <w:rFonts w:hint="eastAsia" w:ascii="仿宋_GB2312" w:hAnsi="仿宋" w:eastAsia="仿宋_GB2312"/>
          <w:color w:val="000000"/>
          <w:sz w:val="32"/>
          <w:szCs w:val="32"/>
        </w:rPr>
        <w:t xml:space="preserve">  理事长主持理事会工作，常务副理事长主持日常工作。理事因工作变动，由理事所在单位提出建议名单经理事会议通过后作相应调整。</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第四章  理事的权利与义务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b/>
          <w:color w:val="000000"/>
          <w:sz w:val="32"/>
          <w:szCs w:val="32"/>
        </w:rPr>
        <w:t>第十七条</w:t>
      </w:r>
      <w:r>
        <w:rPr>
          <w:rFonts w:hint="eastAsia" w:ascii="仿宋_GB2312" w:hAnsi="仿宋" w:eastAsia="仿宋_GB2312"/>
          <w:color w:val="000000"/>
          <w:sz w:val="32"/>
          <w:szCs w:val="32"/>
        </w:rPr>
        <w:t xml:space="preserve">  理事的权利与义务。参加理事会的四个利益方各司其职，成果共享。</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政府方：有要求学校服务地方经济社会发展、支持和参与地方产业建设项目、为区域经济大型建设项目培养紧缺人才等权利；有协调政府行业企业搭建校企合作平台，在政策、项目、资金等方面给予支持的义务。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行业方：有要求学校为行业培养人才、支持行业重大活动以及优先利用学校资源合作研发、优先转化师生设计成果等权利；有支持行业需求分析与专业设置对接，协调校企合作项目共建，共同论证制定行业人才培养标准，及时介绍推广行业最新动态，提供政策与资金支持以及参与学校教学质量评估等义务。  </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企业方：有要求学校进行订单人才培养，协同学校开展国际化办学，利用学校协同创新平台进行新技术、新产品研发等权利；有建立校外实习基地，共建校内实训基地，接受学生定岗实习，教师驻企进修挂职，选派骨干参与学校专业建设与课程建设，合作进行毕业生跟踪调查与满意率调查，共同实施教学质量评价等义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学校方：有要求其他三方配合进行人才需求分析与预测，专业设置布局调整，课程体系改革，科研技术开发，“双师型”培养，兼职教师库建设，校内与校外实训基地建设，学生顶岗实习与就业。校企合作项目开发建设，师生设计成果转化，教育教学质量评估等权利；有根据其他三方要求实施订单培养，参与、介入和支持国际化办学、科研开发等项目建设，组织协调好理事会各项工作等义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第五章  经  费</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eastAsia="仿宋_GB2312" w:cs="仿宋_GB2312"/>
          <w:b/>
          <w:kern w:val="0"/>
          <w:sz w:val="32"/>
          <w:szCs w:val="32"/>
        </w:rPr>
        <w:t>第十八条</w:t>
      </w:r>
      <w:r>
        <w:rPr>
          <w:rFonts w:hint="eastAsia" w:ascii="仿宋_GB2312" w:hAnsi="仿宋" w:eastAsia="仿宋_GB2312"/>
          <w:color w:val="000000"/>
          <w:sz w:val="32"/>
          <w:szCs w:val="32"/>
        </w:rPr>
        <w:t xml:space="preserve">  经费来源</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一、学校设立专项资金；</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二、接受有关单位和个人的资助。</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eastAsia="仿宋_GB2312" w:cs="仿宋_GB2312"/>
          <w:b/>
          <w:kern w:val="0"/>
          <w:sz w:val="32"/>
          <w:szCs w:val="32"/>
        </w:rPr>
        <w:t>第十九条</w:t>
      </w:r>
      <w:r>
        <w:rPr>
          <w:rFonts w:hint="eastAsia" w:ascii="仿宋_GB2312" w:hAnsi="仿宋" w:eastAsia="仿宋_GB2312"/>
          <w:color w:val="000000"/>
          <w:sz w:val="32"/>
          <w:szCs w:val="32"/>
        </w:rPr>
        <w:t xml:space="preserve">  经费用途</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一、理事会日常工作经费；</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二、理事会组织有关活动经费；</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三、项目、课题研究资助费；</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四、学院发展经费;</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t>五、其他支出。</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p>
    <w:p>
      <w:pPr>
        <w:pageBreakBefore w:val="0"/>
        <w:kinsoku/>
        <w:wordWrap/>
        <w:overflowPunct/>
        <w:topLinePunct w:val="0"/>
        <w:autoSpaceDE/>
        <w:autoSpaceDN/>
        <w:bidi w:val="0"/>
        <w:adjustRightInd w:val="0"/>
        <w:snapToGrid w:val="0"/>
        <w:spacing w:line="596" w:lineRule="exact"/>
        <w:jc w:val="center"/>
        <w:outlineLvl w:val="9"/>
        <w:rPr>
          <w:rFonts w:hint="eastAsia" w:ascii="黑体" w:hAnsi="黑体" w:eastAsia="黑体"/>
          <w:b/>
          <w:sz w:val="32"/>
          <w:szCs w:val="32"/>
        </w:rPr>
      </w:pPr>
      <w:r>
        <w:rPr>
          <w:rFonts w:hint="eastAsia" w:ascii="黑体" w:hAnsi="黑体" w:eastAsia="黑体"/>
          <w:b/>
          <w:sz w:val="32"/>
          <w:szCs w:val="32"/>
        </w:rPr>
        <w:t>第六章  附  则</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eastAsia="仿宋_GB2312" w:cs="仿宋_GB2312"/>
          <w:b/>
          <w:kern w:val="0"/>
          <w:sz w:val="32"/>
          <w:szCs w:val="32"/>
        </w:rPr>
        <w:t>第二十条</w:t>
      </w:r>
      <w:r>
        <w:rPr>
          <w:rFonts w:hint="eastAsia" w:ascii="仿宋_GB2312" w:hAnsi="仿宋" w:eastAsia="仿宋_GB2312"/>
          <w:color w:val="000000"/>
          <w:sz w:val="32"/>
          <w:szCs w:val="32"/>
        </w:rPr>
        <w:t xml:space="preserve">  本章程由理事会全体会议通过后生效。</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 w:eastAsia="仿宋_GB2312"/>
          <w:color w:val="000000"/>
          <w:sz w:val="32"/>
          <w:szCs w:val="32"/>
        </w:rPr>
      </w:pPr>
      <w:r>
        <w:rPr>
          <w:rFonts w:hint="eastAsia" w:ascii="仿宋_GB2312" w:eastAsia="仿宋_GB2312" w:cs="仿宋_GB2312"/>
          <w:b/>
          <w:kern w:val="0"/>
          <w:sz w:val="32"/>
          <w:szCs w:val="32"/>
        </w:rPr>
        <w:t>第二十一条</w:t>
      </w:r>
      <w:r>
        <w:rPr>
          <w:rFonts w:hint="eastAsia" w:ascii="仿宋_GB2312" w:hAnsi="仿宋" w:eastAsia="仿宋_GB2312"/>
          <w:color w:val="000000"/>
          <w:sz w:val="32"/>
          <w:szCs w:val="32"/>
        </w:rPr>
        <w:t xml:space="preserve">  本章程由理事会秘书处负责解释。</w:t>
      </w:r>
    </w:p>
    <w:p>
      <w:pPr>
        <w:pageBreakBefore w:val="0"/>
        <w:kinsoku/>
        <w:wordWrap/>
        <w:overflowPunct/>
        <w:topLinePunct w:val="0"/>
        <w:autoSpaceDE/>
        <w:autoSpaceDN/>
        <w:bidi w:val="0"/>
        <w:outlineLvl w:val="9"/>
        <w:rPr>
          <w:rFonts w:hint="eastAsia" w:ascii="仿宋_GB2312" w:hAnsi="仿宋" w:eastAsia="仿宋_GB2312"/>
          <w:color w:val="000000"/>
          <w:sz w:val="32"/>
          <w:szCs w:val="32"/>
        </w:rPr>
      </w:pPr>
      <w:r>
        <w:rPr>
          <w:rFonts w:hint="eastAsia" w:ascii="仿宋_GB2312" w:hAnsi="仿宋" w:eastAsia="仿宋_GB2312"/>
          <w:color w:val="000000"/>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lang w:val="en-US" w:eastAsia="zh-CN"/>
        </w:rPr>
      </w:pPr>
      <w:bookmarkStart w:id="197" w:name="_Toc19463"/>
      <w:bookmarkStart w:id="198" w:name="_Toc30677"/>
      <w:bookmarkStart w:id="199" w:name="_Toc2888"/>
      <w:bookmarkStart w:id="200" w:name="_Toc534379489"/>
      <w:r>
        <w:rPr>
          <w:rFonts w:hint="eastAsia"/>
          <w:b/>
          <w:color w:val="000000"/>
          <w:sz w:val="36"/>
          <w:szCs w:val="36"/>
          <w:lang w:val="en-US" w:eastAsia="zh-CN"/>
        </w:rPr>
        <w:t>柳州职业技术学院外事工作制度</w:t>
      </w:r>
      <w:bookmarkEnd w:id="197"/>
      <w:bookmarkEnd w:id="198"/>
      <w:bookmarkEnd w:id="199"/>
      <w:bookmarkEnd w:id="200"/>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（柳职院字〔2018〕33号）</w:t>
      </w:r>
    </w:p>
    <w:p>
      <w:pPr>
        <w:pageBreakBefore w:val="0"/>
        <w:widowControl/>
        <w:kinsoku/>
        <w:wordWrap/>
        <w:overflowPunct/>
        <w:topLinePunct w:val="0"/>
        <w:autoSpaceDE/>
        <w:autoSpaceDN/>
        <w:bidi w:val="0"/>
        <w:spacing w:line="540" w:lineRule="exact"/>
        <w:jc w:val="center"/>
        <w:outlineLvl w:val="9"/>
        <w:rPr>
          <w:rFonts w:hint="eastAsia" w:ascii="黑体" w:hAnsi="黑体" w:eastAsia="黑体"/>
          <w:kern w:val="0"/>
          <w:sz w:val="32"/>
          <w:szCs w:val="32"/>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第一章  总则</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第一条</w:t>
      </w:r>
      <w:r>
        <w:rPr>
          <w:rFonts w:ascii="仿宋_GB2312" w:hAnsi="仿宋_GB2312" w:eastAsia="仿宋_GB2312" w:cs="仿宋_GB2312"/>
          <w:kern w:val="0"/>
          <w:sz w:val="32"/>
          <w:szCs w:val="32"/>
          <w:lang w:bidi="ar"/>
        </w:rPr>
        <w:t xml:space="preserve">  随着我校对外交流的不断深入，</w:t>
      </w:r>
      <w:r>
        <w:rPr>
          <w:rFonts w:hint="eastAsia" w:ascii="仿宋_GB2312" w:hAnsi="仿宋_GB2312" w:eastAsia="仿宋_GB2312" w:cs="仿宋_GB2312"/>
          <w:kern w:val="0"/>
          <w:sz w:val="32"/>
          <w:szCs w:val="32"/>
          <w:lang w:bidi="ar"/>
        </w:rPr>
        <w:t>学</w:t>
      </w:r>
      <w:r>
        <w:rPr>
          <w:rFonts w:ascii="仿宋_GB2312" w:hAnsi="仿宋_GB2312" w:eastAsia="仿宋_GB2312" w:cs="仿宋_GB2312"/>
          <w:kern w:val="0"/>
          <w:sz w:val="32"/>
          <w:szCs w:val="32"/>
          <w:lang w:bidi="ar"/>
        </w:rPr>
        <w:t>校与国外教育机构交流合作越来越多</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为更好地贯彻</w:t>
      </w:r>
      <w:r>
        <w:rPr>
          <w:rFonts w:hint="eastAsia" w:ascii="仿宋_GB2312" w:hAnsi="仿宋_GB2312" w:eastAsia="仿宋_GB2312" w:cs="仿宋_GB2312"/>
          <w:kern w:val="0"/>
          <w:sz w:val="32"/>
          <w:szCs w:val="32"/>
          <w:lang w:bidi="ar"/>
        </w:rPr>
        <w:t>执行国家</w:t>
      </w:r>
      <w:r>
        <w:rPr>
          <w:rFonts w:ascii="仿宋_GB2312" w:hAnsi="仿宋_GB2312" w:eastAsia="仿宋_GB2312" w:cs="仿宋_GB2312"/>
          <w:kern w:val="0"/>
          <w:sz w:val="32"/>
          <w:szCs w:val="32"/>
          <w:lang w:bidi="ar"/>
        </w:rPr>
        <w:t>有关外事工作的方针、政策，促进我校对外交流和国际合作工作的开展，使外事工作更好地为学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的建设和发展服务，本着外事无小事的原则</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实行统一领导、归口管理、分级负责、协调配合的工作机制，特制定本制度。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 xml:space="preserve">第二条 </w:t>
      </w:r>
      <w:r>
        <w:rPr>
          <w:rFonts w:ascii="仿宋_GB2312" w:hAnsi="仿宋_GB2312" w:eastAsia="仿宋_GB2312" w:cs="仿宋_GB2312"/>
          <w:kern w:val="0"/>
          <w:sz w:val="32"/>
          <w:szCs w:val="32"/>
          <w:lang w:bidi="ar"/>
        </w:rPr>
        <w:t xml:space="preserve"> 外事工作范围：</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w:t>
      </w:r>
      <w:r>
        <w:rPr>
          <w:rFonts w:ascii="仿宋_GB2312" w:hAnsi="仿宋_GB2312" w:eastAsia="仿宋_GB2312" w:cs="仿宋_GB2312"/>
          <w:kern w:val="0"/>
          <w:sz w:val="32"/>
          <w:szCs w:val="32"/>
          <w:lang w:bidi="ar"/>
        </w:rPr>
        <w:t>外事工作</w:t>
      </w:r>
      <w:r>
        <w:rPr>
          <w:rFonts w:hint="eastAsia" w:ascii="仿宋_GB2312" w:hAnsi="仿宋_GB2312" w:eastAsia="仿宋_GB2312" w:cs="仿宋_GB2312"/>
          <w:kern w:val="0"/>
          <w:sz w:val="32"/>
          <w:szCs w:val="32"/>
          <w:lang w:bidi="ar"/>
        </w:rPr>
        <w:t>年度</w:t>
      </w:r>
      <w:r>
        <w:rPr>
          <w:rFonts w:ascii="仿宋_GB2312" w:hAnsi="仿宋_GB2312" w:eastAsia="仿宋_GB2312" w:cs="仿宋_GB2312"/>
          <w:kern w:val="0"/>
          <w:sz w:val="32"/>
          <w:szCs w:val="32"/>
          <w:lang w:bidi="ar"/>
        </w:rPr>
        <w:t>计划的编制、执行和总结</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w:t>
      </w:r>
      <w:r>
        <w:rPr>
          <w:rFonts w:ascii="仿宋_GB2312" w:hAnsi="仿宋_GB2312" w:eastAsia="仿宋_GB2312" w:cs="仿宋_GB2312"/>
          <w:kern w:val="0"/>
          <w:sz w:val="32"/>
          <w:szCs w:val="32"/>
          <w:lang w:bidi="ar"/>
        </w:rPr>
        <w:t>外籍教师、专家</w:t>
      </w:r>
      <w:r>
        <w:rPr>
          <w:rFonts w:hint="eastAsia" w:ascii="仿宋_GB2312" w:hAnsi="仿宋_GB2312" w:eastAsia="仿宋_GB2312" w:cs="仿宋_GB2312"/>
          <w:kern w:val="0"/>
          <w:sz w:val="32"/>
          <w:szCs w:val="32"/>
          <w:lang w:bidi="ar"/>
        </w:rPr>
        <w:t>、学者的</w:t>
      </w:r>
      <w:r>
        <w:rPr>
          <w:rFonts w:ascii="仿宋_GB2312" w:hAnsi="仿宋_GB2312" w:eastAsia="仿宋_GB2312" w:cs="仿宋_GB2312"/>
          <w:kern w:val="0"/>
          <w:sz w:val="32"/>
          <w:szCs w:val="32"/>
          <w:lang w:bidi="ar"/>
        </w:rPr>
        <w:t>聘请</w:t>
      </w:r>
      <w:r>
        <w:rPr>
          <w:rFonts w:hint="eastAsia" w:ascii="仿宋_GB2312" w:hAnsi="仿宋_GB2312" w:eastAsia="仿宋_GB2312" w:cs="仿宋_GB2312"/>
          <w:kern w:val="0"/>
          <w:sz w:val="32"/>
          <w:szCs w:val="32"/>
          <w:lang w:bidi="ar"/>
        </w:rPr>
        <w:t>及涉外管理；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（三）因公出国（境）访问交流</w:t>
      </w:r>
      <w:r>
        <w:rPr>
          <w:rFonts w:ascii="仿宋_GB2312" w:hAnsi="仿宋_GB2312" w:eastAsia="仿宋_GB2312" w:cs="仿宋_GB2312"/>
          <w:kern w:val="0"/>
          <w:sz w:val="32"/>
          <w:szCs w:val="32"/>
          <w:lang w:bidi="ar"/>
        </w:rPr>
        <w:t>、科研进修、培训</w:t>
      </w:r>
      <w:r>
        <w:rPr>
          <w:rFonts w:hint="eastAsia" w:ascii="仿宋_GB2312" w:hAnsi="仿宋_GB2312" w:eastAsia="仿宋_GB2312" w:cs="仿宋_GB2312"/>
          <w:kern w:val="0"/>
          <w:sz w:val="32"/>
          <w:szCs w:val="32"/>
          <w:lang w:bidi="ar"/>
        </w:rPr>
        <w:t>、讲学、参加国际学术会议</w:t>
      </w:r>
      <w:r>
        <w:rPr>
          <w:rFonts w:ascii="仿宋_GB2312" w:hAnsi="仿宋_GB2312" w:eastAsia="仿宋_GB2312" w:cs="仿宋_GB2312"/>
          <w:kern w:val="0"/>
          <w:sz w:val="32"/>
          <w:szCs w:val="32"/>
          <w:lang w:bidi="ar"/>
        </w:rPr>
        <w:t>的</w:t>
      </w:r>
      <w:r>
        <w:rPr>
          <w:rFonts w:hint="eastAsia" w:ascii="仿宋_GB2312" w:hAnsi="仿宋_GB2312" w:eastAsia="仿宋_GB2312" w:cs="仿宋_GB2312"/>
          <w:kern w:val="0"/>
          <w:sz w:val="32"/>
          <w:szCs w:val="32"/>
          <w:lang w:bidi="ar"/>
        </w:rPr>
        <w:t>外事手续办理；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（四）推动开展</w:t>
      </w:r>
      <w:r>
        <w:rPr>
          <w:rFonts w:ascii="仿宋_GB2312" w:hAnsi="仿宋_GB2312" w:eastAsia="仿宋_GB2312" w:cs="仿宋_GB2312"/>
          <w:kern w:val="0"/>
          <w:sz w:val="32"/>
          <w:szCs w:val="32"/>
          <w:lang w:bidi="ar"/>
        </w:rPr>
        <w:t>与国（境）外学校、教育机构及其他组织团体的交流合作关系，协议</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签订及管理</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（五）外事接待；</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（六）学生境外交流交换、留学活动；</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（七）招收和培养国际学生；</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（八）外事经费预算及经费管理。</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第二章  管理机构</w:t>
      </w:r>
      <w:r>
        <w:rPr>
          <w:rFonts w:hint="eastAsia" w:ascii="黑体" w:hAnsi="仿宋_GB2312" w:eastAsia="黑体" w:cs="仿宋_GB2312"/>
          <w:b/>
          <w:kern w:val="0"/>
          <w:sz w:val="32"/>
          <w:szCs w:val="32"/>
          <w:lang w:bidi="ar"/>
        </w:rPr>
        <w:t>及职责</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第三条</w:t>
      </w:r>
      <w:r>
        <w:rPr>
          <w:rFonts w:ascii="仿宋_GB2312" w:hAnsi="仿宋_GB2312" w:eastAsia="仿宋_GB2312" w:cs="仿宋_GB2312"/>
          <w:kern w:val="0"/>
          <w:sz w:val="32"/>
          <w:szCs w:val="32"/>
          <w:lang w:bidi="ar"/>
        </w:rPr>
        <w:t xml:space="preserve">  外事工作实行统一领导、归口管理、分级负责、协调配合的原则。分管</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领导负责</w:t>
      </w:r>
      <w:r>
        <w:rPr>
          <w:rFonts w:hint="eastAsia" w:ascii="仿宋_GB2312" w:hAnsi="仿宋_GB2312" w:eastAsia="仿宋_GB2312" w:cs="仿宋_GB2312"/>
          <w:kern w:val="0"/>
          <w:sz w:val="32"/>
          <w:szCs w:val="32"/>
          <w:lang w:bidi="ar"/>
        </w:rPr>
        <w:t>外事项目计划</w:t>
      </w:r>
      <w:r>
        <w:rPr>
          <w:rFonts w:ascii="仿宋_GB2312" w:hAnsi="仿宋_GB2312" w:eastAsia="仿宋_GB2312" w:cs="仿宋_GB2312"/>
          <w:kern w:val="0"/>
          <w:sz w:val="32"/>
          <w:szCs w:val="32"/>
          <w:lang w:bidi="ar"/>
        </w:rPr>
        <w:t>及重要外事活动</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审核</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为学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外事工作的归口管理部门</w:t>
      </w:r>
      <w:r>
        <w:rPr>
          <w:rFonts w:hint="eastAsia" w:ascii="仿宋_GB2312" w:hAnsi="仿宋_GB2312" w:eastAsia="仿宋_GB2312" w:cs="仿宋_GB2312"/>
          <w:kern w:val="0"/>
          <w:sz w:val="32"/>
          <w:szCs w:val="32"/>
          <w:lang w:bidi="ar"/>
        </w:rPr>
        <w:t>，其他各部门要配合国际交流处做好学校涉外管理工作。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第四条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国际交流处工作职责：</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（一）做好国家外事政策、法规的宣传、贯彻和执行工作，对学校的外事工作进行规划、协调、指导和统一管理。</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（二）负责与上级主管部门联络，向上级主管部门及时报告情况，为各部门开展相关对外交流活动提供指导及服务。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（三）负责制定学校外事工作的规划、管理，建立和健全外事工作制度。</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（四）负责学校的国际交流合作、引进国外智力等项目的联络、洽谈、协调等工作。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（五）负责学校层面的国（境）外人员来访联络及接待工作。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（六）负责学校教职工因公出国手续的办理或指导，以及因公出国人员行前培训等。</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（七）负责外籍教师的招聘、有关手续的办理及日常管理工作。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（八）负责国（境）外的招生计划制定、录取等工作、负责国（境）外留学生在我校的日常管理；指导接收留学生的二级学院做好相关手续的办理工作。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（九）负责完成上级主管部门或相关职能部门布置的工作任务。</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五</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其他职能部门主要职责</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（一）教务与实训管理处：负责</w:t>
      </w:r>
      <w:r>
        <w:rPr>
          <w:rFonts w:ascii="仿宋_GB2312" w:hAnsi="仿宋_GB2312" w:eastAsia="仿宋_GB2312" w:cs="仿宋_GB2312"/>
          <w:kern w:val="0"/>
          <w:sz w:val="32"/>
          <w:szCs w:val="32"/>
          <w:lang w:bidi="ar"/>
        </w:rPr>
        <w:t>制定外籍教师、专家聘请计划；</w:t>
      </w:r>
      <w:r>
        <w:rPr>
          <w:rFonts w:hint="eastAsia" w:ascii="仿宋_GB2312" w:hAnsi="仿宋_GB2312" w:eastAsia="仿宋_GB2312" w:cs="仿宋_GB2312"/>
          <w:kern w:val="0"/>
          <w:sz w:val="32"/>
          <w:szCs w:val="32"/>
          <w:lang w:bidi="ar"/>
        </w:rPr>
        <w:t>国（</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w:t>
      </w:r>
      <w:r>
        <w:rPr>
          <w:rFonts w:hint="eastAsia" w:ascii="仿宋_GB2312" w:hAnsi="仿宋_GB2312" w:eastAsia="仿宋_GB2312" w:cs="仿宋_GB2312"/>
          <w:kern w:val="0"/>
          <w:sz w:val="32"/>
          <w:szCs w:val="32"/>
          <w:lang w:bidi="ar"/>
        </w:rPr>
        <w:t>合作办学项目计划和方案；</w:t>
      </w:r>
      <w:r>
        <w:rPr>
          <w:rFonts w:ascii="仿宋_GB2312" w:hAnsi="仿宋_GB2312" w:eastAsia="仿宋_GB2312" w:cs="仿宋_GB2312"/>
          <w:kern w:val="0"/>
          <w:sz w:val="32"/>
          <w:szCs w:val="32"/>
          <w:lang w:bidi="ar"/>
        </w:rPr>
        <w:t>学生</w:t>
      </w:r>
      <w:r>
        <w:rPr>
          <w:rFonts w:hint="eastAsia" w:ascii="仿宋_GB2312" w:hAnsi="仿宋_GB2312" w:eastAsia="仿宋_GB2312" w:cs="仿宋_GB2312"/>
          <w:kern w:val="0"/>
          <w:sz w:val="32"/>
          <w:szCs w:val="32"/>
          <w:lang w:bidi="ar"/>
        </w:rPr>
        <w:t>赴国（</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外学习</w:t>
      </w:r>
      <w:r>
        <w:rPr>
          <w:rFonts w:hint="eastAsia" w:ascii="仿宋_GB2312" w:hAnsi="仿宋_GB2312" w:eastAsia="仿宋_GB2312" w:cs="仿宋_GB2312"/>
          <w:kern w:val="0"/>
          <w:sz w:val="32"/>
          <w:szCs w:val="32"/>
          <w:lang w:bidi="ar"/>
        </w:rPr>
        <w:t>的学习计划、学籍管理；负责国际学生的学籍管理等；</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（二）教职工发展中心：负责教职工国（</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w:t>
      </w:r>
      <w:r>
        <w:rPr>
          <w:rFonts w:hint="eastAsia" w:ascii="仿宋_GB2312" w:hAnsi="仿宋_GB2312" w:eastAsia="仿宋_GB2312" w:cs="仿宋_GB2312"/>
          <w:kern w:val="0"/>
          <w:sz w:val="32"/>
          <w:szCs w:val="32"/>
          <w:lang w:bidi="ar"/>
        </w:rPr>
        <w:t>培训方案的制定、组织、实施及各类留学人员出国和回国数据统计；</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（三）社区学院：负责</w:t>
      </w:r>
      <w:r>
        <w:rPr>
          <w:rFonts w:ascii="仿宋_GB2312" w:hAnsi="仿宋_GB2312" w:eastAsia="仿宋_GB2312" w:cs="仿宋_GB2312"/>
          <w:kern w:val="0"/>
          <w:sz w:val="32"/>
          <w:szCs w:val="32"/>
          <w:lang w:bidi="ar"/>
        </w:rPr>
        <w:t>国（境）外</w:t>
      </w:r>
      <w:r>
        <w:rPr>
          <w:rFonts w:hint="eastAsia" w:ascii="仿宋_GB2312" w:hAnsi="仿宋_GB2312" w:eastAsia="仿宋_GB2312" w:cs="仿宋_GB2312"/>
          <w:kern w:val="0"/>
          <w:sz w:val="32"/>
          <w:szCs w:val="32"/>
          <w:lang w:bidi="ar"/>
        </w:rPr>
        <w:t>培训项目的方案</w:t>
      </w:r>
      <w:r>
        <w:rPr>
          <w:rFonts w:ascii="仿宋_GB2312" w:hAnsi="仿宋_GB2312" w:eastAsia="仿宋_GB2312" w:cs="仿宋_GB2312"/>
          <w:kern w:val="0"/>
          <w:sz w:val="32"/>
          <w:szCs w:val="32"/>
          <w:lang w:bidi="ar"/>
        </w:rPr>
        <w:t>制定、目标管理；</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（四）科技开发处、校企合作处、就业处：</w:t>
      </w:r>
      <w:r>
        <w:rPr>
          <w:rFonts w:ascii="仿宋_GB2312" w:hAnsi="仿宋_GB2312" w:eastAsia="仿宋_GB2312" w:cs="仿宋_GB2312"/>
          <w:kern w:val="0"/>
          <w:sz w:val="32"/>
          <w:szCs w:val="32"/>
          <w:lang w:bidi="ar"/>
        </w:rPr>
        <w:t>负责</w:t>
      </w:r>
      <w:r>
        <w:rPr>
          <w:rFonts w:hint="eastAsia" w:ascii="仿宋_GB2312" w:hAnsi="仿宋_GB2312" w:eastAsia="仿宋_GB2312" w:cs="仿宋_GB2312"/>
          <w:kern w:val="0"/>
          <w:sz w:val="32"/>
          <w:szCs w:val="32"/>
          <w:lang w:bidi="ar"/>
        </w:rPr>
        <w:t>与国（</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w:t>
      </w:r>
      <w:r>
        <w:rPr>
          <w:rFonts w:hint="eastAsia" w:ascii="仿宋_GB2312" w:hAnsi="仿宋_GB2312" w:eastAsia="仿宋_GB2312" w:cs="仿宋_GB2312"/>
          <w:kern w:val="0"/>
          <w:sz w:val="32"/>
          <w:szCs w:val="32"/>
          <w:lang w:bidi="ar"/>
        </w:rPr>
        <w:t>企业合作项目的制定、洽谈、实施；</w:t>
      </w:r>
      <w:r>
        <w:rPr>
          <w:rFonts w:ascii="仿宋_GB2312" w:hAnsi="仿宋_GB2312" w:eastAsia="仿宋_GB2312" w:cs="仿宋_GB2312"/>
          <w:kern w:val="0"/>
          <w:sz w:val="32"/>
          <w:szCs w:val="32"/>
          <w:lang w:bidi="ar"/>
        </w:rPr>
        <w:t>输送学生到国</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外实习</w:t>
      </w:r>
      <w:r>
        <w:rPr>
          <w:rFonts w:hint="eastAsia" w:ascii="仿宋_GB2312" w:hAnsi="仿宋_GB2312" w:eastAsia="仿宋_GB2312" w:cs="仿宋_GB2312"/>
          <w:kern w:val="0"/>
          <w:sz w:val="32"/>
          <w:szCs w:val="32"/>
          <w:lang w:bidi="ar"/>
        </w:rPr>
        <w:t>、就业；</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（五）学生工作处：</w:t>
      </w:r>
      <w:r>
        <w:rPr>
          <w:rFonts w:ascii="仿宋_GB2312" w:hAnsi="仿宋_GB2312" w:eastAsia="仿宋_GB2312" w:cs="仿宋_GB2312"/>
          <w:kern w:val="0"/>
          <w:sz w:val="32"/>
          <w:szCs w:val="32"/>
          <w:lang w:bidi="ar"/>
        </w:rPr>
        <w:t>学生</w:t>
      </w:r>
      <w:r>
        <w:rPr>
          <w:rFonts w:hint="eastAsia" w:ascii="仿宋_GB2312" w:hAnsi="仿宋_GB2312" w:eastAsia="仿宋_GB2312" w:cs="仿宋_GB2312"/>
          <w:kern w:val="0"/>
          <w:sz w:val="32"/>
          <w:szCs w:val="32"/>
          <w:lang w:bidi="ar"/>
        </w:rPr>
        <w:t>赴国（</w:t>
      </w:r>
      <w:r>
        <w:rPr>
          <w:rFonts w:ascii="仿宋_GB2312" w:hAnsi="仿宋_GB2312" w:eastAsia="仿宋_GB2312" w:cs="仿宋_GB2312"/>
          <w:kern w:val="0"/>
          <w:sz w:val="32"/>
          <w:szCs w:val="32"/>
          <w:lang w:bidi="ar"/>
        </w:rPr>
        <w:t>境</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外学习</w:t>
      </w:r>
      <w:r>
        <w:rPr>
          <w:rFonts w:hint="eastAsia" w:ascii="仿宋_GB2312" w:hAnsi="仿宋_GB2312" w:eastAsia="仿宋_GB2312" w:cs="仿宋_GB2312"/>
          <w:kern w:val="0"/>
          <w:sz w:val="32"/>
          <w:szCs w:val="32"/>
          <w:lang w:bidi="ar"/>
        </w:rPr>
        <w:t>、交流活动人员的筛选、资格评定、协助国际交流处做好学生在境外学习的事务管理工作；</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w:t>
      </w:r>
      <w:r>
        <w:rPr>
          <w:rFonts w:ascii="仿宋_GB2312" w:hAnsi="仿宋_GB2312" w:eastAsia="仿宋_GB2312" w:cs="仿宋_GB2312"/>
          <w:kern w:val="0"/>
          <w:sz w:val="32"/>
          <w:szCs w:val="32"/>
          <w:lang w:bidi="ar"/>
        </w:rPr>
        <w:t>保卫处：负责安全保卫工作，监督管理</w:t>
      </w:r>
      <w:r>
        <w:rPr>
          <w:rFonts w:hint="eastAsia" w:ascii="仿宋_GB2312" w:hAnsi="仿宋_GB2312" w:eastAsia="仿宋_GB2312" w:cs="仿宋_GB2312"/>
          <w:kern w:val="0"/>
          <w:sz w:val="32"/>
          <w:szCs w:val="32"/>
          <w:lang w:bidi="ar"/>
        </w:rPr>
        <w:t>在我校的</w:t>
      </w:r>
      <w:r>
        <w:rPr>
          <w:rFonts w:ascii="仿宋_GB2312" w:hAnsi="仿宋_GB2312" w:eastAsia="仿宋_GB2312" w:cs="仿宋_GB2312"/>
          <w:kern w:val="0"/>
          <w:sz w:val="32"/>
          <w:szCs w:val="32"/>
          <w:lang w:bidi="ar"/>
        </w:rPr>
        <w:t>国（境）外专家、学者</w:t>
      </w:r>
      <w:r>
        <w:rPr>
          <w:rFonts w:hint="eastAsia" w:ascii="仿宋_GB2312" w:hAnsi="仿宋_GB2312" w:eastAsia="仿宋_GB2312" w:cs="仿宋_GB2312"/>
          <w:kern w:val="0"/>
          <w:sz w:val="32"/>
          <w:szCs w:val="32"/>
          <w:lang w:bidi="ar"/>
        </w:rPr>
        <w:t>、留学生</w:t>
      </w:r>
      <w:r>
        <w:rPr>
          <w:rFonts w:ascii="仿宋_GB2312" w:hAnsi="仿宋_GB2312" w:eastAsia="仿宋_GB2312" w:cs="仿宋_GB2312"/>
          <w:kern w:val="0"/>
          <w:sz w:val="32"/>
          <w:szCs w:val="32"/>
          <w:lang w:bidi="ar"/>
        </w:rPr>
        <w:t>等遵守我国法律、法规情况；做好非中国籍人员的户籍管理</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（七）</w:t>
      </w:r>
      <w:r>
        <w:rPr>
          <w:rFonts w:ascii="仿宋_GB2312" w:hAnsi="仿宋_GB2312" w:eastAsia="仿宋_GB2312" w:cs="仿宋_GB2312"/>
          <w:kern w:val="0"/>
          <w:sz w:val="32"/>
          <w:szCs w:val="32"/>
          <w:lang w:bidi="ar"/>
        </w:rPr>
        <w:t>财务</w:t>
      </w:r>
      <w:r>
        <w:rPr>
          <w:rFonts w:hint="eastAsia" w:ascii="仿宋_GB2312" w:hAnsi="仿宋_GB2312" w:eastAsia="仿宋_GB2312" w:cs="仿宋_GB2312"/>
          <w:kern w:val="0"/>
          <w:sz w:val="32"/>
          <w:szCs w:val="32"/>
          <w:lang w:bidi="ar"/>
        </w:rPr>
        <w:t>处</w:t>
      </w:r>
      <w:r>
        <w:rPr>
          <w:rFonts w:ascii="仿宋_GB2312" w:hAnsi="仿宋_GB2312" w:eastAsia="仿宋_GB2312" w:cs="仿宋_GB2312"/>
          <w:kern w:val="0"/>
          <w:sz w:val="32"/>
          <w:szCs w:val="32"/>
          <w:lang w:bidi="ar"/>
        </w:rPr>
        <w:t>负责外事经费</w:t>
      </w:r>
      <w:r>
        <w:rPr>
          <w:rFonts w:hint="eastAsia" w:ascii="仿宋_GB2312" w:hAnsi="仿宋_GB2312" w:eastAsia="仿宋_GB2312" w:cs="仿宋_GB2312"/>
          <w:kern w:val="0"/>
          <w:sz w:val="32"/>
          <w:szCs w:val="32"/>
          <w:lang w:bidi="ar"/>
        </w:rPr>
        <w:t>的执行管理；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（八）</w:t>
      </w:r>
      <w:r>
        <w:rPr>
          <w:rFonts w:ascii="仿宋_GB2312" w:hAnsi="仿宋_GB2312" w:eastAsia="仿宋_GB2312" w:cs="仿宋_GB2312"/>
          <w:kern w:val="0"/>
          <w:sz w:val="32"/>
          <w:szCs w:val="32"/>
          <w:lang w:bidi="ar"/>
        </w:rPr>
        <w:t>纪检监察</w:t>
      </w:r>
      <w:r>
        <w:rPr>
          <w:rFonts w:hint="eastAsia" w:ascii="仿宋_GB2312" w:hAnsi="仿宋_GB2312" w:eastAsia="仿宋_GB2312" w:cs="仿宋_GB2312"/>
          <w:kern w:val="0"/>
          <w:sz w:val="32"/>
          <w:szCs w:val="32"/>
          <w:lang w:bidi="ar"/>
        </w:rPr>
        <w:t>室</w:t>
      </w:r>
      <w:r>
        <w:rPr>
          <w:rFonts w:ascii="仿宋_GB2312" w:hAnsi="仿宋_GB2312" w:eastAsia="仿宋_GB2312" w:cs="仿宋_GB2312"/>
          <w:kern w:val="0"/>
          <w:sz w:val="32"/>
          <w:szCs w:val="32"/>
          <w:lang w:bidi="ar"/>
        </w:rPr>
        <w:t>负责因公临时出国纪律检查和监督工作</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（九）党委</w:t>
      </w:r>
      <w:r>
        <w:rPr>
          <w:rFonts w:ascii="仿宋_GB2312" w:hAnsi="仿宋_GB2312" w:eastAsia="仿宋_GB2312" w:cs="仿宋_GB2312"/>
          <w:kern w:val="0"/>
          <w:sz w:val="32"/>
          <w:szCs w:val="32"/>
          <w:lang w:bidi="ar"/>
        </w:rPr>
        <w:t>宣传部负责国（境）外国专家、学者来我校</w:t>
      </w:r>
      <w:r>
        <w:rPr>
          <w:rFonts w:hint="eastAsia" w:ascii="仿宋_GB2312" w:hAnsi="仿宋_GB2312" w:eastAsia="仿宋_GB2312" w:cs="仿宋_GB2312"/>
          <w:kern w:val="0"/>
          <w:sz w:val="32"/>
          <w:szCs w:val="32"/>
          <w:lang w:bidi="ar"/>
        </w:rPr>
        <w:t>开展</w:t>
      </w:r>
      <w:r>
        <w:rPr>
          <w:rFonts w:ascii="仿宋_GB2312" w:hAnsi="仿宋_GB2312" w:eastAsia="仿宋_GB2312" w:cs="仿宋_GB2312"/>
          <w:kern w:val="0"/>
          <w:sz w:val="32"/>
          <w:szCs w:val="32"/>
          <w:lang w:bidi="ar"/>
        </w:rPr>
        <w:t>学术报告</w:t>
      </w:r>
      <w:r>
        <w:rPr>
          <w:rFonts w:hint="eastAsia" w:ascii="仿宋_GB2312" w:hAnsi="仿宋_GB2312" w:eastAsia="仿宋_GB2312" w:cs="仿宋_GB2312"/>
          <w:kern w:val="0"/>
          <w:sz w:val="32"/>
          <w:szCs w:val="32"/>
          <w:lang w:bidi="ar"/>
        </w:rPr>
        <w:t>及</w:t>
      </w:r>
      <w:r>
        <w:rPr>
          <w:rFonts w:ascii="仿宋_GB2312" w:hAnsi="仿宋_GB2312" w:eastAsia="仿宋_GB2312" w:cs="仿宋_GB2312"/>
          <w:kern w:val="0"/>
          <w:sz w:val="32"/>
          <w:szCs w:val="32"/>
          <w:lang w:bidi="ar"/>
        </w:rPr>
        <w:t>培训讲座</w:t>
      </w:r>
      <w:r>
        <w:rPr>
          <w:rFonts w:hint="eastAsia" w:ascii="仿宋_GB2312" w:hAnsi="仿宋_GB2312" w:eastAsia="仿宋_GB2312" w:cs="仿宋_GB2312"/>
          <w:kern w:val="0"/>
          <w:sz w:val="32"/>
          <w:szCs w:val="32"/>
          <w:lang w:bidi="ar"/>
        </w:rPr>
        <w:t>的审批工作。</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 xml:space="preserve">第三章  </w:t>
      </w:r>
      <w:r>
        <w:rPr>
          <w:rFonts w:hint="eastAsia" w:ascii="黑体" w:hAnsi="仿宋_GB2312" w:eastAsia="黑体" w:cs="仿宋_GB2312"/>
          <w:b/>
          <w:kern w:val="0"/>
          <w:sz w:val="32"/>
          <w:szCs w:val="32"/>
          <w:lang w:bidi="ar"/>
        </w:rPr>
        <w:t>外事工作</w:t>
      </w:r>
      <w:r>
        <w:rPr>
          <w:rFonts w:ascii="黑体" w:hAnsi="仿宋_GB2312" w:eastAsia="黑体" w:cs="仿宋_GB2312"/>
          <w:b/>
          <w:kern w:val="0"/>
          <w:sz w:val="32"/>
          <w:szCs w:val="32"/>
          <w:lang w:bidi="ar"/>
        </w:rPr>
        <w:t>管理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六</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外籍专家教师的邀请（聘请）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各部门</w:t>
      </w:r>
      <w:r>
        <w:rPr>
          <w:rFonts w:hint="eastAsia" w:ascii="仿宋_GB2312" w:hAnsi="仿宋_GB2312" w:eastAsia="仿宋_GB2312" w:cs="仿宋_GB2312"/>
          <w:kern w:val="0"/>
          <w:sz w:val="32"/>
          <w:szCs w:val="32"/>
          <w:lang w:bidi="ar"/>
        </w:rPr>
        <w:t>（二级学院）</w:t>
      </w:r>
      <w:r>
        <w:rPr>
          <w:rFonts w:ascii="仿宋_GB2312" w:hAnsi="仿宋_GB2312" w:eastAsia="仿宋_GB2312" w:cs="仿宋_GB2312"/>
          <w:kern w:val="0"/>
          <w:sz w:val="32"/>
          <w:szCs w:val="32"/>
          <w:lang w:bidi="ar"/>
        </w:rPr>
        <w:t>应于每年</w:t>
      </w:r>
      <w:r>
        <w:rPr>
          <w:rFonts w:hint="eastAsia" w:ascii="仿宋_GB2312" w:hAnsi="仿宋_GB2312" w:eastAsia="仿宋_GB2312" w:cs="仿宋_GB2312"/>
          <w:kern w:val="0"/>
          <w:sz w:val="32"/>
          <w:szCs w:val="32"/>
          <w:lang w:bidi="ar"/>
        </w:rPr>
        <w:t>6月份提交</w:t>
      </w:r>
      <w:r>
        <w:rPr>
          <w:rFonts w:ascii="仿宋_GB2312" w:hAnsi="仿宋_GB2312" w:eastAsia="仿宋_GB2312" w:cs="仿宋_GB2312"/>
          <w:kern w:val="0"/>
          <w:sz w:val="32"/>
          <w:szCs w:val="32"/>
          <w:lang w:bidi="ar"/>
        </w:rPr>
        <w:t>下一年邀请</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聘请</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外籍专家教师</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计划报到</w:t>
      </w:r>
      <w:r>
        <w:rPr>
          <w:rFonts w:hint="eastAsia" w:ascii="仿宋_GB2312" w:hAnsi="仿宋_GB2312" w:eastAsia="仿宋_GB2312" w:cs="仿宋_GB2312"/>
          <w:kern w:val="0"/>
          <w:sz w:val="32"/>
          <w:szCs w:val="32"/>
          <w:lang w:bidi="ar"/>
        </w:rPr>
        <w:t>教务与实训管理</w:t>
      </w:r>
      <w:r>
        <w:rPr>
          <w:rFonts w:ascii="仿宋_GB2312" w:hAnsi="仿宋_GB2312" w:eastAsia="仿宋_GB2312" w:cs="仿宋_GB2312"/>
          <w:kern w:val="0"/>
          <w:sz w:val="32"/>
          <w:szCs w:val="32"/>
          <w:lang w:bidi="ar"/>
        </w:rPr>
        <w:t>处，由</w:t>
      </w:r>
      <w:r>
        <w:rPr>
          <w:rFonts w:hint="eastAsia" w:ascii="仿宋_GB2312" w:hAnsi="仿宋_GB2312" w:eastAsia="仿宋_GB2312" w:cs="仿宋_GB2312"/>
          <w:kern w:val="0"/>
          <w:sz w:val="32"/>
          <w:szCs w:val="32"/>
          <w:lang w:bidi="ar"/>
        </w:rPr>
        <w:t>教务与实训管理处审核汇总</w:t>
      </w:r>
      <w:r>
        <w:rPr>
          <w:rFonts w:ascii="仿宋_GB2312" w:hAnsi="仿宋_GB2312" w:eastAsia="仿宋_GB2312" w:cs="仿宋_GB2312"/>
          <w:kern w:val="0"/>
          <w:sz w:val="32"/>
          <w:szCs w:val="32"/>
          <w:lang w:bidi="ar"/>
        </w:rPr>
        <w:t>后报</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，经</w:t>
      </w:r>
      <w:r>
        <w:rPr>
          <w:rFonts w:hint="eastAsia" w:ascii="仿宋_GB2312" w:hAnsi="仿宋_GB2312" w:eastAsia="仿宋_GB2312" w:cs="仿宋_GB2312"/>
          <w:kern w:val="0"/>
          <w:sz w:val="32"/>
          <w:szCs w:val="32"/>
          <w:lang w:bidi="ar"/>
        </w:rPr>
        <w:t>校务</w:t>
      </w:r>
      <w:r>
        <w:rPr>
          <w:rFonts w:ascii="仿宋_GB2312" w:hAnsi="仿宋_GB2312" w:eastAsia="仿宋_GB2312" w:cs="仿宋_GB2312"/>
          <w:kern w:val="0"/>
          <w:sz w:val="32"/>
          <w:szCs w:val="32"/>
          <w:lang w:bidi="ar"/>
        </w:rPr>
        <w:t>会审批同意</w:t>
      </w:r>
      <w:r>
        <w:rPr>
          <w:rFonts w:hint="eastAsia" w:ascii="仿宋_GB2312" w:hAnsi="仿宋_GB2312" w:eastAsia="仿宋_GB2312" w:cs="仿宋_GB2312"/>
          <w:kern w:val="0"/>
          <w:sz w:val="32"/>
          <w:szCs w:val="32"/>
          <w:lang w:bidi="ar"/>
        </w:rPr>
        <w:t>后，</w:t>
      </w:r>
      <w:r>
        <w:rPr>
          <w:rFonts w:ascii="仿宋_GB2312" w:hAnsi="仿宋_GB2312" w:eastAsia="仿宋_GB2312" w:cs="仿宋_GB2312"/>
          <w:kern w:val="0"/>
          <w:sz w:val="32"/>
          <w:szCs w:val="32"/>
          <w:lang w:bidi="ar"/>
        </w:rPr>
        <w:t>相关部门需</w:t>
      </w:r>
      <w:r>
        <w:rPr>
          <w:rFonts w:hint="eastAsia" w:ascii="仿宋_GB2312" w:hAnsi="仿宋_GB2312" w:eastAsia="仿宋_GB2312" w:cs="仿宋_GB2312"/>
          <w:kern w:val="0"/>
          <w:sz w:val="32"/>
          <w:szCs w:val="32"/>
          <w:lang w:bidi="ar"/>
        </w:rPr>
        <w:t>至少</w:t>
      </w:r>
      <w:r>
        <w:rPr>
          <w:rFonts w:ascii="仿宋_GB2312" w:hAnsi="仿宋_GB2312" w:eastAsia="仿宋_GB2312" w:cs="仿宋_GB2312"/>
          <w:kern w:val="0"/>
          <w:sz w:val="32"/>
          <w:szCs w:val="32"/>
          <w:lang w:bidi="ar"/>
        </w:rPr>
        <w:t>提前</w:t>
      </w:r>
      <w:r>
        <w:rPr>
          <w:rFonts w:hint="eastAsia" w:ascii="仿宋_GB2312" w:hAnsi="仿宋_GB2312" w:eastAsia="仿宋_GB2312" w:cs="仿宋_GB2312"/>
          <w:kern w:val="0"/>
          <w:sz w:val="32"/>
          <w:szCs w:val="32"/>
          <w:lang w:bidi="ar"/>
        </w:rPr>
        <w:t>三</w:t>
      </w:r>
      <w:r>
        <w:rPr>
          <w:rFonts w:ascii="仿宋_GB2312" w:hAnsi="仿宋_GB2312" w:eastAsia="仿宋_GB2312" w:cs="仿宋_GB2312"/>
          <w:kern w:val="0"/>
          <w:sz w:val="32"/>
          <w:szCs w:val="32"/>
          <w:lang w:bidi="ar"/>
        </w:rPr>
        <w:t>个月提供外籍专家教师相关资料，报上级主管部门审批。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第七条</w:t>
      </w:r>
      <w:r>
        <w:rPr>
          <w:rFonts w:hint="eastAsia" w:ascii="仿宋_GB2312" w:hAnsi="仿宋_GB2312" w:eastAsia="仿宋_GB2312" w:cs="仿宋_GB2312"/>
          <w:b/>
          <w:kern w:val="0"/>
          <w:sz w:val="32"/>
          <w:szCs w:val="32"/>
          <w:lang w:bidi="ar"/>
        </w:rPr>
        <w:t xml:space="preserve">  </w:t>
      </w:r>
      <w:r>
        <w:rPr>
          <w:rFonts w:ascii="仿宋_GB2312" w:hAnsi="仿宋_GB2312" w:eastAsia="仿宋_GB2312" w:cs="仿宋_GB2312"/>
          <w:kern w:val="0"/>
          <w:sz w:val="32"/>
          <w:szCs w:val="32"/>
          <w:lang w:bidi="ar"/>
        </w:rPr>
        <w:t>因公出国（境）</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w:t>
      </w:r>
      <w:r>
        <w:rPr>
          <w:rFonts w:ascii="仿宋_GB2312" w:hAnsi="仿宋_GB2312" w:eastAsia="仿宋_GB2312" w:cs="仿宋_GB2312"/>
          <w:kern w:val="0"/>
          <w:sz w:val="32"/>
          <w:szCs w:val="32"/>
          <w:lang w:bidi="ar"/>
        </w:rPr>
        <w:t>因公出国（境）应由学</w:t>
      </w:r>
      <w:r>
        <w:rPr>
          <w:rFonts w:hint="eastAsia" w:ascii="仿宋_GB2312" w:hAnsi="仿宋_GB2312" w:eastAsia="仿宋_GB2312" w:cs="仿宋_GB2312"/>
          <w:kern w:val="0"/>
          <w:sz w:val="32"/>
          <w:szCs w:val="32"/>
          <w:lang w:bidi="ar"/>
        </w:rPr>
        <w:t>校校务会</w:t>
      </w:r>
      <w:r>
        <w:rPr>
          <w:rFonts w:ascii="仿宋_GB2312" w:hAnsi="仿宋_GB2312" w:eastAsia="仿宋_GB2312" w:cs="仿宋_GB2312"/>
          <w:kern w:val="0"/>
          <w:sz w:val="32"/>
          <w:szCs w:val="32"/>
          <w:lang w:bidi="ar"/>
        </w:rPr>
        <w:t>讨论决定</w:t>
      </w:r>
      <w:r>
        <w:rPr>
          <w:rFonts w:hint="eastAsia" w:ascii="仿宋_GB2312" w:hAnsi="仿宋_GB2312" w:eastAsia="仿宋_GB2312" w:cs="仿宋_GB2312"/>
          <w:kern w:val="0"/>
          <w:sz w:val="32"/>
          <w:szCs w:val="32"/>
          <w:lang w:bidi="ar"/>
        </w:rPr>
        <w:t>并按规定在校内公示</w:t>
      </w:r>
      <w:r>
        <w:rPr>
          <w:rFonts w:ascii="仿宋_GB2312" w:hAnsi="仿宋_GB2312" w:eastAsia="仿宋_GB2312" w:cs="仿宋_GB2312"/>
          <w:kern w:val="0"/>
          <w:sz w:val="32"/>
          <w:szCs w:val="32"/>
          <w:lang w:bidi="ar"/>
        </w:rPr>
        <w:t>。学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同意派出的因公出国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团组或个人，须将全部邀请材料备齐，</w:t>
      </w:r>
      <w:r>
        <w:rPr>
          <w:rFonts w:hint="eastAsia" w:ascii="仿宋_GB2312" w:hAnsi="仿宋_GB2312" w:eastAsia="仿宋_GB2312" w:cs="仿宋_GB2312"/>
          <w:kern w:val="0"/>
          <w:sz w:val="32"/>
          <w:szCs w:val="32"/>
          <w:lang w:bidi="ar"/>
        </w:rPr>
        <w:t>详细陈述出国（境）的理由、目的和意义、日程安排以及经费来源等，并将材料</w:t>
      </w:r>
      <w:r>
        <w:rPr>
          <w:rFonts w:ascii="仿宋_GB2312" w:hAnsi="仿宋_GB2312" w:eastAsia="仿宋_GB2312" w:cs="仿宋_GB2312"/>
          <w:kern w:val="0"/>
          <w:sz w:val="32"/>
          <w:szCs w:val="32"/>
          <w:lang w:bidi="ar"/>
        </w:rPr>
        <w:t>提前两个月交到</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由国际交流处负责</w:t>
      </w:r>
      <w:r>
        <w:rPr>
          <w:rFonts w:ascii="仿宋_GB2312" w:hAnsi="仿宋_GB2312" w:eastAsia="仿宋_GB2312" w:cs="仿宋_GB2312"/>
          <w:kern w:val="0"/>
          <w:sz w:val="32"/>
          <w:szCs w:val="32"/>
          <w:lang w:bidi="ar"/>
        </w:rPr>
        <w:t>办理</w:t>
      </w:r>
      <w:r>
        <w:rPr>
          <w:rFonts w:hint="eastAsia" w:ascii="仿宋_GB2312" w:hAnsi="仿宋_GB2312" w:eastAsia="仿宋_GB2312" w:cs="仿宋_GB2312"/>
          <w:kern w:val="0"/>
          <w:sz w:val="32"/>
          <w:szCs w:val="32"/>
          <w:lang w:bidi="ar"/>
        </w:rPr>
        <w:t>校内外的各类外事审核、</w:t>
      </w:r>
      <w:r>
        <w:rPr>
          <w:rFonts w:ascii="仿宋_GB2312" w:hAnsi="仿宋_GB2312" w:eastAsia="仿宋_GB2312" w:cs="仿宋_GB2312"/>
          <w:kern w:val="0"/>
          <w:sz w:val="32"/>
          <w:szCs w:val="32"/>
          <w:lang w:bidi="ar"/>
        </w:rPr>
        <w:t>申报护照、签证等相关手续</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w:t>
      </w:r>
      <w:r>
        <w:rPr>
          <w:rFonts w:ascii="仿宋_GB2312" w:hAnsi="仿宋_GB2312" w:eastAsia="仿宋_GB2312" w:cs="仿宋_GB2312"/>
          <w:kern w:val="0"/>
          <w:sz w:val="32"/>
          <w:szCs w:val="32"/>
          <w:lang w:bidi="ar"/>
        </w:rPr>
        <w:t>申报材料必须理由充分、任务必要，派员身份恰当、期限适宜、费用落实、符合国家出国规定</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w:t>
      </w:r>
      <w:r>
        <w:rPr>
          <w:rFonts w:ascii="仿宋_GB2312" w:hAnsi="仿宋_GB2312" w:eastAsia="仿宋_GB2312" w:cs="仿宋_GB2312"/>
          <w:kern w:val="0"/>
          <w:sz w:val="32"/>
          <w:szCs w:val="32"/>
          <w:lang w:bidi="ar"/>
        </w:rPr>
        <w:t>因公派出人员出国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前应到</w:t>
      </w:r>
      <w:r>
        <w:rPr>
          <w:rFonts w:hint="eastAsia" w:ascii="仿宋_GB2312" w:hAnsi="仿宋_GB2312" w:eastAsia="仿宋_GB2312" w:cs="仿宋_GB2312"/>
          <w:kern w:val="0"/>
          <w:sz w:val="32"/>
          <w:szCs w:val="32"/>
          <w:lang w:bidi="ar"/>
        </w:rPr>
        <w:t>党委</w:t>
      </w:r>
      <w:r>
        <w:rPr>
          <w:rFonts w:ascii="仿宋_GB2312" w:hAnsi="仿宋_GB2312" w:eastAsia="仿宋_GB2312" w:cs="仿宋_GB2312"/>
          <w:kern w:val="0"/>
          <w:sz w:val="32"/>
          <w:szCs w:val="32"/>
          <w:lang w:bidi="ar"/>
        </w:rPr>
        <w:t>组织</w:t>
      </w:r>
      <w:r>
        <w:rPr>
          <w:rFonts w:hint="eastAsia" w:ascii="仿宋_GB2312" w:hAnsi="仿宋_GB2312" w:eastAsia="仿宋_GB2312" w:cs="仿宋_GB2312"/>
          <w:kern w:val="0"/>
          <w:sz w:val="32"/>
          <w:szCs w:val="32"/>
          <w:lang w:bidi="ar"/>
        </w:rPr>
        <w:t>部、统战部、</w:t>
      </w:r>
      <w:r>
        <w:rPr>
          <w:rFonts w:ascii="仿宋_GB2312" w:hAnsi="仿宋_GB2312" w:eastAsia="仿宋_GB2312" w:cs="仿宋_GB2312"/>
          <w:kern w:val="0"/>
          <w:sz w:val="32"/>
          <w:szCs w:val="32"/>
          <w:lang w:bidi="ar"/>
        </w:rPr>
        <w:t>人事处和</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办理相关手续。</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八</w:t>
      </w:r>
      <w:r>
        <w:rPr>
          <w:rFonts w:ascii="仿宋_GB2312" w:hAnsi="仿宋_GB2312" w:eastAsia="仿宋_GB2312" w:cs="仿宋_GB2312"/>
          <w:b/>
          <w:kern w:val="0"/>
          <w:sz w:val="32"/>
          <w:szCs w:val="32"/>
          <w:lang w:bidi="ar"/>
        </w:rPr>
        <w:t xml:space="preserve">条 </w:t>
      </w:r>
      <w:r>
        <w:rPr>
          <w:rFonts w:ascii="仿宋_GB2312" w:hAnsi="仿宋_GB2312" w:eastAsia="仿宋_GB2312" w:cs="仿宋_GB2312"/>
          <w:kern w:val="0"/>
          <w:sz w:val="32"/>
          <w:szCs w:val="32"/>
          <w:lang w:bidi="ar"/>
        </w:rPr>
        <w:t xml:space="preserve"> 外事活动报告备案</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校属各部门（二级学院）</w:t>
      </w:r>
      <w:r>
        <w:rPr>
          <w:rFonts w:ascii="仿宋_GB2312" w:hAnsi="仿宋_GB2312" w:eastAsia="仿宋_GB2312" w:cs="仿宋_GB2312"/>
          <w:kern w:val="0"/>
          <w:sz w:val="32"/>
          <w:szCs w:val="32"/>
          <w:lang w:bidi="ar"/>
        </w:rPr>
        <w:t>是拓展对外交流活动、推</w:t>
      </w:r>
      <w:r>
        <w:rPr>
          <w:rFonts w:hint="eastAsia" w:ascii="仿宋_GB2312" w:hAnsi="仿宋_GB2312" w:eastAsia="仿宋_GB2312" w:cs="仿宋_GB2312"/>
          <w:kern w:val="0"/>
          <w:sz w:val="32"/>
          <w:szCs w:val="32"/>
          <w:lang w:bidi="ar"/>
        </w:rPr>
        <w:t>进</w:t>
      </w:r>
      <w:r>
        <w:rPr>
          <w:rFonts w:ascii="仿宋_GB2312" w:hAnsi="仿宋_GB2312" w:eastAsia="仿宋_GB2312" w:cs="仿宋_GB2312"/>
          <w:kern w:val="0"/>
          <w:sz w:val="32"/>
          <w:szCs w:val="32"/>
          <w:lang w:bidi="ar"/>
        </w:rPr>
        <w:t>国际化办学的基础，也是贯彻执行国际交流发展规划的主体。鉴于外事工作的特殊性，必须坚持各类外事活动报告备案制。各项对外交流事宜均需事先请示，事后报告，由</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根据实际情况提交党委会或有关上级主管部门审核报批或备案。</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九</w:t>
      </w:r>
      <w:r>
        <w:rPr>
          <w:rFonts w:ascii="仿宋_GB2312" w:hAnsi="仿宋_GB2312" w:eastAsia="仿宋_GB2312" w:cs="仿宋_GB2312"/>
          <w:b/>
          <w:kern w:val="0"/>
          <w:sz w:val="32"/>
          <w:szCs w:val="32"/>
          <w:lang w:bidi="ar"/>
        </w:rPr>
        <w:t>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外事工作总结、外事档案管理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国际交流处负责</w:t>
      </w:r>
      <w:r>
        <w:rPr>
          <w:rFonts w:ascii="仿宋_GB2312" w:hAnsi="仿宋_GB2312" w:eastAsia="仿宋_GB2312" w:cs="仿宋_GB2312"/>
          <w:kern w:val="0"/>
          <w:sz w:val="32"/>
          <w:szCs w:val="32"/>
          <w:lang w:bidi="ar"/>
        </w:rPr>
        <w:t>建立学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外事档案，做好外事工作总结。因公出国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人员</w:t>
      </w:r>
      <w:r>
        <w:rPr>
          <w:rFonts w:hint="eastAsia" w:ascii="仿宋_GB2312" w:hAnsi="仿宋_GB2312" w:eastAsia="仿宋_GB2312" w:cs="仿宋_GB2312"/>
          <w:kern w:val="0"/>
          <w:sz w:val="32"/>
          <w:szCs w:val="32"/>
          <w:lang w:bidi="ar"/>
        </w:rPr>
        <w:t>应在</w:t>
      </w:r>
      <w:r>
        <w:rPr>
          <w:rFonts w:ascii="仿宋_GB2312" w:hAnsi="仿宋_GB2312" w:eastAsia="仿宋_GB2312" w:cs="仿宋_GB2312"/>
          <w:kern w:val="0"/>
          <w:sz w:val="32"/>
          <w:szCs w:val="32"/>
          <w:lang w:bidi="ar"/>
        </w:rPr>
        <w:t>归国后</w:t>
      </w:r>
      <w:r>
        <w:rPr>
          <w:rFonts w:hint="eastAsia" w:ascii="仿宋_GB2312" w:hAnsi="仿宋_GB2312" w:eastAsia="仿宋_GB2312" w:cs="仿宋_GB2312"/>
          <w:kern w:val="0"/>
          <w:sz w:val="32"/>
          <w:szCs w:val="32"/>
          <w:lang w:bidi="ar"/>
        </w:rPr>
        <w:t>5日</w:t>
      </w:r>
      <w:r>
        <w:rPr>
          <w:rFonts w:ascii="仿宋_GB2312" w:hAnsi="仿宋_GB2312" w:eastAsia="仿宋_GB2312" w:cs="仿宋_GB2312"/>
          <w:kern w:val="0"/>
          <w:sz w:val="32"/>
          <w:szCs w:val="32"/>
          <w:lang w:bidi="ar"/>
        </w:rPr>
        <w:t>内将总结、具有保存价值的文字图表及声像载体材料上交</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归档，</w:t>
      </w:r>
      <w:r>
        <w:rPr>
          <w:rFonts w:hint="eastAsia" w:ascii="仿宋_GB2312" w:hAnsi="仿宋_GB2312" w:eastAsia="仿宋_GB2312" w:cs="仿宋_GB2312"/>
          <w:kern w:val="0"/>
          <w:sz w:val="32"/>
          <w:szCs w:val="32"/>
          <w:lang w:bidi="ar"/>
        </w:rPr>
        <w:t>由国际交流处归档后上交学校集中统一管理，</w:t>
      </w:r>
      <w:r>
        <w:rPr>
          <w:rFonts w:ascii="仿宋_GB2312" w:hAnsi="仿宋_GB2312" w:eastAsia="仿宋_GB2312" w:cs="仿宋_GB2312"/>
          <w:kern w:val="0"/>
          <w:sz w:val="32"/>
          <w:szCs w:val="32"/>
          <w:lang w:bidi="ar"/>
        </w:rPr>
        <w:t>确保完整、系统，以便开发利用。相关部门要作好年度的外事活动情况总结，并上报</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第四章  外事纪律</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第十条</w:t>
      </w:r>
      <w:r>
        <w:rPr>
          <w:rFonts w:ascii="仿宋_GB2312" w:hAnsi="仿宋_GB2312" w:eastAsia="仿宋_GB2312" w:cs="仿宋_GB2312"/>
          <w:kern w:val="0"/>
          <w:sz w:val="32"/>
          <w:szCs w:val="32"/>
          <w:lang w:bidi="ar"/>
        </w:rPr>
        <w:t xml:space="preserve">  认真贯彻执行国家对外方针政策和涉外法规，维护祖国和民族的尊严。</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第十一条</w:t>
      </w:r>
      <w:r>
        <w:rPr>
          <w:rFonts w:ascii="仿宋_GB2312" w:hAnsi="仿宋_GB2312" w:eastAsia="仿宋_GB2312" w:cs="仿宋_GB2312"/>
          <w:kern w:val="0"/>
          <w:sz w:val="32"/>
          <w:szCs w:val="32"/>
          <w:lang w:bidi="ar"/>
        </w:rPr>
        <w:t xml:space="preserve">  严格遵守国家政策、法律、外事纪律，严格保守党和国家的机密，防止在涉外活动或国际通讯中泄露密级资料、丢失密级文件。</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第十二条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各部门（二级学院）开展所有涉外项目，包括但不限于，对外交流与合作项目，国（境）外出访交流与培训，邀请外籍人士来校访问，聘请外籍人士到校进行讲座或讲学活动，学生、教师赴国（境）外实习实训或挂职等，均需上报国际交流处备案，并视情况报校务会审批。未经批准，任何单位和个人不得聘请和安排外籍人士到校内参加工作、学习和活动，不得安排外籍专家和留学生从事正常教学计划以外的职业或其它活动。</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第十三条</w:t>
      </w:r>
      <w:r>
        <w:rPr>
          <w:rFonts w:ascii="仿宋_GB2312" w:hAnsi="仿宋_GB2312" w:eastAsia="仿宋_GB2312" w:cs="仿宋_GB2312"/>
          <w:kern w:val="0"/>
          <w:sz w:val="32"/>
          <w:szCs w:val="32"/>
          <w:lang w:bidi="ar"/>
        </w:rPr>
        <w:t xml:space="preserve">  在申办因公出国签证过程中，出国人员个人不得自行与外国驻华使馆联系，不得自行或自行委托其他中、外机构和人员申办、查询、领取签证。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第十四条</w:t>
      </w:r>
      <w:r>
        <w:rPr>
          <w:rFonts w:ascii="仿宋_GB2312" w:hAnsi="仿宋_GB2312" w:eastAsia="仿宋_GB2312" w:cs="仿宋_GB2312"/>
          <w:kern w:val="0"/>
          <w:sz w:val="32"/>
          <w:szCs w:val="32"/>
          <w:lang w:bidi="ar"/>
        </w:rPr>
        <w:t xml:space="preserve">  因公临时出国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人员要选择经济合理的路线，乘坐中国民航班机，并尽可能购买往返机票。出国团组的结余经费应上缴，违反规定的超支经费由个人自理。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因公出国（境）人员须严格按任务批件所批准的天数、国家在外执行公务，不得超期在外停留或绕道非审批国家。违者将按《中国共产党纪律处分条例》予以警告或严重警告处分</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第十六条</w:t>
      </w:r>
      <w:r>
        <w:rPr>
          <w:rFonts w:ascii="仿宋_GB2312" w:hAnsi="仿宋_GB2312" w:eastAsia="仿宋_GB2312" w:cs="仿宋_GB2312"/>
          <w:kern w:val="0"/>
          <w:sz w:val="32"/>
          <w:szCs w:val="32"/>
          <w:lang w:bidi="ar"/>
        </w:rPr>
        <w:t xml:space="preserve">  因公或因私出国人员出国前要认真学习法律法规和外事纪律，在境外均应遵守所在国家和地区的法律法规，尊重当地风俗习惯。</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第十七条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因公出国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人员须在</w:t>
      </w:r>
      <w:r>
        <w:rPr>
          <w:rFonts w:hint="eastAsia" w:ascii="仿宋_GB2312" w:hAnsi="仿宋_GB2312" w:eastAsia="仿宋_GB2312" w:cs="仿宋_GB2312"/>
          <w:kern w:val="0"/>
          <w:sz w:val="32"/>
          <w:szCs w:val="32"/>
          <w:lang w:bidi="ar"/>
        </w:rPr>
        <w:t>回国5日内将公务护照（通行证）和经团长签字的出访总结报告交国际交流处，由国际交流处报外事主管部门备案。逾期不交的，将予停办一定时期的出国申请。</w:t>
      </w:r>
      <w:r>
        <w:rPr>
          <w:rFonts w:ascii="仿宋_GB2312" w:hAnsi="仿宋_GB2312" w:eastAsia="仿宋_GB2312" w:cs="仿宋_GB2312"/>
          <w:kern w:val="0"/>
          <w:sz w:val="32"/>
          <w:szCs w:val="32"/>
          <w:lang w:bidi="ar"/>
        </w:rPr>
        <w:t>严禁使用护照办理其它事宜。</w:t>
      </w:r>
      <w:r>
        <w:rPr>
          <w:rFonts w:hint="eastAsia" w:ascii="仿宋_GB2312" w:hAnsi="仿宋_GB2312" w:eastAsia="仿宋_GB2312" w:cs="仿宋_GB2312"/>
          <w:kern w:val="0"/>
          <w:sz w:val="32"/>
          <w:szCs w:val="32"/>
          <w:lang w:bidi="ar"/>
        </w:rPr>
        <w:t>证照遗失的，应在遗失之日起2个工作日内向自治区外办报失，未按规定限时报失的，将予停办出国申请。</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第十八条</w:t>
      </w:r>
      <w:r>
        <w:rPr>
          <w:rFonts w:ascii="仿宋_GB2312" w:hAnsi="仿宋_GB2312" w:eastAsia="仿宋_GB2312" w:cs="仿宋_GB2312"/>
          <w:kern w:val="0"/>
          <w:sz w:val="32"/>
          <w:szCs w:val="32"/>
          <w:lang w:bidi="ar"/>
        </w:rPr>
        <w:t xml:space="preserve">  因公出国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组团在境外如发生人员滞留不归等重大事件，应及时报告，并提交书面材料，由</w:t>
      </w:r>
      <w:r>
        <w:rPr>
          <w:rFonts w:hint="eastAsia" w:ascii="仿宋_GB2312" w:hAnsi="仿宋_GB2312" w:eastAsia="仿宋_GB2312" w:cs="仿宋_GB2312"/>
          <w:kern w:val="0"/>
          <w:sz w:val="32"/>
          <w:szCs w:val="32"/>
          <w:lang w:bidi="ar"/>
        </w:rPr>
        <w:t>国际交流处</w:t>
      </w:r>
      <w:r>
        <w:rPr>
          <w:rFonts w:ascii="仿宋_GB2312" w:hAnsi="仿宋_GB2312" w:eastAsia="仿宋_GB2312" w:cs="仿宋_GB2312"/>
          <w:kern w:val="0"/>
          <w:sz w:val="32"/>
          <w:szCs w:val="32"/>
          <w:lang w:bidi="ar"/>
        </w:rPr>
        <w:t>上报上级有关部门。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第十九条</w:t>
      </w:r>
      <w:r>
        <w:rPr>
          <w:rFonts w:ascii="仿宋_GB2312" w:hAnsi="仿宋_GB2312" w:eastAsia="仿宋_GB2312" w:cs="仿宋_GB2312"/>
          <w:kern w:val="0"/>
          <w:sz w:val="32"/>
          <w:szCs w:val="32"/>
          <w:lang w:bidi="ar"/>
        </w:rPr>
        <w:t xml:space="preserve">  对于因公出国</w:t>
      </w:r>
      <w:r>
        <w:rPr>
          <w:rFonts w:hint="eastAsia" w:ascii="仿宋_GB2312" w:hAnsi="仿宋_GB2312" w:eastAsia="仿宋_GB2312" w:cs="仿宋_GB2312"/>
          <w:kern w:val="0"/>
          <w:sz w:val="32"/>
          <w:szCs w:val="32"/>
          <w:lang w:bidi="ar"/>
        </w:rPr>
        <w:t>（境）</w:t>
      </w:r>
      <w:r>
        <w:rPr>
          <w:rFonts w:ascii="仿宋_GB2312" w:hAnsi="仿宋_GB2312" w:eastAsia="仿宋_GB2312" w:cs="仿宋_GB2312"/>
          <w:kern w:val="0"/>
          <w:sz w:val="32"/>
          <w:szCs w:val="32"/>
          <w:lang w:bidi="ar"/>
        </w:rPr>
        <w:t>人员违反外事纪律，有损国家安全等言行，要追究本人责任和带队出访的领导责任。</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第二十条</w:t>
      </w:r>
      <w:r>
        <w:rPr>
          <w:rFonts w:ascii="仿宋_GB2312" w:hAnsi="仿宋_GB2312" w:eastAsia="仿宋_GB2312" w:cs="仿宋_GB2312"/>
          <w:kern w:val="0"/>
          <w:sz w:val="32"/>
          <w:szCs w:val="32"/>
          <w:lang w:bidi="ar"/>
        </w:rPr>
        <w:t xml:space="preserve">  警惕和防止外来渗透、颠覆、分裂等危害活动。如遇外国人发表有损于我国家或学院利益的言论或提出怀疑误解的问题时，应阐明国家、学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的立场或给予必要的解释。应该严格保守国家机密，注意保护知识产权，发现问题及时采取措施，并向外事部门报告。</w:t>
      </w: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第五章  外事要求</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第二十一条</w:t>
      </w:r>
      <w:r>
        <w:rPr>
          <w:rFonts w:ascii="仿宋_GB2312" w:hAnsi="仿宋_GB2312" w:eastAsia="仿宋_GB2312" w:cs="仿宋_GB2312"/>
          <w:kern w:val="0"/>
          <w:sz w:val="32"/>
          <w:szCs w:val="32"/>
          <w:lang w:bidi="ar"/>
        </w:rPr>
        <w:t xml:space="preserve">  国际合作交流必须正确贯彻执行我国的对外方针政策，根据实际需要和可能，本着平等互利、讲求实效的原则，有领导、有计划、有步骤地进行。国际合作交流活动必须以学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的管理、教学、科研为中心，有利于促进学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的发展。</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第二十二条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学校各部门应重视国际合作与交流工作的开展，根据学校发展规划，积极主动开展国际合作与交流。参加涉外工作的人员在参与接待外籍人员和出国访问时，应严格遵守国家有关外事工作的管理规定，做到热情、礼貌、不卑不亢，自觉维护国家、民族和学校的利益和尊严。</w:t>
      </w:r>
    </w:p>
    <w:p>
      <w:pPr>
        <w:pageBreakBefore w:val="0"/>
        <w:kinsoku/>
        <w:wordWrap/>
        <w:overflowPunct/>
        <w:topLinePunct w:val="0"/>
        <w:autoSpaceDE/>
        <w:autoSpaceDN/>
        <w:bidi w:val="0"/>
        <w:spacing w:line="56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第六章  附则</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第二十三条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本制度于发布之日起执行</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并将依据国家外事工作法律法规适时调整。</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 xml:space="preserve">第二十四条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本制度的解释权</w:t>
      </w:r>
      <w:r>
        <w:rPr>
          <w:rFonts w:hint="eastAsia" w:ascii="仿宋_GB2312" w:hAnsi="仿宋_GB2312" w:eastAsia="仿宋_GB2312" w:cs="仿宋_GB2312"/>
          <w:kern w:val="0"/>
          <w:sz w:val="32"/>
          <w:szCs w:val="32"/>
          <w:lang w:bidi="ar"/>
        </w:rPr>
        <w:t>归国际交流处</w:t>
      </w:r>
      <w:r>
        <w:rPr>
          <w:rFonts w:ascii="仿宋_GB2312" w:hAnsi="仿宋_GB2312" w:eastAsia="仿宋_GB2312" w:cs="仿宋_GB2312"/>
          <w:kern w:val="0"/>
          <w:sz w:val="32"/>
          <w:szCs w:val="32"/>
          <w:lang w:bidi="ar"/>
        </w:rPr>
        <w:t>。</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rFonts w:ascii="仿宋_GB2312" w:hAnsi="仿宋_GB2312" w:eastAsia="仿宋_GB2312" w:cs="仿宋_GB2312"/>
          <w:kern w:val="0"/>
          <w:sz w:val="32"/>
          <w:szCs w:val="32"/>
          <w:lang w:bidi="ar"/>
        </w:rPr>
        <w:br w:type="page"/>
      </w:r>
      <w:bookmarkStart w:id="201" w:name="_Toc534379488"/>
      <w:r>
        <w:rPr>
          <w:rFonts w:hint="eastAsia"/>
          <w:b/>
          <w:color w:val="000000"/>
          <w:sz w:val="36"/>
          <w:szCs w:val="36"/>
          <w:lang w:val="en-US" w:eastAsia="zh-CN"/>
        </w:rPr>
        <w:t>柳州职业技术学院合同管理办法(修订)</w:t>
      </w:r>
      <w:bookmarkEnd w:id="201"/>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（柳职院字〔2018〕31号）</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 第一章  </w:t>
      </w:r>
      <w:r>
        <w:rPr>
          <w:rFonts w:ascii="黑体" w:hAnsi="仿宋_GB2312" w:eastAsia="黑体" w:cs="仿宋_GB2312"/>
          <w:b/>
          <w:kern w:val="0"/>
          <w:sz w:val="32"/>
          <w:szCs w:val="32"/>
          <w:lang w:bidi="ar"/>
        </w:rPr>
        <w:t>总</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则</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为规范学校合同管理，强化内部制约与监督，维护学校合法权益，</w:t>
      </w:r>
      <w:r>
        <w:rPr>
          <w:rFonts w:hint="eastAsia" w:ascii="仿宋_GB2312" w:hAnsi="仿宋_GB2312" w:eastAsia="仿宋_GB2312" w:cs="仿宋_GB2312"/>
          <w:kern w:val="0"/>
          <w:sz w:val="32"/>
          <w:szCs w:val="32"/>
          <w:lang w:bidi="ar"/>
        </w:rPr>
        <w:t>预防和减少合同纠纷的发生，确保学校财产及利益不受侵犯，</w:t>
      </w:r>
      <w:r>
        <w:rPr>
          <w:rFonts w:ascii="仿宋_GB2312" w:hAnsi="仿宋_GB2312" w:eastAsia="仿宋_GB2312" w:cs="仿宋_GB2312"/>
          <w:kern w:val="0"/>
          <w:sz w:val="32"/>
          <w:szCs w:val="32"/>
          <w:lang w:bidi="ar"/>
        </w:rPr>
        <w:t>根据《中华人民共和国合同法》、</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中华人民共和国高等教育法》等法律法规的相关规定，结合学校实际，特制定本管理办法。</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二</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本办法所称合同是指以柳州职业技术学院或</w:t>
      </w:r>
      <w:r>
        <w:rPr>
          <w:rFonts w:hint="eastAsia" w:ascii="仿宋_GB2312" w:hAnsi="仿宋_GB2312" w:eastAsia="仿宋_GB2312" w:cs="仿宋_GB2312"/>
          <w:kern w:val="0"/>
          <w:sz w:val="32"/>
          <w:szCs w:val="32"/>
          <w:lang w:bidi="ar"/>
        </w:rPr>
        <w:t>学校各职能部门、下属非法人</w:t>
      </w:r>
      <w:r>
        <w:rPr>
          <w:rFonts w:ascii="仿宋_GB2312" w:hAnsi="仿宋_GB2312" w:eastAsia="仿宋_GB2312" w:cs="仿宋_GB2312"/>
          <w:kern w:val="0"/>
          <w:sz w:val="32"/>
          <w:szCs w:val="32"/>
          <w:lang w:bidi="ar"/>
        </w:rPr>
        <w:t>单位</w:t>
      </w:r>
      <w:r>
        <w:rPr>
          <w:rFonts w:hint="eastAsia" w:ascii="仿宋_GB2312" w:hAnsi="仿宋_GB2312" w:eastAsia="仿宋_GB2312" w:cs="仿宋_GB2312"/>
          <w:kern w:val="0"/>
          <w:sz w:val="32"/>
          <w:szCs w:val="32"/>
          <w:lang w:bidi="ar"/>
        </w:rPr>
        <w:t>（以学校名义）</w:t>
      </w:r>
      <w:r>
        <w:rPr>
          <w:rFonts w:ascii="仿宋_GB2312" w:hAnsi="仿宋_GB2312" w:eastAsia="仿宋_GB2312" w:cs="仿宋_GB2312"/>
          <w:kern w:val="0"/>
          <w:sz w:val="32"/>
          <w:szCs w:val="32"/>
          <w:lang w:bidi="ar"/>
        </w:rPr>
        <w:t>与其它平等主体的自然人、法人及其它组织之间设立、变更、终止</w:t>
      </w:r>
      <w:r>
        <w:rPr>
          <w:rFonts w:hint="eastAsia" w:ascii="仿宋_GB2312" w:hAnsi="仿宋_GB2312" w:eastAsia="仿宋_GB2312" w:cs="仿宋_GB2312"/>
          <w:kern w:val="0"/>
          <w:sz w:val="32"/>
          <w:szCs w:val="32"/>
          <w:lang w:bidi="ar"/>
        </w:rPr>
        <w:t>民事</w:t>
      </w:r>
      <w:r>
        <w:rPr>
          <w:rFonts w:ascii="仿宋_GB2312" w:hAnsi="仿宋_GB2312" w:eastAsia="仿宋_GB2312" w:cs="仿宋_GB2312"/>
          <w:kern w:val="0"/>
          <w:sz w:val="32"/>
          <w:szCs w:val="32"/>
          <w:lang w:bidi="ar"/>
        </w:rPr>
        <w:t>权利义务关系的</w:t>
      </w:r>
      <w:r>
        <w:rPr>
          <w:rFonts w:hint="eastAsia" w:ascii="仿宋_GB2312" w:hAnsi="仿宋_GB2312" w:eastAsia="仿宋_GB2312" w:cs="仿宋_GB2312"/>
          <w:kern w:val="0"/>
          <w:sz w:val="32"/>
          <w:szCs w:val="32"/>
          <w:lang w:bidi="ar"/>
        </w:rPr>
        <w:t>书面</w:t>
      </w:r>
      <w:r>
        <w:rPr>
          <w:rFonts w:ascii="仿宋_GB2312" w:hAnsi="仿宋_GB2312" w:eastAsia="仿宋_GB2312" w:cs="仿宋_GB2312"/>
          <w:kern w:val="0"/>
          <w:sz w:val="32"/>
          <w:szCs w:val="32"/>
          <w:lang w:bidi="ar"/>
        </w:rPr>
        <w:t>协议</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学校与职工签订的聘用合同和劳动合同，不适用本办法。</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学校对外发生的行为，应当订立书面合同，明确双方权利义务。</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第四条 </w:t>
      </w:r>
      <w:r>
        <w:rPr>
          <w:rFonts w:hint="eastAsia" w:ascii="仿宋_GB2312" w:hAnsi="仿宋_GB2312" w:eastAsia="仿宋_GB2312" w:cs="仿宋_GB2312"/>
          <w:kern w:val="0"/>
          <w:sz w:val="32"/>
          <w:szCs w:val="32"/>
          <w:lang w:bidi="ar"/>
        </w:rPr>
        <w:t xml:space="preserve"> 合同按照性质、重要程度和标的金额大小，分为重大合同和一般合同。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重大合同是指具有下列情形之一的合同：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（一）单项金额在10万元以上的合同；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（二）涉外合同，即与国（境）外的自然人、法人或其他组织签订的合同；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（三）合作期限超过三年的合同；</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w:t>
      </w:r>
      <w:r>
        <w:rPr>
          <w:rFonts w:ascii="仿宋_GB2312" w:hAnsi="仿宋_GB2312" w:eastAsia="仿宋_GB2312" w:cs="仿宋_GB2312"/>
          <w:kern w:val="0"/>
          <w:sz w:val="32"/>
          <w:szCs w:val="32"/>
          <w:lang w:bidi="ar"/>
        </w:rPr>
        <w:t>法律关系复杂、对学校有重要影响</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合同</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其他为一般合同。</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第二章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合同管理相关部门及其职责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五</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学校合同管理</w:t>
      </w:r>
      <w:r>
        <w:rPr>
          <w:rFonts w:hint="eastAsia" w:ascii="仿宋_GB2312" w:hAnsi="仿宋_GB2312" w:eastAsia="仿宋_GB2312" w:cs="仿宋_GB2312"/>
          <w:kern w:val="0"/>
          <w:sz w:val="32"/>
          <w:szCs w:val="32"/>
          <w:lang w:bidi="ar"/>
        </w:rPr>
        <w:t>涉及部门包括合同经办部门、合同归口管理部门、财务管理部门、后勤与资产管理部门、法律顾问、内部审计与督导室等。各部门应各尽其职，各尽其责，相互制衡，密切联系。</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第六条 </w:t>
      </w:r>
      <w:r>
        <w:rPr>
          <w:rFonts w:hint="eastAsia" w:ascii="仿宋_GB2312" w:hAnsi="仿宋_GB2312" w:eastAsia="仿宋_GB2312" w:cs="仿宋_GB2312"/>
          <w:kern w:val="0"/>
          <w:sz w:val="32"/>
          <w:szCs w:val="32"/>
          <w:lang w:bidi="ar"/>
        </w:rPr>
        <w:t xml:space="preserve"> 合同经办部门的职责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合同经办部门负责合同的订立和管理工作，实行“谁订立，谁负责”。主要职责为</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（一）调查合同对方的主体资格和资信状况；</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（二）就合同事项与合同对方进行充分谈判、协商，起草合同文本；合同文本由合同对方提供的，应认真审阅，必要时向对方提出修改意见，共同协商确定文本。</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（三）全面准确地填写合同内容，合同内容应包括法律法规规定的必要条款，如当事人的名称或者姓名和住所，标的及其数量、质量，价款或者报酬，履行的期限、地点和方式，违约责任，解决争议的方法等。</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（四）办理合同网上审批、盖章手续；</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（五）负责合同履行跟踪，监控合同对方的履行情况；</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（六）办理合同结算手续；</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（七）负责协助合同变更、解除及纠纷的处理；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（八）安排专人负责合同管理工作，及时做好合同副本及有关文件的归档工作，建立合同台账；</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（九）负责向相关部门提供所需信息。</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（十）协助需要解决的其他问题。</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财务管理部门是合同管理监督部门，主要职责是：</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（一）负责合同条款的审核。包括对合同金额、结算条款、涉税事项、验收条款等的审核；</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（二）负责依据合同办理收付款；付款程序不符合规定，或程序不完备的，拒绝付款；</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（三）负责发票的审查、签收及签发；</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合同归口管理部门（合同管理）的职责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合同管理部门是学校合同管理的归口部门，统一管理学校的合同工作。其主要职责是</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（一）负责拟定、修订合同管理制度，并组织实施；</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（二）负责分转合同审批流程；</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（三）负责制作、发放授权委托书；</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（四）负责管理学校合同专用章；</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（五）负责建立和管理学校台账、合同档案；</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采购、基建维修类合同由后勤与资产管理处负责建立和管理台账、合同档案；</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其他合同由学校办公室负责建立和管理台账、合同档案。</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（六）合同管理中需要解决的其他问题。</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第九条 </w:t>
      </w:r>
      <w:r>
        <w:rPr>
          <w:rFonts w:hint="eastAsia" w:ascii="仿宋_GB2312" w:hAnsi="仿宋_GB2312" w:eastAsia="仿宋_GB2312" w:cs="仿宋_GB2312"/>
          <w:kern w:val="0"/>
          <w:sz w:val="32"/>
          <w:szCs w:val="32"/>
          <w:lang w:bidi="ar"/>
        </w:rPr>
        <w:t xml:space="preserve"> 后勤与资产管理部门既是职能部门也是合同的具体执行部门，主要职责是：</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（一）负责对职责范围内所涉的合同事务进行审核；</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负责对标的物的数量、质量等进行验收，并出具验收报告；对验收合格的仪器设备、材料物资等办理入库手续及资产登记；不符合合同约定的，应在约定或约定的期限内向对方提出书面异议，并督促合同对方继续履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（三）负责组织执行合同，发理问题及时汇报并提出解决方案；妥善办理合同的变更或解除事宜，并报相关部门和有关领导审查、批准；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（四）负责组织合同纠纷的调解、仲裁或诉讼，负责提供有关的一切资料；</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其他相关职能部门职责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w:t>
      </w:r>
      <w:r>
        <w:rPr>
          <w:rFonts w:ascii="仿宋_GB2312" w:hAnsi="仿宋_GB2312" w:eastAsia="仿宋_GB2312" w:cs="仿宋_GB2312"/>
          <w:kern w:val="0"/>
          <w:sz w:val="32"/>
          <w:szCs w:val="32"/>
          <w:lang w:bidi="ar"/>
        </w:rPr>
        <w:t>法律顾问</w:t>
      </w:r>
      <w:r>
        <w:rPr>
          <w:rFonts w:hint="eastAsia" w:ascii="仿宋_GB2312" w:hAnsi="仿宋_GB2312" w:eastAsia="仿宋_GB2312" w:cs="仿宋_GB2312"/>
          <w:kern w:val="0"/>
          <w:sz w:val="32"/>
          <w:szCs w:val="32"/>
          <w:lang w:bidi="ar"/>
        </w:rPr>
        <w:t>：对各类</w:t>
      </w:r>
      <w:r>
        <w:rPr>
          <w:rFonts w:ascii="仿宋_GB2312" w:hAnsi="仿宋_GB2312" w:eastAsia="仿宋_GB2312" w:cs="仿宋_GB2312"/>
          <w:kern w:val="0"/>
          <w:sz w:val="32"/>
          <w:szCs w:val="32"/>
          <w:lang w:bidi="ar"/>
        </w:rPr>
        <w:t>合同</w:t>
      </w:r>
      <w:r>
        <w:rPr>
          <w:rFonts w:hint="eastAsia" w:ascii="仿宋_GB2312" w:hAnsi="仿宋_GB2312" w:eastAsia="仿宋_GB2312" w:cs="仿宋_GB2312"/>
          <w:kern w:val="0"/>
          <w:sz w:val="32"/>
          <w:szCs w:val="32"/>
          <w:lang w:bidi="ar"/>
        </w:rPr>
        <w:t>文本进行审核</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并出具法律意见；对</w:t>
      </w:r>
      <w:r>
        <w:rPr>
          <w:rFonts w:ascii="仿宋_GB2312" w:hAnsi="仿宋_GB2312" w:eastAsia="仿宋_GB2312" w:cs="仿宋_GB2312"/>
          <w:kern w:val="0"/>
          <w:sz w:val="32"/>
          <w:szCs w:val="32"/>
          <w:lang w:bidi="ar"/>
        </w:rPr>
        <w:t>相关合同纠纷的调解、仲裁、诉讼活动</w:t>
      </w:r>
      <w:r>
        <w:rPr>
          <w:rFonts w:hint="eastAsia" w:ascii="仿宋_GB2312" w:hAnsi="仿宋_GB2312" w:eastAsia="仿宋_GB2312" w:cs="仿宋_GB2312"/>
          <w:kern w:val="0"/>
          <w:sz w:val="32"/>
          <w:szCs w:val="32"/>
          <w:lang w:bidi="ar"/>
        </w:rPr>
        <w:t>进行法律指导；对</w:t>
      </w:r>
      <w:r>
        <w:rPr>
          <w:rFonts w:ascii="仿宋_GB2312" w:hAnsi="仿宋_GB2312" w:eastAsia="仿宋_GB2312" w:cs="仿宋_GB2312"/>
          <w:kern w:val="0"/>
          <w:sz w:val="32"/>
          <w:szCs w:val="32"/>
          <w:lang w:bidi="ar"/>
        </w:rPr>
        <w:t>学校法律事务</w:t>
      </w:r>
      <w:r>
        <w:rPr>
          <w:rFonts w:hint="eastAsia" w:ascii="仿宋_GB2312" w:hAnsi="仿宋_GB2312" w:eastAsia="仿宋_GB2312" w:cs="仿宋_GB2312"/>
          <w:kern w:val="0"/>
          <w:sz w:val="32"/>
          <w:szCs w:val="32"/>
          <w:lang w:bidi="ar"/>
        </w:rPr>
        <w:t>提供法律咨询服务；代表学校处理因合同纠纷而产生的仲裁或诉讼案件。</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内部审计与督导室：依据国家法律法规和学校相关规定对合同进行审计审查，对合同执行过程进行监督；参与重要和重大合同的谈判，配合相关部门进行重大合同审查或评审，并签署审查或评审意见；负责重要和重大合同的审计工作，重点审计合同业务的内部控制情况。</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（三）合同管理职能部门: 教务与实训管理处、学生工作处、校企合作处、科技开发处、社区学院、职业教育研究所、信息技术服务中心等职能部门为合同管理职能部门。合同管理职能部门对职责范围内所涉合同事务进行归口管理，主要职责包括：</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1.审核合同对方的主体资格和资信状况；</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2.审核合同业务事项的真实性、适用性、一致性；</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3.审核合同合同条款是否齐备、合理。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（四）纪检</w:t>
      </w:r>
      <w:r>
        <w:rPr>
          <w:rFonts w:ascii="仿宋_GB2312" w:hAnsi="仿宋_GB2312" w:eastAsia="仿宋_GB2312" w:cs="仿宋_GB2312"/>
          <w:kern w:val="0"/>
          <w:sz w:val="32"/>
          <w:szCs w:val="32"/>
          <w:lang w:bidi="ar"/>
        </w:rPr>
        <w:t>监察室</w:t>
      </w:r>
      <w:r>
        <w:rPr>
          <w:rFonts w:hint="eastAsia" w:ascii="仿宋_GB2312" w:hAnsi="仿宋_GB2312" w:eastAsia="仿宋_GB2312" w:cs="仿宋_GB2312"/>
          <w:kern w:val="0"/>
          <w:sz w:val="32"/>
          <w:szCs w:val="32"/>
          <w:lang w:bidi="ar"/>
        </w:rPr>
        <w:t>：负责对上述参与合同事项的相关职能部门的履职情况及对合同项目投诉处理过程进行监督。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三</w:t>
      </w:r>
      <w:r>
        <w:rPr>
          <w:rFonts w:ascii="黑体" w:hAnsi="仿宋_GB2312" w:eastAsia="黑体" w:cs="仿宋_GB2312"/>
          <w:b/>
          <w:kern w:val="0"/>
          <w:sz w:val="32"/>
          <w:szCs w:val="32"/>
          <w:lang w:bidi="ar"/>
        </w:rPr>
        <w:t>章</w:t>
      </w:r>
      <w:r>
        <w:rPr>
          <w:rFonts w:hint="eastAsia" w:ascii="黑体" w:hAnsi="仿宋_GB2312" w:eastAsia="黑体" w:cs="仿宋_GB2312"/>
          <w:b/>
          <w:kern w:val="0"/>
          <w:sz w:val="32"/>
          <w:szCs w:val="32"/>
          <w:lang w:bidi="ar"/>
        </w:rPr>
        <w:t xml:space="preserve">  合同的订立</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w:t>
      </w:r>
      <w:r>
        <w:rPr>
          <w:rFonts w:hint="eastAsia" w:ascii="仿宋_GB2312" w:hAnsi="仿宋_GB2312" w:eastAsia="仿宋_GB2312" w:cs="仿宋_GB2312"/>
          <w:kern w:val="0"/>
          <w:sz w:val="32"/>
          <w:szCs w:val="32"/>
          <w:lang w:bidi="ar"/>
        </w:rPr>
        <w:t>条  订立合同时，条款应当齐备，内容应当明确、完整；形式符合法律、法规要求。国家或行业有明确规定的文本范式的，应当采用标准格式起草合同文本。</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合同订立实行授权负责制，谁签订谁负责。合同在签订前，各部门必须做好调查研究和充分论证，合同签订要按照上级和学校的有关规定，详细列明合同条款，明确合同双方的权利、义务及违约责任，依法维护学校的名誉和经济利益。</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重大合同由学校法定代表人签订，一般性合同由学校</w:t>
      </w:r>
      <w:r>
        <w:rPr>
          <w:rFonts w:hint="eastAsia" w:ascii="仿宋_GB2312" w:hAnsi="仿宋_GB2312" w:eastAsia="仿宋_GB2312" w:cs="仿宋_GB2312"/>
          <w:kern w:val="0"/>
          <w:sz w:val="32"/>
          <w:szCs w:val="32"/>
          <w:lang w:bidi="ar"/>
        </w:rPr>
        <w:t>部门负责人</w:t>
      </w:r>
      <w:r>
        <w:rPr>
          <w:rFonts w:ascii="仿宋_GB2312" w:hAnsi="仿宋_GB2312" w:eastAsia="仿宋_GB2312" w:cs="仿宋_GB2312"/>
          <w:kern w:val="0"/>
          <w:sz w:val="32"/>
          <w:szCs w:val="32"/>
          <w:lang w:bidi="ar"/>
        </w:rPr>
        <w:t>签订</w:t>
      </w:r>
      <w:r>
        <w:rPr>
          <w:rFonts w:hint="eastAsia" w:ascii="仿宋_GB2312" w:hAnsi="仿宋_GB2312" w:eastAsia="仿宋_GB2312" w:cs="仿宋_GB2312"/>
          <w:kern w:val="0"/>
          <w:sz w:val="32"/>
          <w:szCs w:val="32"/>
          <w:lang w:bidi="ar"/>
        </w:rPr>
        <w:t>，授权委托书由学校办公室办理。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学校各部门未经委托授权，不得以本部门的名义对外订立任何经济合同。否则，学校追究其侵权责任，由此造成经济损失和其他后果，由签订人自负。</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严禁将同一经济业务</w:t>
      </w:r>
      <w:r>
        <w:rPr>
          <w:rFonts w:ascii="仿宋_GB2312" w:hAnsi="仿宋_GB2312" w:eastAsia="仿宋_GB2312" w:cs="仿宋_GB2312"/>
          <w:kern w:val="0"/>
          <w:sz w:val="32"/>
          <w:szCs w:val="32"/>
          <w:lang w:bidi="ar"/>
        </w:rPr>
        <w:t>的合同</w:t>
      </w:r>
      <w:r>
        <w:rPr>
          <w:rFonts w:hint="eastAsia" w:ascii="仿宋_GB2312" w:hAnsi="仿宋_GB2312" w:eastAsia="仿宋_GB2312" w:cs="仿宋_GB2312"/>
          <w:kern w:val="0"/>
          <w:sz w:val="32"/>
          <w:szCs w:val="32"/>
          <w:lang w:bidi="ar"/>
        </w:rPr>
        <w:t>“化整为零”，规避采购程序，越权签订合同。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十五</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合同签订前（以下内容除外），合同经办部门必须进行审批，合同审批采用网上会签的形式，通过办公系统完成会签程序后方可履行用章手续。</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（一）金额在5000元以下的购买非固定资产的采购合同；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（二）金额10万元（含）以下的政府招标采购的格式合同。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第四章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合同的审批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十六</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合同审批程序如下:</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(一)合同经办人网上填写《柳州职业技术学院合同会签单》（以下简称《会签单》），由部门(或项目)负责人提出审核意见。</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 部门(或项目)负责人向学校办公室提交《会签单》，由学校办公室提出会签意见。</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 根据学校办公室会签意见，由合同职能部门组成的会签小组对合同内容进行审核并签署意见,报相关校领导审批。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具体审批权限如下：</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一般合同审批程序</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法律关系简单、不涉及金额的，金额在5000元以下的购买固定资产的合同由会签小组审核后报分管校领导审批。</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法律关系简单、金额在5000-100000元（含）的合同由会签小组审核后报分管校领导、总会计师审批。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重大合同审批程序</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由会签小组审核后报分管校领导、总会计师审批后报校长审批。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第十七条 </w:t>
      </w:r>
      <w:r>
        <w:rPr>
          <w:rFonts w:hint="eastAsia" w:ascii="仿宋_GB2312" w:hAnsi="仿宋_GB2312" w:eastAsia="仿宋_GB2312" w:cs="仿宋_GB2312"/>
          <w:kern w:val="0"/>
          <w:sz w:val="32"/>
          <w:szCs w:val="32"/>
          <w:lang w:bidi="ar"/>
        </w:rPr>
        <w:t xml:space="preserve"> 合同经办人在提交合同会签时，需同时提交已完成的事前审批流程截图、学校或市场询价确认书、中标通知书等相关附件。</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第五章</w:t>
      </w:r>
      <w:r>
        <w:rPr>
          <w:rFonts w:hint="eastAsia" w:ascii="黑体" w:hAnsi="仿宋_GB2312" w:eastAsia="黑体" w:cs="仿宋_GB2312"/>
          <w:b/>
          <w:kern w:val="0"/>
          <w:sz w:val="32"/>
          <w:szCs w:val="32"/>
          <w:lang w:bidi="ar"/>
        </w:rPr>
        <w:t xml:space="preserve">  合同的印章管理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hint="eastAsia" w:ascii="仿宋_GB2312" w:hAnsi="仿宋_GB2312" w:eastAsia="仿宋_GB2312" w:cs="仿宋_GB2312"/>
          <w:kern w:val="0"/>
          <w:sz w:val="32"/>
          <w:szCs w:val="32"/>
          <w:lang w:bidi="ar"/>
        </w:rPr>
        <w:t xml:space="preserve"> 学校刻制合同专用章，由学校办公室指定专人负责保管，严格按规定使用印章，并建立用章登记制度。</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凡学校对外签订的合同必须加盖合同专用章。未按本办法规定加盖合同专用章的对外合同均为无效合同。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使用合同专用章需提交已审批完成的合同会签单方可办理。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第二十一</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因特效情况须外带合同专用章的，须经法定代表人批准，并按规定办理登记手续。合同专用章如遗失或被盗，除应立即通知有关部门外，应登报挂失。</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六</w:t>
      </w:r>
      <w:r>
        <w:rPr>
          <w:rFonts w:ascii="黑体" w:hAnsi="仿宋_GB2312" w:eastAsia="黑体" w:cs="仿宋_GB2312"/>
          <w:b/>
          <w:kern w:val="0"/>
          <w:sz w:val="32"/>
          <w:szCs w:val="32"/>
          <w:lang w:bidi="ar"/>
        </w:rPr>
        <w:t>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合同的履行与监督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学校各部门和个人应当做好合同信息安全保密工作。未经批准，任何人不得以任何形式泄露合同订立与履行过程中涉及的工作秘密或商业秘密。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二十三</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合同实行合同履约责任制，签订部门及学校的法定代表人是合同履约的第一责任人，第一责任人对合同的全面、正确履行负责。</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合同生效后，即具有法律约束力。各签订部门、经办人应适时了解、掌握合同的履行情况，发现有显失公平、条款有误、对方没有履约能力或有欺诈行为等情形，或因政策调整、市场变化等客观因素，已经或可能导致学校利益受损，合同经办部门应当立即采取相应措施，及时向合同管理职能部门和学校有关负责人报告，按照规定和程序办理合同补充、变更或解除事宜，以将损失降到最低。</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七</w:t>
      </w:r>
      <w:r>
        <w:rPr>
          <w:rFonts w:ascii="黑体" w:hAnsi="仿宋_GB2312" w:eastAsia="黑体" w:cs="仿宋_GB2312"/>
          <w:b/>
          <w:kern w:val="0"/>
          <w:sz w:val="32"/>
          <w:szCs w:val="32"/>
          <w:lang w:bidi="ar"/>
        </w:rPr>
        <w:t>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合同</w:t>
      </w:r>
      <w:r>
        <w:rPr>
          <w:rFonts w:hint="eastAsia" w:ascii="黑体" w:hAnsi="仿宋_GB2312" w:eastAsia="黑体" w:cs="仿宋_GB2312"/>
          <w:b/>
          <w:kern w:val="0"/>
          <w:sz w:val="32"/>
          <w:szCs w:val="32"/>
          <w:lang w:bidi="ar"/>
        </w:rPr>
        <w:t>的变更、解除及续签</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第二十五条</w:t>
      </w:r>
      <w:r>
        <w:rPr>
          <w:rFonts w:hint="eastAsia" w:ascii="仿宋_GB2312" w:hAnsi="仿宋_GB2312" w:eastAsia="仿宋_GB2312" w:cs="仿宋_GB2312"/>
          <w:kern w:val="0"/>
          <w:sz w:val="32"/>
          <w:szCs w:val="32"/>
          <w:lang w:bidi="ar"/>
        </w:rPr>
        <w:t xml:space="preserve">  合同需要</w:t>
      </w:r>
      <w:r>
        <w:rPr>
          <w:rFonts w:ascii="仿宋_GB2312" w:hAnsi="仿宋_GB2312" w:eastAsia="仿宋_GB2312" w:cs="仿宋_GB2312"/>
          <w:kern w:val="0"/>
          <w:sz w:val="32"/>
          <w:szCs w:val="32"/>
          <w:lang w:bidi="ar"/>
        </w:rPr>
        <w:t>变更、解除</w:t>
      </w:r>
      <w:r>
        <w:rPr>
          <w:rFonts w:hint="eastAsia" w:ascii="仿宋_GB2312" w:hAnsi="仿宋_GB2312" w:eastAsia="仿宋_GB2312" w:cs="仿宋_GB2312"/>
          <w:kern w:val="0"/>
          <w:sz w:val="32"/>
          <w:szCs w:val="32"/>
          <w:lang w:bidi="ar"/>
        </w:rPr>
        <w:t>的，合同经办部门需在网上提交请示报告及解决方案，由部门负责人审签，经会签小组审核并签署意见，报分管校领导或学校法定代表人同意后方可</w:t>
      </w:r>
      <w:r>
        <w:rPr>
          <w:rFonts w:ascii="仿宋_GB2312" w:hAnsi="仿宋_GB2312" w:eastAsia="仿宋_GB2312" w:cs="仿宋_GB2312"/>
          <w:kern w:val="0"/>
          <w:sz w:val="32"/>
          <w:szCs w:val="32"/>
          <w:lang w:bidi="ar"/>
        </w:rPr>
        <w:t>变更、解除</w:t>
      </w:r>
      <w:r>
        <w:rPr>
          <w:rFonts w:hint="eastAsia" w:ascii="仿宋_GB2312" w:hAnsi="仿宋_GB2312" w:eastAsia="仿宋_GB2312" w:cs="仿宋_GB2312"/>
          <w:kern w:val="0"/>
          <w:sz w:val="32"/>
          <w:szCs w:val="32"/>
          <w:lang w:bidi="ar"/>
        </w:rPr>
        <w:t>。需要</w:t>
      </w:r>
      <w:r>
        <w:rPr>
          <w:rFonts w:ascii="仿宋_GB2312" w:hAnsi="仿宋_GB2312" w:eastAsia="仿宋_GB2312" w:cs="仿宋_GB2312"/>
          <w:kern w:val="0"/>
          <w:sz w:val="32"/>
          <w:szCs w:val="32"/>
          <w:lang w:bidi="ar"/>
        </w:rPr>
        <w:t>签订补充</w:t>
      </w:r>
      <w:r>
        <w:rPr>
          <w:rFonts w:hint="eastAsia" w:ascii="仿宋_GB2312" w:hAnsi="仿宋_GB2312" w:eastAsia="仿宋_GB2312" w:cs="仿宋_GB2312"/>
          <w:kern w:val="0"/>
          <w:sz w:val="32"/>
          <w:szCs w:val="32"/>
          <w:lang w:bidi="ar"/>
        </w:rPr>
        <w:t>、变更</w:t>
      </w:r>
      <w:r>
        <w:rPr>
          <w:rFonts w:ascii="仿宋_GB2312" w:hAnsi="仿宋_GB2312" w:eastAsia="仿宋_GB2312" w:cs="仿宋_GB2312"/>
          <w:kern w:val="0"/>
          <w:sz w:val="32"/>
          <w:szCs w:val="32"/>
          <w:lang w:bidi="ar"/>
        </w:rPr>
        <w:t>协议</w:t>
      </w:r>
      <w:r>
        <w:rPr>
          <w:rFonts w:hint="eastAsia" w:ascii="仿宋_GB2312" w:hAnsi="仿宋_GB2312" w:eastAsia="仿宋_GB2312" w:cs="仿宋_GB2312"/>
          <w:kern w:val="0"/>
          <w:sz w:val="32"/>
          <w:szCs w:val="32"/>
          <w:lang w:bidi="ar"/>
        </w:rPr>
        <w:t>的，需重新按照</w:t>
      </w:r>
      <w:r>
        <w:rPr>
          <w:rFonts w:ascii="仿宋_GB2312" w:hAnsi="仿宋_GB2312" w:eastAsia="仿宋_GB2312" w:cs="仿宋_GB2312"/>
          <w:kern w:val="0"/>
          <w:sz w:val="32"/>
          <w:szCs w:val="32"/>
          <w:lang w:bidi="ar"/>
        </w:rPr>
        <w:t>合同的审批</w:t>
      </w:r>
      <w:r>
        <w:rPr>
          <w:rFonts w:hint="eastAsia" w:ascii="仿宋_GB2312" w:hAnsi="仿宋_GB2312" w:eastAsia="仿宋_GB2312" w:cs="仿宋_GB2312"/>
          <w:kern w:val="0"/>
          <w:sz w:val="32"/>
          <w:szCs w:val="32"/>
          <w:lang w:bidi="ar"/>
        </w:rPr>
        <w:t>流程进行审批。提交会签时，需同时提交已完成的合同会签审批流程截图、合同扫描件、事前审批流程截图、学校或市场询价确认书、中标通知书等相关附件。</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二十六</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合同</w:t>
      </w:r>
      <w:r>
        <w:rPr>
          <w:rFonts w:hint="eastAsia" w:ascii="仿宋_GB2312" w:hAnsi="仿宋_GB2312" w:eastAsia="仿宋_GB2312" w:cs="仿宋_GB2312"/>
          <w:kern w:val="0"/>
          <w:sz w:val="32"/>
          <w:szCs w:val="32"/>
          <w:lang w:bidi="ar"/>
        </w:rPr>
        <w:t>期满需要</w:t>
      </w:r>
      <w:r>
        <w:rPr>
          <w:rFonts w:ascii="仿宋_GB2312" w:hAnsi="仿宋_GB2312" w:eastAsia="仿宋_GB2312" w:cs="仿宋_GB2312"/>
          <w:kern w:val="0"/>
          <w:sz w:val="32"/>
          <w:szCs w:val="32"/>
          <w:lang w:bidi="ar"/>
        </w:rPr>
        <w:t>续签</w:t>
      </w:r>
      <w:r>
        <w:rPr>
          <w:rFonts w:hint="eastAsia" w:ascii="仿宋_GB2312" w:hAnsi="仿宋_GB2312" w:eastAsia="仿宋_GB2312" w:cs="仿宋_GB2312"/>
          <w:kern w:val="0"/>
          <w:sz w:val="32"/>
          <w:szCs w:val="32"/>
          <w:lang w:bidi="ar"/>
        </w:rPr>
        <w:t>的，仍需重新按照</w:t>
      </w:r>
      <w:r>
        <w:rPr>
          <w:rFonts w:ascii="仿宋_GB2312" w:hAnsi="仿宋_GB2312" w:eastAsia="仿宋_GB2312" w:cs="仿宋_GB2312"/>
          <w:kern w:val="0"/>
          <w:sz w:val="32"/>
          <w:szCs w:val="32"/>
          <w:lang w:bidi="ar"/>
        </w:rPr>
        <w:t>合同的审批</w:t>
      </w:r>
      <w:r>
        <w:rPr>
          <w:rFonts w:hint="eastAsia" w:ascii="仿宋_GB2312" w:hAnsi="仿宋_GB2312" w:eastAsia="仿宋_GB2312" w:cs="仿宋_GB2312"/>
          <w:kern w:val="0"/>
          <w:sz w:val="32"/>
          <w:szCs w:val="32"/>
          <w:lang w:bidi="ar"/>
        </w:rPr>
        <w:t>流程进行审批。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八</w:t>
      </w:r>
      <w:r>
        <w:rPr>
          <w:rFonts w:ascii="黑体" w:hAnsi="仿宋_GB2312" w:eastAsia="黑体" w:cs="仿宋_GB2312"/>
          <w:b/>
          <w:kern w:val="0"/>
          <w:sz w:val="32"/>
          <w:szCs w:val="32"/>
          <w:lang w:bidi="ar"/>
        </w:rPr>
        <w:t>章</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合同</w:t>
      </w:r>
      <w:r>
        <w:rPr>
          <w:rFonts w:hint="eastAsia" w:ascii="黑体" w:hAnsi="仿宋_GB2312" w:eastAsia="黑体" w:cs="仿宋_GB2312"/>
          <w:b/>
          <w:kern w:val="0"/>
          <w:sz w:val="32"/>
          <w:szCs w:val="32"/>
          <w:lang w:bidi="ar"/>
        </w:rPr>
        <w:t>的</w:t>
      </w:r>
      <w:r>
        <w:rPr>
          <w:rFonts w:ascii="黑体" w:hAnsi="仿宋_GB2312" w:eastAsia="黑体" w:cs="仿宋_GB2312"/>
          <w:b/>
          <w:kern w:val="0"/>
          <w:sz w:val="32"/>
          <w:szCs w:val="32"/>
          <w:lang w:bidi="ar"/>
        </w:rPr>
        <w:t>纠纷与责任追究</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二十七</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合同在履行过程中发生纠纷</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，由</w:t>
      </w:r>
      <w:r>
        <w:rPr>
          <w:rFonts w:hint="eastAsia" w:ascii="仿宋_GB2312" w:hAnsi="仿宋_GB2312" w:eastAsia="仿宋_GB2312" w:cs="仿宋_GB2312"/>
          <w:kern w:val="0"/>
          <w:sz w:val="32"/>
          <w:szCs w:val="32"/>
          <w:lang w:bidi="ar"/>
        </w:rPr>
        <w:t>合同签订部门</w:t>
      </w:r>
      <w:r>
        <w:rPr>
          <w:rFonts w:ascii="仿宋_GB2312" w:hAnsi="仿宋_GB2312" w:eastAsia="仿宋_GB2312" w:cs="仿宋_GB2312"/>
          <w:kern w:val="0"/>
          <w:sz w:val="32"/>
          <w:szCs w:val="32"/>
          <w:lang w:bidi="ar"/>
        </w:rPr>
        <w:t>负责具体处理，</w:t>
      </w:r>
      <w:r>
        <w:rPr>
          <w:rFonts w:hint="eastAsia" w:ascii="仿宋_GB2312" w:hAnsi="仿宋_GB2312" w:eastAsia="仿宋_GB2312" w:cs="仿宋_GB2312"/>
          <w:kern w:val="0"/>
          <w:sz w:val="32"/>
          <w:szCs w:val="32"/>
          <w:lang w:bidi="ar"/>
        </w:rPr>
        <w:t>涉及学校内多个部门的，应及时</w:t>
      </w:r>
      <w:r>
        <w:rPr>
          <w:rFonts w:ascii="仿宋_GB2312" w:hAnsi="仿宋_GB2312" w:eastAsia="仿宋_GB2312" w:cs="仿宋_GB2312"/>
          <w:kern w:val="0"/>
          <w:sz w:val="32"/>
          <w:szCs w:val="32"/>
          <w:lang w:bidi="ar"/>
        </w:rPr>
        <w:t>向分管校领导汇报</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对经协商仍无法解决的合同纠纷，经学校法定代表人同意，可提交上级主管机关、仲裁部门或人民法院依法处理。纠纷处理过程中，任何部门或个人未经授权，不得向合同、协议对方作出实质性的答复或承诺。</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二十八</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有下列情形之一的，学校视其情节轻重</w:t>
      </w:r>
      <w:r>
        <w:rPr>
          <w:rFonts w:hint="eastAsia" w:ascii="仿宋_GB2312" w:hAnsi="仿宋_GB2312" w:eastAsia="仿宋_GB2312" w:cs="仿宋_GB2312"/>
          <w:kern w:val="0"/>
          <w:sz w:val="32"/>
          <w:szCs w:val="32"/>
          <w:lang w:bidi="ar"/>
        </w:rPr>
        <w:t>由纪检监察部门</w:t>
      </w:r>
      <w:r>
        <w:rPr>
          <w:rFonts w:ascii="仿宋_GB2312" w:hAnsi="仿宋_GB2312" w:eastAsia="仿宋_GB2312" w:cs="仿宋_GB2312"/>
          <w:kern w:val="0"/>
          <w:sz w:val="32"/>
          <w:szCs w:val="32"/>
          <w:lang w:bidi="ar"/>
        </w:rPr>
        <w:t>追究责任人</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行政和经济责任；</w:t>
      </w:r>
      <w:r>
        <w:rPr>
          <w:rFonts w:hint="eastAsia" w:ascii="仿宋_GB2312" w:hAnsi="仿宋_GB2312" w:eastAsia="仿宋_GB2312" w:cs="仿宋_GB2312"/>
          <w:kern w:val="0"/>
          <w:sz w:val="32"/>
          <w:szCs w:val="32"/>
          <w:lang w:bidi="ar"/>
        </w:rPr>
        <w:t>违反合同管理规定，涉嫌犯罪的，</w:t>
      </w:r>
      <w:r>
        <w:rPr>
          <w:rFonts w:ascii="仿宋_GB2312" w:hAnsi="仿宋_GB2312" w:eastAsia="仿宋_GB2312" w:cs="仿宋_GB2312"/>
          <w:kern w:val="0"/>
          <w:sz w:val="32"/>
          <w:szCs w:val="32"/>
          <w:lang w:bidi="ar"/>
        </w:rPr>
        <w:t>移交司法机关处理</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（一）</w:t>
      </w:r>
      <w:r>
        <w:rPr>
          <w:rFonts w:hint="eastAsia" w:ascii="仿宋_GB2312" w:hAnsi="仿宋_GB2312" w:eastAsia="仿宋_GB2312" w:cs="仿宋_GB2312"/>
          <w:kern w:val="0"/>
          <w:sz w:val="32"/>
          <w:szCs w:val="32"/>
          <w:lang w:bidi="ar"/>
        </w:rPr>
        <w:t>未经授权，擅</w:t>
      </w:r>
      <w:r>
        <w:rPr>
          <w:rFonts w:ascii="仿宋_GB2312" w:hAnsi="仿宋_GB2312" w:eastAsia="仿宋_GB2312" w:cs="仿宋_GB2312"/>
          <w:kern w:val="0"/>
          <w:sz w:val="32"/>
          <w:szCs w:val="32"/>
          <w:lang w:bidi="ar"/>
        </w:rPr>
        <w:t>自以</w:t>
      </w:r>
      <w:r>
        <w:rPr>
          <w:rFonts w:hint="eastAsia" w:ascii="仿宋_GB2312" w:hAnsi="仿宋_GB2312" w:eastAsia="仿宋_GB2312" w:cs="仿宋_GB2312"/>
          <w:kern w:val="0"/>
          <w:sz w:val="32"/>
          <w:szCs w:val="32"/>
          <w:lang w:bidi="ar"/>
        </w:rPr>
        <w:t>部门</w:t>
      </w:r>
      <w:r>
        <w:rPr>
          <w:rFonts w:ascii="仿宋_GB2312" w:hAnsi="仿宋_GB2312" w:eastAsia="仿宋_GB2312" w:cs="仿宋_GB2312"/>
          <w:kern w:val="0"/>
          <w:sz w:val="32"/>
          <w:szCs w:val="32"/>
          <w:lang w:bidi="ar"/>
        </w:rPr>
        <w:t>或学校名义订立合同</w:t>
      </w:r>
      <w:r>
        <w:rPr>
          <w:rFonts w:hint="eastAsia" w:ascii="仿宋_GB2312" w:hAnsi="仿宋_GB2312" w:eastAsia="仿宋_GB2312" w:cs="仿宋_GB2312"/>
          <w:kern w:val="0"/>
          <w:sz w:val="32"/>
          <w:szCs w:val="32"/>
          <w:lang w:bidi="ar"/>
        </w:rPr>
        <w:t>的</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（二）</w:t>
      </w:r>
      <w:r>
        <w:rPr>
          <w:rFonts w:hint="eastAsia" w:ascii="仿宋_GB2312" w:hAnsi="仿宋_GB2312" w:eastAsia="仿宋_GB2312" w:cs="仿宋_GB2312"/>
          <w:kern w:val="0"/>
          <w:sz w:val="32"/>
          <w:szCs w:val="32"/>
          <w:lang w:bidi="ar"/>
        </w:rPr>
        <w:t>超越代理权限或滥用代理权的;</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（三）</w:t>
      </w:r>
      <w:r>
        <w:rPr>
          <w:rFonts w:hint="eastAsia" w:ascii="仿宋_GB2312" w:hAnsi="仿宋_GB2312" w:eastAsia="仿宋_GB2312" w:cs="仿宋_GB2312"/>
          <w:kern w:val="0"/>
          <w:sz w:val="32"/>
          <w:szCs w:val="32"/>
          <w:lang w:bidi="ar"/>
        </w:rPr>
        <w:t>在订立、履行合同中发生失职、渎职或以权谋私等行为的；</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四</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在处理合同纠纷时消极应对或未及时按要求汇报，给学校造成损失的；</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（五）其他违反法律法规和学校相关规定的行为，给学校造成损失的。</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九</w:t>
      </w:r>
      <w:r>
        <w:rPr>
          <w:rFonts w:ascii="黑体" w:hAnsi="仿宋_GB2312" w:eastAsia="黑体" w:cs="仿宋_GB2312"/>
          <w:b/>
          <w:kern w:val="0"/>
          <w:sz w:val="32"/>
          <w:szCs w:val="32"/>
          <w:lang w:bidi="ar"/>
        </w:rPr>
        <w:t>章</w:t>
      </w:r>
      <w:r>
        <w:rPr>
          <w:rFonts w:hint="eastAsia" w:ascii="黑体" w:hAnsi="仿宋_GB2312" w:eastAsia="黑体" w:cs="仿宋_GB2312"/>
          <w:b/>
          <w:kern w:val="0"/>
          <w:sz w:val="32"/>
          <w:szCs w:val="32"/>
          <w:lang w:bidi="ar"/>
        </w:rPr>
        <w:t xml:space="preserve">  合同的登记与归档管理</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第二十九条</w:t>
      </w:r>
      <w:r>
        <w:rPr>
          <w:rFonts w:hint="eastAsia" w:ascii="仿宋_GB2312" w:hAnsi="仿宋_GB2312" w:eastAsia="仿宋_GB2312" w:cs="仿宋_GB2312"/>
          <w:kern w:val="0"/>
          <w:sz w:val="32"/>
          <w:szCs w:val="32"/>
          <w:lang w:bidi="ar"/>
        </w:rPr>
        <w:t> 学校各经办部门订立的合同，属于采购、基建维修类的合同正本一份交由后勤与资产管理处保管，其他类的合同正本一份交由学校办公室保管；涉及金额超过5000元的合同正本还需交财务处一份。其副本由经办部门保管。</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第三十条</w:t>
      </w:r>
      <w:r>
        <w:rPr>
          <w:rFonts w:hint="eastAsia" w:ascii="仿宋_GB2312" w:hAnsi="仿宋_GB2312" w:eastAsia="仿宋_GB2312" w:cs="仿宋_GB2312"/>
          <w:kern w:val="0"/>
          <w:sz w:val="32"/>
          <w:szCs w:val="32"/>
          <w:lang w:bidi="ar"/>
        </w:rPr>
        <w:t xml:space="preserve">  合同订立后，应尽快完善合同登记手续。合同归口管理部门应当做好合同登记管理工作，建立合同文本统一分类和连续编号制度，记载合同编号、合同名称、合同经办人、合同标的、合同金额、合同履行及违约情况、补充、变更和解除等事项。</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第三十一条</w:t>
      </w:r>
      <w:r>
        <w:rPr>
          <w:rFonts w:hint="eastAsia" w:ascii="仿宋_GB2312" w:hAnsi="仿宋_GB2312" w:eastAsia="仿宋_GB2312" w:cs="仿宋_GB2312"/>
          <w:kern w:val="0"/>
          <w:sz w:val="32"/>
          <w:szCs w:val="32"/>
          <w:lang w:bidi="ar"/>
        </w:rPr>
        <w:t xml:space="preserve">  合同归口管理部门应当定期整理合同档案。合同履行完毕后应当根据学校档案管理的要求，将合同档案及时移交学校档案馆保管。</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三十二</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对合同资料没有妥善保管、登记归档，造成资料遗失、丢失的或造成严重后果的，要追究</w:t>
      </w:r>
      <w:r>
        <w:rPr>
          <w:rFonts w:hint="eastAsia" w:ascii="仿宋_GB2312" w:hAnsi="仿宋_GB2312" w:eastAsia="仿宋_GB2312" w:cs="仿宋_GB2312"/>
          <w:kern w:val="0"/>
          <w:sz w:val="32"/>
          <w:szCs w:val="32"/>
          <w:lang w:bidi="ar"/>
        </w:rPr>
        <w:t>相关</w:t>
      </w:r>
      <w:r>
        <w:rPr>
          <w:rFonts w:ascii="仿宋_GB2312" w:hAnsi="仿宋_GB2312" w:eastAsia="仿宋_GB2312" w:cs="仿宋_GB2312"/>
          <w:kern w:val="0"/>
          <w:sz w:val="32"/>
          <w:szCs w:val="32"/>
          <w:lang w:bidi="ar"/>
        </w:rPr>
        <w:t>责任</w:t>
      </w:r>
      <w:r>
        <w:rPr>
          <w:rFonts w:hint="eastAsia" w:ascii="仿宋_GB2312" w:hAnsi="仿宋_GB2312" w:eastAsia="仿宋_GB2312" w:cs="仿宋_GB2312"/>
          <w:kern w:val="0"/>
          <w:sz w:val="32"/>
          <w:szCs w:val="32"/>
          <w:lang w:bidi="ar"/>
        </w:rPr>
        <w:t>人责任</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第十章  </w:t>
      </w:r>
      <w:r>
        <w:rPr>
          <w:rFonts w:ascii="黑体" w:hAnsi="仿宋_GB2312" w:eastAsia="黑体" w:cs="仿宋_GB2312"/>
          <w:b/>
          <w:kern w:val="0"/>
          <w:sz w:val="32"/>
          <w:szCs w:val="32"/>
          <w:lang w:bidi="ar"/>
        </w:rPr>
        <w:t>附则</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三十三</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本办法中未尽事宜，依据法律法规和学校规章制度执行。</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三十四</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本办法由学校办公室负责解释。</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w:t>
      </w:r>
      <w:r>
        <w:rPr>
          <w:rFonts w:hint="eastAsia" w:ascii="仿宋_GB2312" w:hAnsi="仿宋_GB2312" w:eastAsia="仿宋_GB2312" w:cs="仿宋_GB2312"/>
          <w:b/>
          <w:kern w:val="0"/>
          <w:sz w:val="32"/>
          <w:szCs w:val="32"/>
          <w:lang w:bidi="ar"/>
        </w:rPr>
        <w:t>三十五</w:t>
      </w:r>
      <w:r>
        <w:rPr>
          <w:rFonts w:ascii="仿宋_GB2312" w:hAnsi="仿宋_GB2312" w:eastAsia="仿宋_GB2312" w:cs="仿宋_GB2312"/>
          <w:b/>
          <w:kern w:val="0"/>
          <w:sz w:val="32"/>
          <w:szCs w:val="32"/>
          <w:lang w:bidi="ar"/>
        </w:rPr>
        <w:t>条</w:t>
      </w:r>
      <w:r>
        <w:rPr>
          <w:rFonts w:hint="eastAsia" w:ascii="仿宋_GB2312" w:hAnsi="仿宋_GB2312" w:eastAsia="仿宋_GB2312" w:cs="仿宋_GB2312"/>
          <w:kern w:val="0"/>
          <w:sz w:val="32"/>
          <w:szCs w:val="32"/>
          <w:lang w:bidi="ar"/>
        </w:rPr>
        <w:t xml:space="preserve">  本办法自发文之日起施行，原《柳州职业技术学院合同管理办法(试行)》同时废止。</w:t>
      </w:r>
    </w:p>
    <w:p>
      <w:pPr>
        <w:pageBreakBefore w:val="0"/>
        <w:kinsoku/>
        <w:wordWrap/>
        <w:overflowPunct/>
        <w:topLinePunct w:val="0"/>
        <w:autoSpaceDE/>
        <w:autoSpaceDN/>
        <w:bidi w:val="0"/>
        <w:spacing w:line="380" w:lineRule="exact"/>
        <w:jc w:val="left"/>
        <w:outlineLvl w:val="9"/>
        <w:rPr>
          <w:rFonts w:hint="eastAsia" w:ascii="仿宋_GB2312" w:hAnsi="仿宋_GB2312" w:eastAsia="仿宋_GB2312" w:cs="仿宋_GB2312"/>
          <w:kern w:val="0"/>
          <w:sz w:val="32"/>
          <w:szCs w:val="32"/>
          <w:lang w:bidi="ar"/>
        </w:rPr>
      </w:pP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rFonts w:ascii="仿宋_GB2312" w:hAnsi="仿宋_GB2312" w:eastAsia="仿宋_GB2312" w:cs="仿宋_GB2312"/>
          <w:kern w:val="0"/>
          <w:sz w:val="32"/>
          <w:szCs w:val="32"/>
          <w:lang w:bidi="ar"/>
        </w:rPr>
        <w:br w:type="page"/>
      </w:r>
      <w:bookmarkStart w:id="202" w:name="_Toc534379471"/>
      <w:r>
        <w:rPr>
          <w:rFonts w:hint="eastAsia"/>
          <w:b/>
          <w:color w:val="000000"/>
          <w:sz w:val="36"/>
          <w:szCs w:val="36"/>
          <w:lang w:val="en-US" w:eastAsia="zh-CN"/>
        </w:rPr>
        <w:t>柳州职业技术学院印章管理规定(修订)</w:t>
      </w:r>
      <w:bookmarkEnd w:id="202"/>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（柳职院字〔2018〕6号）</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hint="eastAsia" w:ascii="黑体" w:eastAsia="黑体"/>
          <w:b/>
          <w:sz w:val="32"/>
          <w:szCs w:val="32"/>
        </w:rPr>
      </w:pPr>
      <w:r>
        <w:rPr>
          <w:rFonts w:hint="eastAsia" w:ascii="黑体" w:eastAsia="黑体"/>
          <w:b/>
          <w:sz w:val="32"/>
          <w:szCs w:val="32"/>
        </w:rPr>
        <w:t>第一章  总则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第一条</w:t>
      </w:r>
      <w:r>
        <w:rPr>
          <w:rFonts w:hint="eastAsia" w:ascii="仿宋_GB2312" w:eastAsia="仿宋_GB2312"/>
          <w:b/>
          <w:sz w:val="32"/>
          <w:szCs w:val="32"/>
        </w:rPr>
        <w:t xml:space="preserve">  </w:t>
      </w:r>
      <w:r>
        <w:rPr>
          <w:rFonts w:ascii="仿宋_GB2312" w:eastAsia="仿宋_GB2312"/>
          <w:sz w:val="32"/>
          <w:szCs w:val="32"/>
        </w:rPr>
        <w:t>为推进依法治校，进一步规范和加强学校印章管理，避免因印章管理使用不当出现的各类</w:t>
      </w:r>
      <w:r>
        <w:rPr>
          <w:rFonts w:hint="eastAsia" w:ascii="仿宋_GB2312" w:eastAsia="仿宋_GB2312"/>
          <w:sz w:val="32"/>
          <w:szCs w:val="32"/>
        </w:rPr>
        <w:t>政治、</w:t>
      </w:r>
      <w:r>
        <w:rPr>
          <w:rFonts w:ascii="仿宋_GB2312" w:eastAsia="仿宋_GB2312"/>
          <w:sz w:val="32"/>
          <w:szCs w:val="32"/>
        </w:rPr>
        <w:t>经济、法律、行政问题，确保用印安全，结合学校实际，特制定本</w:t>
      </w:r>
      <w:r>
        <w:rPr>
          <w:rFonts w:hint="eastAsia" w:ascii="仿宋_GB2312" w:eastAsia="仿宋_GB2312"/>
          <w:sz w:val="32"/>
          <w:szCs w:val="32"/>
        </w:rPr>
        <w:t>规定</w:t>
      </w:r>
      <w:r>
        <w:rPr>
          <w:rFonts w:ascii="仿宋_GB2312" w:eastAsia="仿宋_GB2312"/>
          <w:sz w:val="32"/>
          <w:szCs w:val="32"/>
        </w:rPr>
        <w:t>。</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第二条</w:t>
      </w:r>
      <w:r>
        <w:rPr>
          <w:rFonts w:hint="eastAsia" w:ascii="仿宋_GB2312" w:eastAsia="仿宋_GB2312"/>
          <w:sz w:val="32"/>
          <w:szCs w:val="32"/>
        </w:rPr>
        <w:t xml:space="preserve">  </w:t>
      </w:r>
      <w:r>
        <w:rPr>
          <w:rFonts w:ascii="仿宋_GB2312" w:eastAsia="仿宋_GB2312"/>
          <w:sz w:val="32"/>
          <w:szCs w:val="32"/>
        </w:rPr>
        <w:t>本</w:t>
      </w:r>
      <w:r>
        <w:rPr>
          <w:rFonts w:hint="eastAsia" w:ascii="仿宋_GB2312" w:eastAsia="仿宋_GB2312"/>
          <w:sz w:val="32"/>
          <w:szCs w:val="32"/>
        </w:rPr>
        <w:t>规定</w:t>
      </w:r>
      <w:r>
        <w:rPr>
          <w:rFonts w:ascii="仿宋_GB2312" w:eastAsia="仿宋_GB2312"/>
          <w:sz w:val="32"/>
          <w:szCs w:val="32"/>
        </w:rPr>
        <w:t>所指的印章包括：</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（一）学校法定名称章，指党委印章、行政印章、钢印；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（二）</w:t>
      </w:r>
      <w:r>
        <w:rPr>
          <w:rFonts w:hint="eastAsia" w:ascii="仿宋_GB2312" w:eastAsia="仿宋_GB2312"/>
          <w:sz w:val="32"/>
          <w:szCs w:val="32"/>
        </w:rPr>
        <w:t>学</w:t>
      </w:r>
      <w:r>
        <w:rPr>
          <w:rFonts w:ascii="仿宋_GB2312" w:eastAsia="仿宋_GB2312"/>
          <w:sz w:val="32"/>
          <w:szCs w:val="32"/>
        </w:rPr>
        <w:t>校党委书记签名章，校长法人财务印鉴章、校长签名章；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（三）</w:t>
      </w:r>
      <w:r>
        <w:rPr>
          <w:rFonts w:hint="eastAsia" w:ascii="仿宋_GB2312" w:eastAsia="仿宋_GB2312"/>
          <w:sz w:val="32"/>
          <w:szCs w:val="32"/>
        </w:rPr>
        <w:t>学</w:t>
      </w:r>
      <w:r>
        <w:rPr>
          <w:rFonts w:ascii="仿宋_GB2312" w:eastAsia="仿宋_GB2312"/>
          <w:sz w:val="32"/>
          <w:szCs w:val="32"/>
        </w:rPr>
        <w:t>校党委各部门、群团组织、各基层党总支</w:t>
      </w:r>
      <w:r>
        <w:rPr>
          <w:rFonts w:hint="eastAsia" w:ascii="仿宋_GB2312" w:eastAsia="仿宋_GB2312"/>
          <w:sz w:val="32"/>
          <w:szCs w:val="32"/>
        </w:rPr>
        <w:t>（直属</w:t>
      </w:r>
      <w:r>
        <w:rPr>
          <w:rFonts w:ascii="仿宋_GB2312" w:eastAsia="仿宋_GB2312"/>
          <w:sz w:val="32"/>
          <w:szCs w:val="32"/>
        </w:rPr>
        <w:t>党支部）印章；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（四）</w:t>
      </w:r>
      <w:r>
        <w:rPr>
          <w:rFonts w:hint="eastAsia" w:ascii="仿宋_GB2312" w:eastAsia="仿宋_GB2312"/>
          <w:sz w:val="32"/>
          <w:szCs w:val="32"/>
        </w:rPr>
        <w:t>学</w:t>
      </w:r>
      <w:r>
        <w:rPr>
          <w:rFonts w:ascii="仿宋_GB2312" w:eastAsia="仿宋_GB2312"/>
          <w:sz w:val="32"/>
          <w:szCs w:val="32"/>
        </w:rPr>
        <w:t>校各二级学院、各部门、科研机构印章；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（五）冠以法定名称的业务专用章；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（六）其它经学校许可使用的印章。</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rPr>
      </w:pPr>
      <w:r>
        <w:rPr>
          <w:rFonts w:ascii="仿宋_GB2312" w:eastAsia="仿宋_GB2312"/>
          <w:b/>
          <w:sz w:val="32"/>
          <w:szCs w:val="32"/>
        </w:rPr>
        <w:t>第三条</w:t>
      </w:r>
      <w:r>
        <w:rPr>
          <w:rFonts w:hint="eastAsia" w:ascii="仿宋_GB2312" w:eastAsia="仿宋_GB2312"/>
          <w:sz w:val="32"/>
          <w:szCs w:val="32"/>
        </w:rPr>
        <w:t xml:space="preserve">  学</w:t>
      </w:r>
      <w:r>
        <w:rPr>
          <w:rFonts w:ascii="仿宋_GB2312" w:eastAsia="仿宋_GB2312"/>
          <w:sz w:val="32"/>
          <w:szCs w:val="32"/>
        </w:rPr>
        <w:t>校党委办公室是学校党务各类印章的综合管理部门，校长办公室是学校行政各类印章的综合管理部门，统一审核各类印章的刻制，并监督使用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第二章</w:t>
      </w:r>
      <w:r>
        <w:rPr>
          <w:rFonts w:hint="eastAsia" w:ascii="黑体" w:eastAsia="黑体"/>
          <w:b/>
          <w:sz w:val="32"/>
          <w:szCs w:val="32"/>
        </w:rPr>
        <w:t xml:space="preserve">  </w:t>
      </w:r>
      <w:r>
        <w:rPr>
          <w:rFonts w:ascii="黑体" w:eastAsia="黑体"/>
          <w:b/>
          <w:sz w:val="32"/>
          <w:szCs w:val="32"/>
        </w:rPr>
        <w:t>印章规格及式样</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第四条</w:t>
      </w:r>
      <w:r>
        <w:rPr>
          <w:rFonts w:hint="eastAsia" w:ascii="仿宋_GB2312" w:eastAsia="仿宋_GB2312"/>
          <w:sz w:val="32"/>
          <w:szCs w:val="32"/>
        </w:rPr>
        <w:t xml:space="preserve">  </w:t>
      </w:r>
      <w:r>
        <w:rPr>
          <w:rFonts w:ascii="仿宋_GB2312" w:eastAsia="仿宋_GB2312"/>
          <w:sz w:val="32"/>
          <w:szCs w:val="32"/>
        </w:rPr>
        <w:t>各类印章所刊汉字一律使用国务院公布的简化字，字体为宋体。印章所刊名称，应为学校发文所规定的名称。印章刻制的规格以及式样统一由</w:t>
      </w:r>
      <w:r>
        <w:rPr>
          <w:rFonts w:hint="eastAsia" w:ascii="仿宋_GB2312" w:eastAsia="仿宋_GB2312"/>
          <w:sz w:val="32"/>
          <w:szCs w:val="32"/>
        </w:rPr>
        <w:t>学</w:t>
      </w:r>
      <w:r>
        <w:rPr>
          <w:rFonts w:ascii="仿宋_GB2312" w:eastAsia="仿宋_GB2312"/>
          <w:sz w:val="32"/>
          <w:szCs w:val="32"/>
        </w:rPr>
        <w:t>校党委办公室或校长办公室规范，其它任何组织或个人不得擅自更改。</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第五条</w:t>
      </w:r>
      <w:r>
        <w:rPr>
          <w:rFonts w:hint="eastAsia" w:ascii="仿宋_GB2312" w:eastAsia="仿宋_GB2312"/>
          <w:sz w:val="32"/>
          <w:szCs w:val="32"/>
        </w:rPr>
        <w:t xml:space="preserve">  </w:t>
      </w:r>
      <w:r>
        <w:rPr>
          <w:rFonts w:ascii="仿宋_GB2312" w:eastAsia="仿宋_GB2312"/>
          <w:sz w:val="32"/>
          <w:szCs w:val="32"/>
        </w:rPr>
        <w:t>学校法定名称章规格及式样：</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党委印章</w:t>
      </w:r>
      <w:r>
        <w:rPr>
          <w:rFonts w:hint="eastAsia" w:ascii="仿宋_GB2312" w:eastAsia="仿宋_GB2312"/>
          <w:sz w:val="32"/>
          <w:szCs w:val="32"/>
        </w:rPr>
        <w:t>（直径 42 毫米）</w:t>
      </w:r>
      <w:r>
        <w:rPr>
          <w:rFonts w:ascii="仿宋_GB2312" w:eastAsia="仿宋_GB2312"/>
          <w:sz w:val="32"/>
          <w:szCs w:val="32"/>
        </w:rPr>
        <w:t>：中间刊党徽，党徽上自左向右环形字样为“中国共产党</w:t>
      </w:r>
      <w:r>
        <w:rPr>
          <w:rFonts w:hint="eastAsia" w:ascii="仿宋_GB2312" w:eastAsia="仿宋_GB2312"/>
          <w:sz w:val="32"/>
          <w:szCs w:val="32"/>
        </w:rPr>
        <w:t>柳州</w:t>
      </w:r>
      <w:r>
        <w:rPr>
          <w:rFonts w:ascii="仿宋_GB2312" w:eastAsia="仿宋_GB2312"/>
          <w:sz w:val="32"/>
          <w:szCs w:val="32"/>
        </w:rPr>
        <w:t>职业技术学院委员会”。</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行政校章</w:t>
      </w:r>
      <w:r>
        <w:rPr>
          <w:rFonts w:hint="eastAsia" w:ascii="仿宋_GB2312" w:eastAsia="仿宋_GB2312"/>
          <w:sz w:val="32"/>
          <w:szCs w:val="32"/>
        </w:rPr>
        <w:t>（直径 42 毫米）</w:t>
      </w:r>
      <w:r>
        <w:rPr>
          <w:rFonts w:ascii="仿宋_GB2312" w:eastAsia="仿宋_GB2312"/>
          <w:sz w:val="32"/>
          <w:szCs w:val="32"/>
        </w:rPr>
        <w:t>：中间刊五角星，五角星上部自左向右环形字样为“</w:t>
      </w:r>
      <w:r>
        <w:rPr>
          <w:rFonts w:hint="eastAsia" w:ascii="仿宋_GB2312" w:eastAsia="仿宋_GB2312"/>
          <w:sz w:val="32"/>
          <w:szCs w:val="32"/>
        </w:rPr>
        <w:t>柳州</w:t>
      </w:r>
      <w:r>
        <w:rPr>
          <w:rFonts w:ascii="仿宋_GB2312" w:eastAsia="仿宋_GB2312"/>
          <w:sz w:val="32"/>
          <w:szCs w:val="32"/>
        </w:rPr>
        <w:t>职业技术学院”。</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学校钢印</w:t>
      </w:r>
      <w:r>
        <w:rPr>
          <w:rFonts w:hint="eastAsia" w:ascii="仿宋_GB2312" w:eastAsia="仿宋_GB2312"/>
          <w:sz w:val="32"/>
          <w:szCs w:val="32"/>
        </w:rPr>
        <w:t>（直径 40 毫米）</w:t>
      </w:r>
      <w:r>
        <w:rPr>
          <w:rFonts w:ascii="仿宋_GB2312" w:eastAsia="仿宋_GB2312"/>
          <w:sz w:val="32"/>
          <w:szCs w:val="32"/>
        </w:rPr>
        <w:t>：中间刊五角星，五角星上部自左向右环形字样为“</w:t>
      </w:r>
      <w:r>
        <w:rPr>
          <w:rFonts w:hint="eastAsia" w:ascii="仿宋_GB2312" w:eastAsia="仿宋_GB2312"/>
          <w:sz w:val="32"/>
          <w:szCs w:val="32"/>
        </w:rPr>
        <w:t>柳州</w:t>
      </w:r>
      <w:r>
        <w:rPr>
          <w:rFonts w:ascii="仿宋_GB2312" w:eastAsia="仿宋_GB2312"/>
          <w:sz w:val="32"/>
          <w:szCs w:val="32"/>
        </w:rPr>
        <w:t>职业技术学院”。</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第六条</w:t>
      </w:r>
      <w:r>
        <w:rPr>
          <w:rFonts w:hint="eastAsia" w:ascii="仿宋_GB2312" w:eastAsia="仿宋_GB2312"/>
          <w:sz w:val="32"/>
          <w:szCs w:val="32"/>
        </w:rPr>
        <w:t xml:space="preserve">  </w:t>
      </w:r>
      <w:r>
        <w:rPr>
          <w:rFonts w:ascii="仿宋_GB2312" w:eastAsia="仿宋_GB2312"/>
          <w:sz w:val="32"/>
          <w:szCs w:val="32"/>
        </w:rPr>
        <w:t>各二级学院、各部门印章规格及式样</w:t>
      </w:r>
      <w:r>
        <w:rPr>
          <w:rFonts w:hint="eastAsia" w:ascii="仿宋_GB2312" w:eastAsia="仿宋_GB2312"/>
          <w:sz w:val="32"/>
          <w:szCs w:val="32"/>
        </w:rPr>
        <w:t>：</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学</w:t>
      </w:r>
      <w:r>
        <w:rPr>
          <w:rFonts w:ascii="仿宋_GB2312" w:eastAsia="仿宋_GB2312"/>
          <w:sz w:val="32"/>
          <w:szCs w:val="32"/>
        </w:rPr>
        <w:t>校党委各部门、群团组织、各基层党总支</w:t>
      </w:r>
      <w:r>
        <w:rPr>
          <w:rFonts w:hint="eastAsia" w:ascii="仿宋_GB2312" w:eastAsia="仿宋_GB2312"/>
          <w:sz w:val="32"/>
          <w:szCs w:val="32"/>
        </w:rPr>
        <w:t>（直属党</w:t>
      </w:r>
      <w:r>
        <w:rPr>
          <w:rFonts w:ascii="仿宋_GB2312" w:eastAsia="仿宋_GB2312"/>
          <w:sz w:val="32"/>
          <w:szCs w:val="32"/>
        </w:rPr>
        <w:t>支部）印章为圆形，直径均为 42 毫米；</w:t>
      </w:r>
      <w:r>
        <w:rPr>
          <w:rFonts w:hint="eastAsia" w:ascii="仿宋_GB2312" w:eastAsia="仿宋_GB2312"/>
          <w:sz w:val="32"/>
          <w:szCs w:val="32"/>
        </w:rPr>
        <w:t>学</w:t>
      </w:r>
      <w:r>
        <w:rPr>
          <w:rFonts w:ascii="仿宋_GB2312" w:eastAsia="仿宋_GB2312"/>
          <w:sz w:val="32"/>
          <w:szCs w:val="32"/>
        </w:rPr>
        <w:t>校各行政职</w:t>
      </w:r>
      <w:r>
        <w:rPr>
          <w:rFonts w:hint="eastAsia" w:ascii="仿宋_GB2312" w:eastAsia="仿宋_GB2312"/>
          <w:sz w:val="32"/>
          <w:szCs w:val="32"/>
        </w:rPr>
        <w:t>能</w:t>
      </w:r>
      <w:r>
        <w:rPr>
          <w:rFonts w:ascii="仿宋_GB2312" w:eastAsia="仿宋_GB2312"/>
          <w:sz w:val="32"/>
          <w:szCs w:val="32"/>
        </w:rPr>
        <w:t>部门印章为圆形，直径均为 42 毫米；校内各二级学院、人事处印章为圆形、直径均为 40 毫米。</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党委各部门印章式样：中间刊党徽，党徽上自左向右环形字样为“中国共产党</w:t>
      </w:r>
      <w:r>
        <w:rPr>
          <w:rFonts w:hint="eastAsia" w:ascii="仿宋_GB2312" w:eastAsia="仿宋_GB2312"/>
          <w:sz w:val="32"/>
          <w:szCs w:val="32"/>
        </w:rPr>
        <w:t>柳州</w:t>
      </w:r>
      <w:r>
        <w:rPr>
          <w:rFonts w:ascii="仿宋_GB2312" w:eastAsia="仿宋_GB2312"/>
          <w:sz w:val="32"/>
          <w:szCs w:val="32"/>
        </w:rPr>
        <w:t>职业技术学院委员会”，党徽下部自左向右横排刻制相应的部门名称。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各基层党总支</w:t>
      </w:r>
      <w:r>
        <w:rPr>
          <w:rFonts w:hint="eastAsia" w:ascii="仿宋_GB2312" w:eastAsia="仿宋_GB2312"/>
          <w:sz w:val="32"/>
          <w:szCs w:val="32"/>
        </w:rPr>
        <w:t>（</w:t>
      </w:r>
      <w:r>
        <w:rPr>
          <w:rFonts w:ascii="仿宋_GB2312" w:eastAsia="仿宋_GB2312"/>
          <w:sz w:val="32"/>
          <w:szCs w:val="32"/>
        </w:rPr>
        <w:t>直属党支部）印章式样：中间刊党徽，党徽上自左向右环形字样为 “中国共产党</w:t>
      </w:r>
      <w:r>
        <w:rPr>
          <w:rFonts w:hint="eastAsia" w:ascii="仿宋_GB2312" w:eastAsia="仿宋_GB2312"/>
          <w:sz w:val="32"/>
          <w:szCs w:val="32"/>
        </w:rPr>
        <w:t>柳州</w:t>
      </w:r>
      <w:r>
        <w:rPr>
          <w:rFonts w:ascii="仿宋_GB2312" w:eastAsia="仿宋_GB2312"/>
          <w:sz w:val="32"/>
          <w:szCs w:val="32"/>
        </w:rPr>
        <w:t>职业技术学院××总支部委员会”或“中国共产党</w:t>
      </w:r>
      <w:r>
        <w:rPr>
          <w:rFonts w:hint="eastAsia" w:ascii="仿宋_GB2312" w:eastAsia="仿宋_GB2312"/>
          <w:sz w:val="32"/>
          <w:szCs w:val="32"/>
        </w:rPr>
        <w:t>柳州</w:t>
      </w:r>
      <w:r>
        <w:rPr>
          <w:rFonts w:ascii="仿宋_GB2312" w:eastAsia="仿宋_GB2312"/>
          <w:sz w:val="32"/>
          <w:szCs w:val="32"/>
        </w:rPr>
        <w:t>职业技术学院××支部委员会”。</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各二级学院、各行政部门、各直属业务单位、科研机构印章：中间刊五角星，五角星上部自左向右环形字样为“</w:t>
      </w:r>
      <w:r>
        <w:rPr>
          <w:rFonts w:hint="eastAsia" w:ascii="仿宋_GB2312" w:eastAsia="仿宋_GB2312"/>
          <w:sz w:val="32"/>
          <w:szCs w:val="32"/>
        </w:rPr>
        <w:t>柳州</w:t>
      </w:r>
      <w:r>
        <w:rPr>
          <w:rFonts w:ascii="仿宋_GB2312" w:eastAsia="仿宋_GB2312"/>
          <w:sz w:val="32"/>
          <w:szCs w:val="32"/>
        </w:rPr>
        <w:t>职业技术学院”，下部自左向右横排刻制相应单位名称。</w:t>
      </w: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第三章</w:t>
      </w:r>
      <w:r>
        <w:rPr>
          <w:rFonts w:hint="eastAsia" w:ascii="黑体" w:eastAsia="黑体"/>
          <w:b/>
          <w:sz w:val="32"/>
          <w:szCs w:val="32"/>
        </w:rPr>
        <w:t xml:space="preserve">  </w:t>
      </w:r>
      <w:r>
        <w:rPr>
          <w:rFonts w:ascii="黑体" w:eastAsia="黑体"/>
          <w:b/>
          <w:sz w:val="32"/>
          <w:szCs w:val="32"/>
        </w:rPr>
        <w:t>印章的刻制、启用与废止</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第七条</w:t>
      </w:r>
      <w:r>
        <w:rPr>
          <w:rFonts w:hint="eastAsia" w:ascii="仿宋_GB2312" w:eastAsia="仿宋_GB2312"/>
          <w:sz w:val="32"/>
          <w:szCs w:val="32"/>
        </w:rPr>
        <w:t xml:space="preserve">  </w:t>
      </w:r>
      <w:r>
        <w:rPr>
          <w:rFonts w:ascii="仿宋_GB2312" w:eastAsia="仿宋_GB2312"/>
          <w:sz w:val="32"/>
          <w:szCs w:val="32"/>
        </w:rPr>
        <w:t>党委办公室和校长办公室负责学校各单位印章的刻制审批、启用、收回与销毁以及使用监督等管理工作。</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八</w:t>
      </w:r>
      <w:r>
        <w:rPr>
          <w:rFonts w:ascii="仿宋_GB2312" w:eastAsia="仿宋_GB2312"/>
          <w:b/>
          <w:sz w:val="32"/>
          <w:szCs w:val="32"/>
        </w:rPr>
        <w:t>条</w:t>
      </w:r>
      <w:r>
        <w:rPr>
          <w:rFonts w:hint="eastAsia" w:ascii="仿宋_GB2312" w:eastAsia="仿宋_GB2312"/>
          <w:b/>
          <w:sz w:val="32"/>
          <w:szCs w:val="32"/>
        </w:rPr>
        <w:t xml:space="preserve">  </w:t>
      </w:r>
      <w:r>
        <w:rPr>
          <w:rFonts w:ascii="仿宋_GB2312" w:eastAsia="仿宋_GB2312"/>
          <w:sz w:val="32"/>
          <w:szCs w:val="32"/>
        </w:rPr>
        <w:t>刻制印章分别按下列程序办理</w:t>
      </w:r>
      <w:r>
        <w:rPr>
          <w:rFonts w:hint="eastAsia" w:ascii="仿宋_GB2312" w:eastAsia="仿宋_GB2312"/>
          <w:sz w:val="32"/>
          <w:szCs w:val="32"/>
        </w:rPr>
        <w:t>：</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（一）校级印章的刻制，由党委办公室和校长办公室持上一级党委或行政单位批准成立的批件及证明信函，前往</w:t>
      </w:r>
      <w:r>
        <w:rPr>
          <w:rFonts w:hint="eastAsia" w:ascii="仿宋_GB2312" w:eastAsia="仿宋_GB2312"/>
          <w:sz w:val="32"/>
          <w:szCs w:val="32"/>
        </w:rPr>
        <w:t>柳州</w:t>
      </w:r>
      <w:r>
        <w:rPr>
          <w:rFonts w:ascii="仿宋_GB2312" w:eastAsia="仿宋_GB2312"/>
          <w:sz w:val="32"/>
          <w:szCs w:val="32"/>
        </w:rPr>
        <w:t>市公安局治安管理机关审批办理刻制印章相关事宜。</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（二）各二级学院、各部门印章的刻制，由党委办公室和校长办公室持学校批准成立的文件分党群和行政两个系列，按规定持证明信函前往</w:t>
      </w:r>
      <w:r>
        <w:rPr>
          <w:rFonts w:hint="eastAsia" w:ascii="仿宋_GB2312" w:eastAsia="仿宋_GB2312"/>
          <w:sz w:val="32"/>
          <w:szCs w:val="32"/>
        </w:rPr>
        <w:t>柳州</w:t>
      </w:r>
      <w:r>
        <w:rPr>
          <w:rFonts w:ascii="仿宋_GB2312" w:eastAsia="仿宋_GB2312"/>
          <w:sz w:val="32"/>
          <w:szCs w:val="32"/>
        </w:rPr>
        <w:t>市公安局治安管理机关统一审批办理刻制印章相关事宜；并及时将刻制好的印章</w:t>
      </w:r>
      <w:r>
        <w:rPr>
          <w:rFonts w:hint="eastAsia" w:ascii="仿宋_GB2312" w:eastAsia="仿宋_GB2312"/>
          <w:sz w:val="32"/>
          <w:szCs w:val="32"/>
        </w:rPr>
        <w:t>的公章</w:t>
      </w:r>
      <w:r>
        <w:rPr>
          <w:rFonts w:ascii="仿宋_GB2312" w:eastAsia="仿宋_GB2312"/>
          <w:sz w:val="32"/>
          <w:szCs w:val="32"/>
        </w:rPr>
        <w:t>准刻证移交到学校综合档案室保存。任何部门和个人均不得自行刻制公章。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三）各部门领取印章时，必须履行登记、办理交接签收手续。</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第九条</w:t>
      </w:r>
      <w:r>
        <w:rPr>
          <w:rFonts w:hint="eastAsia" w:ascii="仿宋_GB2312" w:eastAsia="仿宋_GB2312"/>
          <w:sz w:val="32"/>
          <w:szCs w:val="32"/>
        </w:rPr>
        <w:t xml:space="preserve">  </w:t>
      </w:r>
      <w:r>
        <w:rPr>
          <w:rFonts w:ascii="仿宋_GB2312" w:eastAsia="仿宋_GB2312"/>
          <w:sz w:val="32"/>
          <w:szCs w:val="32"/>
        </w:rPr>
        <w:t>凡刻制好的印章在启用前必须在党委办公室或校长办公室留印模备案，并在发文公布后方能启用。如果有旧印章的，应同时上交党委办公室或校长办公室，旧印章作废停止使用。对于党委办公室或校长办公室无备案的印章，学校不承认其有效性。</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rPr>
      </w:pPr>
      <w:r>
        <w:rPr>
          <w:rFonts w:ascii="仿宋_GB2312" w:eastAsia="仿宋_GB2312"/>
          <w:b/>
          <w:sz w:val="32"/>
          <w:szCs w:val="32"/>
        </w:rPr>
        <w:t>第十条</w:t>
      </w:r>
      <w:r>
        <w:rPr>
          <w:rFonts w:hint="eastAsia" w:ascii="仿宋_GB2312" w:eastAsia="仿宋_GB2312"/>
          <w:b/>
          <w:sz w:val="32"/>
          <w:szCs w:val="32"/>
        </w:rPr>
        <w:t xml:space="preserve">  </w:t>
      </w:r>
      <w:r>
        <w:rPr>
          <w:rFonts w:ascii="仿宋_GB2312" w:eastAsia="仿宋_GB2312"/>
          <w:sz w:val="32"/>
          <w:szCs w:val="32"/>
        </w:rPr>
        <w:t>学校应及时更新校内印章目录，未列入目录的印章均为无效印章。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第四章</w:t>
      </w:r>
      <w:r>
        <w:rPr>
          <w:rFonts w:hint="eastAsia" w:ascii="黑体" w:eastAsia="黑体"/>
          <w:b/>
          <w:sz w:val="32"/>
          <w:szCs w:val="32"/>
        </w:rPr>
        <w:t xml:space="preserve">  </w:t>
      </w:r>
      <w:r>
        <w:rPr>
          <w:rFonts w:ascii="黑体" w:eastAsia="黑体"/>
          <w:b/>
          <w:sz w:val="32"/>
          <w:szCs w:val="32"/>
        </w:rPr>
        <w:t>印章的保管</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第十一条</w:t>
      </w:r>
      <w:r>
        <w:rPr>
          <w:rFonts w:hint="eastAsia" w:ascii="仿宋_GB2312" w:eastAsia="仿宋_GB2312"/>
          <w:sz w:val="32"/>
          <w:szCs w:val="32"/>
        </w:rPr>
        <w:t xml:space="preserve">  </w:t>
      </w:r>
      <w:r>
        <w:rPr>
          <w:rFonts w:ascii="仿宋_GB2312" w:eastAsia="仿宋_GB2312"/>
          <w:sz w:val="32"/>
          <w:szCs w:val="32"/>
        </w:rPr>
        <w:t>学校印章、学校领导个人及各部门的印章，必须指定专人保管；印章应置放于铁皮柜或者专门加锁的抽屉内保存。</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rPr>
      </w:pPr>
      <w:r>
        <w:rPr>
          <w:rFonts w:ascii="仿宋_GB2312" w:eastAsia="仿宋_GB2312"/>
          <w:b/>
          <w:sz w:val="32"/>
          <w:szCs w:val="32"/>
        </w:rPr>
        <w:t>第十二条</w:t>
      </w:r>
      <w:r>
        <w:rPr>
          <w:rFonts w:hint="eastAsia" w:ascii="仿宋_GB2312" w:eastAsia="仿宋_GB2312"/>
          <w:sz w:val="32"/>
          <w:szCs w:val="32"/>
        </w:rPr>
        <w:t xml:space="preserve">  </w:t>
      </w:r>
      <w:r>
        <w:rPr>
          <w:rFonts w:ascii="仿宋_GB2312" w:eastAsia="仿宋_GB2312"/>
          <w:sz w:val="32"/>
          <w:szCs w:val="32"/>
        </w:rPr>
        <w:t>发现保管的印章有异常情况或丢失，应该保护现场，及时上报领导或有关部门进行处理。</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第五章</w:t>
      </w:r>
      <w:r>
        <w:rPr>
          <w:rFonts w:hint="eastAsia" w:ascii="黑体" w:eastAsia="黑体"/>
          <w:b/>
          <w:sz w:val="32"/>
          <w:szCs w:val="32"/>
        </w:rPr>
        <w:t xml:space="preserve">  </w:t>
      </w:r>
      <w:r>
        <w:rPr>
          <w:rFonts w:ascii="黑体" w:eastAsia="黑体"/>
          <w:b/>
          <w:sz w:val="32"/>
          <w:szCs w:val="32"/>
        </w:rPr>
        <w:t>印章的适用范围</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第十三条</w:t>
      </w:r>
      <w:r>
        <w:rPr>
          <w:rFonts w:hint="eastAsia" w:ascii="仿宋_GB2312" w:eastAsia="仿宋_GB2312"/>
          <w:sz w:val="32"/>
          <w:szCs w:val="32"/>
        </w:rPr>
        <w:t xml:space="preserve">  </w:t>
      </w:r>
      <w:r>
        <w:rPr>
          <w:rFonts w:ascii="仿宋_GB2312" w:eastAsia="仿宋_GB2312"/>
          <w:sz w:val="32"/>
          <w:szCs w:val="32"/>
        </w:rPr>
        <w:t>学校印章：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（一）党委印章：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1．以学校党委名义上报、下发的文件、公函、报告、决议、批复和其它材料；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2．由组织部批准的入党志愿书；</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3．签署党委意见的报表、推荐表；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4．以党委名义开具的介绍信；</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5．出国出境政审；</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6．其它需要使用党委印章的文件及材料。</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（二）学校行政公章：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1．以学校名义向上级单位报送的各类公文、报表等；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2．向校外单位发出的函件；</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3．向校内单位印发的文件；</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4．以学校名义签订的各类合同、协议书、意向书、委托书等；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5．以学校名义颁发的各类奖状、证书、工作证、学生证、毕业证和结业证、学历证明、各种荣誉证书、聘书、职称证、退休证等；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6．以学校名义开具的用于对外联系工作、考察调研、处理业务的相关文件、认证材料以及各类证明材料等；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7．申报国家、部委、自治区、市级各类科研课题的申请材料；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8．各类须经学校批准的申请表、广告、声明、申报材料、出国证明材料等；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9．经分管校领导批准的其它需要使用学校行政公章的文件及材料。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10.常规性行政工作。</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（三）学校钢印：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学校颁发的各类证件，包括工作证、毕业证、结业证、肄业证、职称证、退休证、毕业证明书、职业技能培训证明书等。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（四）党委书记签名章：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1．出国政审用章，凭学校发布的有关出国文件，依据组织部门审查意见，在政审表上加盖书记签名章。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2．职称政审用章，依据人事部门审查意见，在职称评审表格上加盖书记签名章。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3．其它事由用章，一律须经书记本人同意、签字后方可用章。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（五）校长法人财务印鉴章：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1.部门年度财务预算报表或决算报表；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2.财政资金支付凭证、各银行的现金支票和转账单。</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柳州</w:t>
      </w:r>
      <w:r>
        <w:rPr>
          <w:rFonts w:ascii="仿宋_GB2312" w:eastAsia="仿宋_GB2312"/>
          <w:sz w:val="32"/>
          <w:szCs w:val="32"/>
        </w:rPr>
        <w:t>市财政直接支付申请表；</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4.报物价局/税局/财政局各类文件、函；</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5.报物价局/税局/财政局/审计局各类汇总数据表、说明表等；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6.其他检查、审计、上报等需上报数据表、说明表等。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b/>
          <w:sz w:val="32"/>
          <w:szCs w:val="32"/>
        </w:rPr>
      </w:pPr>
      <w:r>
        <w:rPr>
          <w:rFonts w:ascii="仿宋_GB2312" w:eastAsia="仿宋_GB2312"/>
          <w:b/>
          <w:sz w:val="32"/>
          <w:szCs w:val="32"/>
        </w:rPr>
        <w:t>（六）校长签名章：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1．需要法定代表人签章的各类报表、合同、协议、意向书以及委托书、任务书、申报表、审批表等；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2．学生毕业证、各种校级聘书、荣誉证书；</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3．以校长个人名义发出的信函以及校长明确批示需要使用校长签名章的文件信函、证明等。</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第十四条</w:t>
      </w:r>
      <w:r>
        <w:rPr>
          <w:rFonts w:hint="eastAsia" w:ascii="仿宋_GB2312" w:eastAsia="仿宋_GB2312"/>
          <w:sz w:val="32"/>
          <w:szCs w:val="32"/>
        </w:rPr>
        <w:t xml:space="preserve">  </w:t>
      </w:r>
      <w:r>
        <w:rPr>
          <w:rFonts w:ascii="仿宋_GB2312" w:eastAsia="仿宋_GB2312"/>
          <w:sz w:val="32"/>
          <w:szCs w:val="32"/>
        </w:rPr>
        <w:t>使用部门印章：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（一）党委办公室或校长办公室印章：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以党委办公室或校长办公室名义的上报、下发的公文、通知、通告、公告以及对兄弟院校、单位的来往信函、贺信等；其它事由需用党委办公室或校长办公室印章，由党委办公室或校长办公室主任审批。</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（二）学校各二级学院、各部门印章，仅用于职责范围内处理公务，原则上不对外使用。上级领导机关有明确要求的或业务专用章除外。</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（三）学校科研机构印章仅用于校内工作联系，学术交流，宣传、推荐、申报科技成果，向学校推荐或申报科研项目。</w:t>
      </w: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第六章</w:t>
      </w:r>
      <w:r>
        <w:rPr>
          <w:rFonts w:hint="eastAsia" w:ascii="黑体" w:eastAsia="黑体"/>
          <w:b/>
          <w:sz w:val="32"/>
          <w:szCs w:val="32"/>
        </w:rPr>
        <w:t xml:space="preserve">  </w:t>
      </w:r>
      <w:r>
        <w:rPr>
          <w:rFonts w:ascii="黑体" w:eastAsia="黑体"/>
          <w:b/>
          <w:sz w:val="32"/>
          <w:szCs w:val="32"/>
        </w:rPr>
        <w:t>印章的使用程序和批准权限</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第十五条</w:t>
      </w:r>
      <w:r>
        <w:rPr>
          <w:rFonts w:hint="eastAsia" w:ascii="仿宋_GB2312" w:eastAsia="仿宋_GB2312"/>
          <w:sz w:val="32"/>
          <w:szCs w:val="32"/>
        </w:rPr>
        <w:t xml:space="preserve">  需要盖章人员必须走相关流程（或填写印章审批表）</w:t>
      </w:r>
      <w:r>
        <w:rPr>
          <w:rFonts w:ascii="仿宋_GB2312" w:eastAsia="仿宋_GB2312"/>
          <w:sz w:val="32"/>
          <w:szCs w:val="32"/>
        </w:rPr>
        <w:t>。</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第十六条</w:t>
      </w:r>
      <w:r>
        <w:rPr>
          <w:rFonts w:hint="eastAsia" w:ascii="仿宋_GB2312" w:eastAsia="仿宋_GB2312"/>
          <w:b/>
          <w:sz w:val="32"/>
          <w:szCs w:val="32"/>
        </w:rPr>
        <w:t xml:space="preserve">  </w:t>
      </w:r>
      <w:r>
        <w:rPr>
          <w:rFonts w:hint="eastAsia" w:ascii="仿宋_GB2312" w:eastAsia="仿宋_GB2312"/>
          <w:sz w:val="32"/>
          <w:szCs w:val="32"/>
        </w:rPr>
        <w:t>各种协议、合同必须走合同会签流程，凭打印出来的流程图到办公室盖章。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第十七条</w:t>
      </w:r>
      <w:r>
        <w:rPr>
          <w:rFonts w:hint="eastAsia" w:ascii="仿宋_GB2312" w:eastAsia="仿宋_GB2312"/>
          <w:b/>
          <w:sz w:val="32"/>
          <w:szCs w:val="32"/>
        </w:rPr>
        <w:t xml:space="preserve">  </w:t>
      </w:r>
      <w:r>
        <w:rPr>
          <w:rFonts w:hint="eastAsia" w:ascii="仿宋_GB2312" w:eastAsia="仿宋_GB2312"/>
          <w:sz w:val="32"/>
          <w:szCs w:val="32"/>
        </w:rPr>
        <w:t>各种请示、报告、因公、因私出国（境），上报材料、申报材料、申报表等必须走请示报告流程，由主管校领导审核签字后凭打印出来的流程图到办公室盖章。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第十八条</w:t>
      </w:r>
      <w:r>
        <w:rPr>
          <w:rFonts w:hint="eastAsia" w:ascii="仿宋_GB2312" w:eastAsia="仿宋_GB2312"/>
          <w:b/>
          <w:sz w:val="32"/>
          <w:szCs w:val="32"/>
        </w:rPr>
        <w:t xml:space="preserve">  </w:t>
      </w:r>
      <w:r>
        <w:rPr>
          <w:rFonts w:hint="eastAsia" w:ascii="仿宋_GB2312" w:eastAsia="仿宋_GB2312"/>
          <w:sz w:val="32"/>
          <w:szCs w:val="32"/>
        </w:rPr>
        <w:t>各类证件、证书、介绍信、聘书、证明材料等必须填写印章使用章审批表（审批表从党委办公室、校长办公室部门网站的“办事指南”栏目中下载），并由各有关部门领导审核签字后凭打印出来审批表到办公室盖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第十九条</w:t>
      </w:r>
      <w:r>
        <w:rPr>
          <w:rFonts w:hint="eastAsia" w:ascii="仿宋_GB2312" w:eastAsia="仿宋_GB2312"/>
          <w:sz w:val="32"/>
          <w:szCs w:val="32"/>
        </w:rPr>
        <w:t xml:space="preserve">  学生的在校证明、贫困证明等由综合服务中心统一收集审核登记，再由综合服务中心派专人到办公室盖章。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钢印仅用于学校颁发的各类证书和证件的照片压印，不能独立使用。各有关部门不需要走流程，派专人到办公室盖钢印即可。</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hint="eastAsia" w:ascii="仿宋_GB2312" w:eastAsia="仿宋_GB2312"/>
          <w:b/>
          <w:sz w:val="32"/>
          <w:szCs w:val="32"/>
        </w:rPr>
        <w:t>第二十一条</w:t>
      </w:r>
      <w:r>
        <w:rPr>
          <w:rFonts w:hint="eastAsia" w:ascii="仿宋_GB2312" w:eastAsia="仿宋_GB2312"/>
          <w:sz w:val="32"/>
          <w:szCs w:val="32"/>
        </w:rPr>
        <w:t xml:space="preserve">  </w:t>
      </w:r>
      <w:r>
        <w:rPr>
          <w:rFonts w:ascii="仿宋_GB2312" w:eastAsia="仿宋_GB2312"/>
          <w:sz w:val="32"/>
          <w:szCs w:val="32"/>
        </w:rPr>
        <w:t>凡涉及学校房产、地产、重大财经、人事事务、重要经济合同等涉及学校的重大利益问题，如用学校印章或学校法人签名章，必须送主管校领导审查，向校长报告同意后方可用印。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二</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有下列情况之一者，不予用印：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1. 任何空白的介绍信、表格、纸张；</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2. 多处涂改或字迹不清的；</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3. 落款名称与印章名称不符的；</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4. 内容需核实或内容不清的；</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sz w:val="32"/>
          <w:szCs w:val="32"/>
        </w:rPr>
        <w:t>5. 其它不符合用印规定的情况。</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三</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各</w:t>
      </w:r>
      <w:r>
        <w:rPr>
          <w:rFonts w:hint="eastAsia" w:ascii="仿宋_GB2312" w:eastAsia="仿宋_GB2312"/>
          <w:sz w:val="32"/>
          <w:szCs w:val="32"/>
        </w:rPr>
        <w:t>部门</w:t>
      </w:r>
      <w:r>
        <w:rPr>
          <w:rFonts w:ascii="仿宋_GB2312" w:eastAsia="仿宋_GB2312"/>
          <w:sz w:val="32"/>
          <w:szCs w:val="32"/>
        </w:rPr>
        <w:t>应制定印章使用管理办法，建立用印办理程序和审批制度，严格把关，规范用印。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第七章 印章的保管和使用要求</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四</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各</w:t>
      </w:r>
      <w:r>
        <w:rPr>
          <w:rFonts w:hint="eastAsia" w:ascii="仿宋_GB2312" w:eastAsia="仿宋_GB2312"/>
          <w:sz w:val="32"/>
          <w:szCs w:val="32"/>
        </w:rPr>
        <w:t>部门</w:t>
      </w:r>
      <w:r>
        <w:rPr>
          <w:rFonts w:ascii="仿宋_GB2312" w:eastAsia="仿宋_GB2312"/>
          <w:sz w:val="32"/>
          <w:szCs w:val="32"/>
        </w:rPr>
        <w:t>持印的第一责任人必须重视印章管理工作，应指定专人负责印章的保管使用，并将监印人员名单报党委办公室或校长办公室备案。如更换监印人员，应做好交接手续，并及时书面报党委办公室或校长办公室备案。印章的交接手续由所在单位主管领导负责并记录备案。</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五</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印章必须妥善保管，不能随意乱放，不得借用，不能携出单位以外使用。印章遗失，必须及时上报。</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第二十</w:t>
      </w:r>
      <w:r>
        <w:rPr>
          <w:rFonts w:hint="eastAsia" w:ascii="仿宋_GB2312" w:eastAsia="仿宋_GB2312"/>
          <w:b/>
          <w:sz w:val="32"/>
          <w:szCs w:val="32"/>
        </w:rPr>
        <w:t>六</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监印人员要认真负责，坚持原则，严格按照用印程序用印。印章应加盖在发文日期中间偏上位置，骑年盖月，上不压正文，要求图章端正、清晰。</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二</w:t>
      </w:r>
      <w:r>
        <w:rPr>
          <w:rFonts w:ascii="仿宋_GB2312" w:eastAsia="仿宋_GB2312"/>
          <w:b/>
          <w:sz w:val="32"/>
          <w:szCs w:val="32"/>
        </w:rPr>
        <w:t>十</w:t>
      </w:r>
      <w:r>
        <w:rPr>
          <w:rFonts w:hint="eastAsia" w:ascii="仿宋_GB2312" w:eastAsia="仿宋_GB2312"/>
          <w:b/>
          <w:sz w:val="32"/>
          <w:szCs w:val="32"/>
        </w:rPr>
        <w:t>七</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各</w:t>
      </w:r>
      <w:r>
        <w:rPr>
          <w:rFonts w:hint="eastAsia" w:ascii="仿宋_GB2312" w:eastAsia="仿宋_GB2312"/>
          <w:sz w:val="32"/>
          <w:szCs w:val="32"/>
        </w:rPr>
        <w:t>部门</w:t>
      </w:r>
      <w:r>
        <w:rPr>
          <w:rFonts w:ascii="仿宋_GB2312" w:eastAsia="仿宋_GB2312"/>
          <w:sz w:val="32"/>
          <w:szCs w:val="32"/>
        </w:rPr>
        <w:t>应实施用印登记管理制度，对用印事由、用印单位、批准人、经办人、用印日期等进行详细登记，要保存好用印依据材料，以备核查。同时应有本</w:t>
      </w:r>
      <w:r>
        <w:rPr>
          <w:rFonts w:hint="eastAsia" w:ascii="仿宋_GB2312" w:eastAsia="仿宋_GB2312"/>
          <w:sz w:val="32"/>
          <w:szCs w:val="32"/>
        </w:rPr>
        <w:t>部门</w:t>
      </w:r>
      <w:r>
        <w:rPr>
          <w:rFonts w:ascii="仿宋_GB2312" w:eastAsia="仿宋_GB2312"/>
          <w:sz w:val="32"/>
          <w:szCs w:val="32"/>
        </w:rPr>
        <w:t>印章的印模册，以备查考。</w:t>
      </w:r>
    </w:p>
    <w:p>
      <w:pPr>
        <w:pageBreakBefore w:val="0"/>
        <w:kinsoku/>
        <w:wordWrap/>
        <w:overflowPunct/>
        <w:topLinePunct w:val="0"/>
        <w:autoSpaceDE/>
        <w:autoSpaceDN/>
        <w:bidi w:val="0"/>
        <w:spacing w:line="540" w:lineRule="exact"/>
        <w:ind w:firstLine="640" w:firstLineChars="200"/>
        <w:outlineLvl w:val="9"/>
        <w:rPr>
          <w:rFonts w:hint="eastAsia"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二</w:t>
      </w:r>
      <w:r>
        <w:rPr>
          <w:rFonts w:ascii="仿宋_GB2312" w:eastAsia="仿宋_GB2312"/>
          <w:b/>
          <w:sz w:val="32"/>
          <w:szCs w:val="32"/>
        </w:rPr>
        <w:t>十</w:t>
      </w:r>
      <w:r>
        <w:rPr>
          <w:rFonts w:hint="eastAsia" w:ascii="仿宋_GB2312" w:eastAsia="仿宋_GB2312"/>
          <w:b/>
          <w:sz w:val="32"/>
          <w:szCs w:val="32"/>
        </w:rPr>
        <w:t>八</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党委办公室和校长办公室要加强对各类印章使用的监督，定期检查各类印章的使用和管理情况。</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第八章 有关责任</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二</w:t>
      </w:r>
      <w:r>
        <w:rPr>
          <w:rFonts w:ascii="仿宋_GB2312" w:eastAsia="仿宋_GB2312"/>
          <w:b/>
          <w:sz w:val="32"/>
          <w:szCs w:val="32"/>
        </w:rPr>
        <w:t>十</w:t>
      </w:r>
      <w:r>
        <w:rPr>
          <w:rFonts w:hint="eastAsia" w:ascii="仿宋_GB2312" w:eastAsia="仿宋_GB2312"/>
          <w:b/>
          <w:sz w:val="32"/>
          <w:szCs w:val="32"/>
        </w:rPr>
        <w:t>九</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对于未经学校批准私刻印章的，学校将追究该</w:t>
      </w:r>
      <w:r>
        <w:rPr>
          <w:rFonts w:hint="eastAsia" w:ascii="仿宋_GB2312" w:eastAsia="仿宋_GB2312"/>
          <w:sz w:val="32"/>
          <w:szCs w:val="32"/>
        </w:rPr>
        <w:t>部门</w:t>
      </w:r>
      <w:r>
        <w:rPr>
          <w:rFonts w:ascii="仿宋_GB2312" w:eastAsia="仿宋_GB2312"/>
          <w:sz w:val="32"/>
          <w:szCs w:val="32"/>
        </w:rPr>
        <w:t>负责人的行政责任，对因此造成损失的，学校还将追究其经济责任。</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第三十条</w:t>
      </w:r>
      <w:r>
        <w:rPr>
          <w:rFonts w:hint="eastAsia" w:ascii="仿宋_GB2312" w:eastAsia="仿宋_GB2312"/>
          <w:sz w:val="32"/>
          <w:szCs w:val="32"/>
        </w:rPr>
        <w:t xml:space="preserve">  </w:t>
      </w:r>
      <w:r>
        <w:rPr>
          <w:rFonts w:ascii="仿宋_GB2312" w:eastAsia="仿宋_GB2312"/>
          <w:sz w:val="32"/>
          <w:szCs w:val="32"/>
        </w:rPr>
        <w:t>对于使用伪造印章、弄虚作假骗用印章，监印人不按照规定用印、保管不善造成印章丢失的，学校视情节和后果给予责任人警告直至开除公职的处分。情节严重的，要追究责任人的法律责任。</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第三十</w:t>
      </w:r>
      <w:r>
        <w:rPr>
          <w:rFonts w:hint="eastAsia" w:ascii="仿宋_GB2312" w:eastAsia="仿宋_GB2312"/>
          <w:b/>
          <w:sz w:val="32"/>
          <w:szCs w:val="32"/>
        </w:rPr>
        <w:t>一</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对违反本</w:t>
      </w:r>
      <w:r>
        <w:rPr>
          <w:rFonts w:hint="eastAsia" w:ascii="仿宋_GB2312" w:eastAsia="仿宋_GB2312"/>
          <w:sz w:val="32"/>
          <w:szCs w:val="32"/>
        </w:rPr>
        <w:t>规定</w:t>
      </w:r>
      <w:r>
        <w:rPr>
          <w:rFonts w:ascii="仿宋_GB2312" w:eastAsia="仿宋_GB2312"/>
          <w:sz w:val="32"/>
          <w:szCs w:val="32"/>
        </w:rPr>
        <w:t>，影响学校正常管理工作，给学校造成经济损失或名誉损害的，学校不仅给予当事人、监印人警告直至开除公职处分，同时要追究持印</w:t>
      </w:r>
      <w:r>
        <w:rPr>
          <w:rFonts w:hint="eastAsia" w:ascii="仿宋_GB2312" w:eastAsia="仿宋_GB2312"/>
          <w:sz w:val="32"/>
          <w:szCs w:val="32"/>
        </w:rPr>
        <w:t>部门</w:t>
      </w:r>
      <w:r>
        <w:rPr>
          <w:rFonts w:ascii="仿宋_GB2312" w:eastAsia="仿宋_GB2312"/>
          <w:sz w:val="32"/>
          <w:szCs w:val="32"/>
        </w:rPr>
        <w:t>负责人的管理责任、法律责任。</w:t>
      </w:r>
    </w:p>
    <w:p>
      <w:pPr>
        <w:pageBreakBefore w:val="0"/>
        <w:kinsoku/>
        <w:wordWrap/>
        <w:overflowPunct/>
        <w:topLinePunct w:val="0"/>
        <w:autoSpaceDE/>
        <w:autoSpaceDN/>
        <w:bidi w:val="0"/>
        <w:spacing w:line="540" w:lineRule="exact"/>
        <w:jc w:val="center"/>
        <w:outlineLvl w:val="9"/>
        <w:rPr>
          <w:rFonts w:ascii="黑体" w:eastAsia="黑体"/>
          <w:b/>
          <w:sz w:val="32"/>
          <w:szCs w:val="32"/>
        </w:rPr>
      </w:pPr>
      <w:r>
        <w:rPr>
          <w:rFonts w:ascii="黑体" w:eastAsia="黑体"/>
          <w:b/>
          <w:sz w:val="32"/>
          <w:szCs w:val="32"/>
        </w:rPr>
        <w:t>第九章 附 则</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第三十</w:t>
      </w:r>
      <w:r>
        <w:rPr>
          <w:rFonts w:hint="eastAsia" w:ascii="仿宋_GB2312" w:eastAsia="仿宋_GB2312"/>
          <w:b/>
          <w:sz w:val="32"/>
          <w:szCs w:val="32"/>
        </w:rPr>
        <w:t>二</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具有法人资格的学校二级单位及其内设机构的印章管理办法，应参照本</w:t>
      </w:r>
      <w:r>
        <w:rPr>
          <w:rFonts w:hint="eastAsia" w:ascii="仿宋_GB2312" w:eastAsia="仿宋_GB2312"/>
          <w:sz w:val="32"/>
          <w:szCs w:val="32"/>
        </w:rPr>
        <w:t>规定</w:t>
      </w:r>
      <w:r>
        <w:rPr>
          <w:rFonts w:ascii="仿宋_GB2312" w:eastAsia="仿宋_GB2312"/>
          <w:sz w:val="32"/>
          <w:szCs w:val="32"/>
        </w:rPr>
        <w:t>制定并报校长办公室备案。</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r>
        <w:rPr>
          <w:rFonts w:ascii="仿宋_GB2312" w:eastAsia="仿宋_GB2312"/>
          <w:b/>
          <w:sz w:val="32"/>
          <w:szCs w:val="32"/>
        </w:rPr>
        <w:t>第三十</w:t>
      </w:r>
      <w:r>
        <w:rPr>
          <w:rFonts w:hint="eastAsia" w:ascii="仿宋_GB2312" w:eastAsia="仿宋_GB2312"/>
          <w:b/>
          <w:sz w:val="32"/>
          <w:szCs w:val="32"/>
        </w:rPr>
        <w:t>三</w:t>
      </w:r>
      <w:r>
        <w:rPr>
          <w:rFonts w:ascii="仿宋_GB2312" w:eastAsia="仿宋_GB2312"/>
          <w:b/>
          <w:sz w:val="32"/>
          <w:szCs w:val="32"/>
        </w:rPr>
        <w:t>条</w:t>
      </w:r>
      <w:r>
        <w:rPr>
          <w:rFonts w:hint="eastAsia" w:ascii="仿宋_GB2312" w:eastAsia="仿宋_GB2312"/>
          <w:sz w:val="32"/>
          <w:szCs w:val="32"/>
        </w:rPr>
        <w:t xml:space="preserve">  </w:t>
      </w:r>
      <w:r>
        <w:rPr>
          <w:rFonts w:ascii="仿宋_GB2312" w:eastAsia="仿宋_GB2312"/>
          <w:sz w:val="32"/>
          <w:szCs w:val="32"/>
        </w:rPr>
        <w:t>本</w:t>
      </w:r>
      <w:r>
        <w:rPr>
          <w:rFonts w:hint="eastAsia" w:ascii="仿宋_GB2312" w:eastAsia="仿宋_GB2312"/>
          <w:sz w:val="32"/>
          <w:szCs w:val="32"/>
        </w:rPr>
        <w:t>规定</w:t>
      </w:r>
      <w:r>
        <w:rPr>
          <w:rFonts w:ascii="仿宋_GB2312" w:eastAsia="仿宋_GB2312"/>
          <w:sz w:val="32"/>
          <w:szCs w:val="32"/>
        </w:rPr>
        <w:t>自公布之日起施行。现行校内有关印章管理规定如有与本规定不一致的，以本规定为准。</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lang w:val="en-US" w:eastAsia="zh-CN"/>
        </w:rPr>
      </w:pPr>
      <w:r>
        <w:rPr>
          <w:rFonts w:ascii="仿宋_GB2312" w:hAnsi="仿宋_GB2312" w:eastAsia="仿宋_GB2312" w:cs="仿宋_GB2312"/>
          <w:kern w:val="0"/>
          <w:sz w:val="32"/>
          <w:szCs w:val="32"/>
          <w:lang w:bidi="ar"/>
        </w:rPr>
        <w:br w:type="page"/>
      </w:r>
      <w:bookmarkStart w:id="203" w:name="_Toc534379468"/>
      <w:bookmarkStart w:id="204" w:name="_Toc28447"/>
      <w:bookmarkStart w:id="205" w:name="_Toc28428"/>
      <w:bookmarkStart w:id="206" w:name="_Toc25171"/>
      <w:r>
        <w:rPr>
          <w:rFonts w:hint="eastAsia"/>
          <w:b/>
          <w:color w:val="000000"/>
          <w:sz w:val="36"/>
          <w:szCs w:val="36"/>
          <w:lang w:val="en-US" w:eastAsia="zh-CN"/>
        </w:rPr>
        <w:t>柳州职业技术学院二级学院</w:t>
      </w:r>
      <w:bookmarkEnd w:id="203"/>
      <w:bookmarkStart w:id="207" w:name="_Toc534379469"/>
      <w:r>
        <w:rPr>
          <w:rFonts w:hint="eastAsia"/>
          <w:b/>
          <w:color w:val="000000"/>
          <w:sz w:val="36"/>
          <w:szCs w:val="36"/>
          <w:lang w:val="en-US" w:eastAsia="zh-CN"/>
        </w:rPr>
        <w:t>议事决策工作规定（试行）</w:t>
      </w:r>
      <w:bookmarkEnd w:id="204"/>
      <w:bookmarkEnd w:id="205"/>
      <w:bookmarkEnd w:id="206"/>
      <w:bookmarkEnd w:id="207"/>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（柳职院党字〔2018〕24号）</w:t>
      </w:r>
    </w:p>
    <w:p>
      <w:pPr>
        <w:pageBreakBefore w:val="0"/>
        <w:kinsoku/>
        <w:wordWrap/>
        <w:overflowPunct/>
        <w:topLinePunct w:val="0"/>
        <w:autoSpaceDE/>
        <w:autoSpaceDN/>
        <w:bidi w:val="0"/>
        <w:ind w:firstLine="420" w:firstLineChars="200"/>
        <w:outlineLvl w:val="9"/>
        <w:rPr>
          <w:rFonts w:ascii="仿宋" w:hAnsi="仿宋" w:eastAsia="仿宋"/>
          <w:szCs w:val="28"/>
        </w:rPr>
      </w:pPr>
    </w:p>
    <w:p>
      <w:pPr>
        <w:pageBreakBefore w:val="0"/>
        <w:widowControl/>
        <w:kinsoku/>
        <w:wordWrap/>
        <w:overflowPunct/>
        <w:topLinePunct w:val="0"/>
        <w:autoSpaceDE/>
        <w:autoSpaceDN/>
        <w:bidi w:val="0"/>
        <w:spacing w:line="50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第一章  总则</w:t>
      </w:r>
    </w:p>
    <w:p>
      <w:pPr>
        <w:pageBreakBefore w:val="0"/>
        <w:widowControl/>
        <w:kinsoku/>
        <w:wordWrap/>
        <w:overflowPunct/>
        <w:topLinePunct w:val="0"/>
        <w:autoSpaceDE/>
        <w:autoSpaceDN/>
        <w:bidi w:val="0"/>
        <w:spacing w:line="500" w:lineRule="exact"/>
        <w:ind w:firstLine="640" w:firstLineChars="200"/>
        <w:jc w:val="left"/>
        <w:outlineLvl w:val="9"/>
        <w:rPr>
          <w:rFonts w:hint="eastAsia"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第一条</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为了更好地贯彻执行民主集中制原则，进一步规范和完善学校</w:t>
      </w:r>
      <w:r>
        <w:rPr>
          <w:rFonts w:hint="eastAsia" w:ascii="仿宋_GB2312" w:hAnsi="仿宋_GB2312" w:eastAsia="仿宋_GB2312" w:cs="仿宋_GB2312"/>
          <w:kern w:val="0"/>
          <w:sz w:val="32"/>
          <w:szCs w:val="32"/>
          <w:lang w:bidi="ar"/>
        </w:rPr>
        <w:t>各</w:t>
      </w:r>
      <w:r>
        <w:rPr>
          <w:rFonts w:ascii="仿宋_GB2312" w:hAnsi="仿宋_GB2312" w:eastAsia="仿宋_GB2312" w:cs="仿宋_GB2312"/>
          <w:kern w:val="0"/>
          <w:sz w:val="32"/>
          <w:szCs w:val="32"/>
          <w:lang w:bidi="ar"/>
        </w:rPr>
        <w:t>二级学院重要事项议事程序，进一步建立健全</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学院领导体制和工作机制，充分发挥</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学院领导班子的集体作用，实现议事的制度化、规范化，保证决策的民主化、科学化，提高决策水平和办事效率，根据《中华人民共和国高等教育法》、《中国共产党普通高等学校基层组织工作条例》</w:t>
      </w:r>
      <w:r>
        <w:rPr>
          <w:rFonts w:hint="eastAsia" w:ascii="仿宋_GB2312" w:hAnsi="仿宋_GB2312" w:eastAsia="仿宋_GB2312" w:cs="仿宋_GB2312"/>
          <w:kern w:val="0"/>
          <w:sz w:val="32"/>
          <w:szCs w:val="32"/>
          <w:lang w:bidi="ar"/>
        </w:rPr>
        <w:t>、《广西高等学校院（系）议事决策工作规程（试行）》（桂党高工组〔2017〕62号）</w:t>
      </w:r>
      <w:r>
        <w:rPr>
          <w:rFonts w:ascii="仿宋_GB2312" w:hAnsi="仿宋_GB2312" w:eastAsia="仿宋_GB2312" w:cs="仿宋_GB2312"/>
          <w:kern w:val="0"/>
          <w:sz w:val="32"/>
          <w:szCs w:val="32"/>
          <w:lang w:bidi="ar"/>
        </w:rPr>
        <w:t>等</w:t>
      </w:r>
      <w:r>
        <w:rPr>
          <w:rFonts w:hint="eastAsia" w:ascii="仿宋_GB2312" w:hAnsi="仿宋_GB2312" w:eastAsia="仿宋_GB2312" w:cs="仿宋_GB2312"/>
          <w:kern w:val="0"/>
          <w:sz w:val="32"/>
          <w:szCs w:val="32"/>
          <w:lang w:bidi="ar"/>
        </w:rPr>
        <w:t>文件</w:t>
      </w:r>
      <w:r>
        <w:rPr>
          <w:rFonts w:ascii="仿宋_GB2312" w:hAnsi="仿宋_GB2312" w:eastAsia="仿宋_GB2312" w:cs="仿宋_GB2312"/>
          <w:kern w:val="0"/>
          <w:sz w:val="32"/>
          <w:szCs w:val="32"/>
          <w:lang w:bidi="ar"/>
        </w:rPr>
        <w:t xml:space="preserve">精神，结合我校实际，制定本办法。 </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在学校党委、行政领导下，</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w:t>
      </w:r>
      <w:r>
        <w:rPr>
          <w:rFonts w:hint="eastAsia" w:ascii="仿宋_GB2312" w:hAnsi="仿宋_GB2312" w:eastAsia="仿宋_GB2312" w:cs="仿宋_GB2312"/>
          <w:kern w:val="0"/>
          <w:sz w:val="32"/>
          <w:szCs w:val="32"/>
          <w:lang w:bidi="ar"/>
        </w:rPr>
        <w:t>实行集体领导、分工合作、共同负责的领导体制。二级学院党组织是二级学院的政治核心，对本单位党的建设、思想政治工作、意识形态工作、统战工作、群团工作、学生工作和安全稳定工作全面负责；二级学院行政对本单位教学、科研、专业建设、行政管理、人事管理、财务管理等工作全面负责。</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 xml:space="preserve"> </w:t>
      </w:r>
      <w:r>
        <w:rPr>
          <w:rFonts w:ascii="仿宋_GB2312" w:hAnsi="仿宋_GB2312" w:eastAsia="仿宋_GB2312" w:cs="仿宋_GB2312"/>
          <w:b/>
          <w:kern w:val="0"/>
          <w:sz w:val="32"/>
          <w:szCs w:val="32"/>
          <w:lang w:bidi="ar"/>
        </w:rPr>
        <w:t>第三条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二级学院通过</w:t>
      </w:r>
      <w:r>
        <w:rPr>
          <w:rFonts w:ascii="仿宋_GB2312" w:hAnsi="仿宋_GB2312" w:eastAsia="仿宋_GB2312" w:cs="仿宋_GB2312"/>
          <w:kern w:val="0"/>
          <w:sz w:val="32"/>
          <w:szCs w:val="32"/>
          <w:lang w:bidi="ar"/>
        </w:rPr>
        <w:t>党政联席会议讨论</w:t>
      </w:r>
      <w:r>
        <w:rPr>
          <w:rFonts w:hint="eastAsia" w:ascii="仿宋_GB2312" w:hAnsi="仿宋_GB2312" w:eastAsia="仿宋_GB2312" w:cs="仿宋_GB2312"/>
          <w:kern w:val="0"/>
          <w:sz w:val="32"/>
          <w:szCs w:val="32"/>
          <w:lang w:bidi="ar"/>
        </w:rPr>
        <w:t>和</w:t>
      </w:r>
      <w:r>
        <w:rPr>
          <w:rFonts w:ascii="仿宋_GB2312" w:hAnsi="仿宋_GB2312" w:eastAsia="仿宋_GB2312" w:cs="仿宋_GB2312"/>
          <w:kern w:val="0"/>
          <w:sz w:val="32"/>
          <w:szCs w:val="32"/>
          <w:lang w:bidi="ar"/>
        </w:rPr>
        <w:t>决定</w:t>
      </w:r>
      <w:r>
        <w:rPr>
          <w:rFonts w:hint="eastAsia" w:ascii="仿宋_GB2312" w:hAnsi="仿宋_GB2312" w:eastAsia="仿宋_GB2312" w:cs="仿宋_GB2312"/>
          <w:kern w:val="0"/>
          <w:sz w:val="32"/>
          <w:szCs w:val="32"/>
          <w:lang w:bidi="ar"/>
        </w:rPr>
        <w:t>本单位</w:t>
      </w:r>
      <w:r>
        <w:rPr>
          <w:rFonts w:ascii="仿宋_GB2312" w:hAnsi="仿宋_GB2312" w:eastAsia="仿宋_GB2312" w:cs="仿宋_GB2312"/>
          <w:kern w:val="0"/>
          <w:sz w:val="32"/>
          <w:szCs w:val="32"/>
          <w:lang w:bidi="ar"/>
        </w:rPr>
        <w:t>的重要事项</w:t>
      </w:r>
      <w:r>
        <w:rPr>
          <w:rFonts w:hint="eastAsia" w:ascii="仿宋_GB2312" w:hAnsi="仿宋_GB2312" w:eastAsia="仿宋_GB2312" w:cs="仿宋_GB2312"/>
          <w:kern w:val="0"/>
          <w:sz w:val="32"/>
          <w:szCs w:val="32"/>
          <w:lang w:bidi="ar"/>
        </w:rPr>
        <w:t>，保证监督党和国家的方针、政策及学校各项决定在本单位的贯彻执行</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二级学院党组织支持本单位行政领导班子及其负责人在其职责范围内独立负责地开展工作。</w:t>
      </w:r>
      <w:r>
        <w:rPr>
          <w:rFonts w:ascii="仿宋_GB2312" w:hAnsi="仿宋_GB2312" w:eastAsia="仿宋_GB2312" w:cs="仿宋_GB2312"/>
          <w:kern w:val="0"/>
          <w:sz w:val="32"/>
          <w:szCs w:val="32"/>
          <w:lang w:bidi="ar"/>
        </w:rPr>
        <w:t xml:space="preserve"> </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p>
    <w:p>
      <w:pPr>
        <w:pageBreakBefore w:val="0"/>
        <w:widowControl/>
        <w:kinsoku/>
        <w:wordWrap/>
        <w:overflowPunct/>
        <w:topLinePunct w:val="0"/>
        <w:autoSpaceDE/>
        <w:autoSpaceDN/>
        <w:bidi w:val="0"/>
        <w:spacing w:line="50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第二章 议事决策制度</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第四条 </w:t>
      </w:r>
      <w:r>
        <w:rPr>
          <w:rFonts w:hint="eastAsia" w:ascii="仿宋_GB2312" w:hAnsi="仿宋_GB2312" w:eastAsia="仿宋_GB2312" w:cs="仿宋_GB2312"/>
          <w:kern w:val="0"/>
          <w:sz w:val="32"/>
          <w:szCs w:val="32"/>
          <w:lang w:bidi="ar"/>
        </w:rPr>
        <w:t xml:space="preserve"> 二级学院议事决策制度主要包括：党政联席会议制度、党总支和直属支部委员会议制度、院长办公会议制度。</w:t>
      </w:r>
    </w:p>
    <w:p>
      <w:pPr>
        <w:pageBreakBefore w:val="0"/>
        <w:widowControl/>
        <w:kinsoku/>
        <w:wordWrap/>
        <w:overflowPunct/>
        <w:topLinePunct w:val="0"/>
        <w:autoSpaceDE/>
        <w:autoSpaceDN/>
        <w:bidi w:val="0"/>
        <w:spacing w:line="500" w:lineRule="exact"/>
        <w:ind w:firstLine="640" w:firstLineChars="200"/>
        <w:jc w:val="left"/>
        <w:outlineLvl w:val="9"/>
        <w:rPr>
          <w:rFonts w:hint="eastAsia"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（一）党政联席会议制度</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第五条  </w:t>
      </w:r>
      <w:r>
        <w:rPr>
          <w:rFonts w:hint="eastAsia" w:ascii="仿宋_GB2312" w:hAnsi="仿宋_GB2312" w:eastAsia="仿宋_GB2312" w:cs="仿宋_GB2312"/>
          <w:kern w:val="0"/>
          <w:sz w:val="32"/>
          <w:szCs w:val="32"/>
          <w:lang w:bidi="ar"/>
        </w:rPr>
        <w:t>党政联席会议是二级学院集体讨论决定重大事项的制度。</w:t>
      </w:r>
      <w:r>
        <w:rPr>
          <w:rFonts w:ascii="仿宋_GB2312" w:hAnsi="仿宋_GB2312" w:eastAsia="仿宋_GB2312" w:cs="仿宋_GB2312"/>
          <w:kern w:val="0"/>
          <w:sz w:val="32"/>
          <w:szCs w:val="32"/>
          <w:lang w:bidi="ar"/>
        </w:rPr>
        <w:t>党政联席会议参加人员为</w:t>
      </w:r>
      <w:r>
        <w:rPr>
          <w:rFonts w:hint="eastAsia" w:ascii="仿宋_GB2312" w:hAnsi="仿宋_GB2312" w:eastAsia="仿宋_GB2312" w:cs="仿宋_GB2312"/>
          <w:kern w:val="0"/>
          <w:sz w:val="32"/>
          <w:szCs w:val="32"/>
          <w:lang w:bidi="ar"/>
        </w:rPr>
        <w:t>：学院党政领导班子成员。二级学院办公室主任及教工党支部书记列席会议（涉及学生重大权益事项的决策，学生党支部书记、学生科长应列席）。凡涉及教职工切身利益的重要事项，工会分会主席（或二级教代会负责人）也应列席。其他列席成员由党政主要负责人根据议题的需要协商确定。</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第六条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党政联席会议由</w:t>
      </w:r>
      <w:r>
        <w:rPr>
          <w:rFonts w:hint="eastAsia" w:ascii="仿宋_GB2312" w:hAnsi="仿宋_GB2312" w:eastAsia="仿宋_GB2312" w:cs="仿宋_GB2312"/>
          <w:kern w:val="0"/>
          <w:sz w:val="32"/>
          <w:szCs w:val="32"/>
          <w:lang w:bidi="ar"/>
        </w:rPr>
        <w:t>二级</w:t>
      </w:r>
      <w:r>
        <w:rPr>
          <w:rFonts w:ascii="仿宋_GB2312" w:hAnsi="仿宋_GB2312" w:eastAsia="仿宋_GB2312" w:cs="仿宋_GB2312"/>
          <w:kern w:val="0"/>
          <w:sz w:val="32"/>
          <w:szCs w:val="32"/>
          <w:lang w:bidi="ar"/>
        </w:rPr>
        <w:t>学院党总支</w:t>
      </w:r>
      <w:r>
        <w:rPr>
          <w:rFonts w:hint="eastAsia" w:ascii="仿宋_GB2312" w:hAnsi="仿宋_GB2312" w:eastAsia="仿宋_GB2312" w:cs="仿宋_GB2312"/>
          <w:kern w:val="0"/>
          <w:sz w:val="32"/>
          <w:szCs w:val="32"/>
          <w:lang w:bidi="ar"/>
        </w:rPr>
        <w:t>(直属支部)</w:t>
      </w:r>
      <w:r>
        <w:rPr>
          <w:rFonts w:ascii="仿宋_GB2312" w:hAnsi="仿宋_GB2312" w:eastAsia="仿宋_GB2312" w:cs="仿宋_GB2312"/>
          <w:kern w:val="0"/>
          <w:sz w:val="32"/>
          <w:szCs w:val="32"/>
          <w:lang w:bidi="ar"/>
        </w:rPr>
        <w:t>书记</w:t>
      </w:r>
      <w:r>
        <w:rPr>
          <w:rFonts w:hint="eastAsia" w:ascii="仿宋_GB2312" w:hAnsi="仿宋_GB2312" w:eastAsia="仿宋_GB2312" w:cs="仿宋_GB2312"/>
          <w:kern w:val="0"/>
          <w:sz w:val="32"/>
          <w:szCs w:val="32"/>
          <w:lang w:bidi="ar"/>
        </w:rPr>
        <w:t>或院长</w:t>
      </w:r>
      <w:r>
        <w:rPr>
          <w:rFonts w:ascii="仿宋_GB2312" w:hAnsi="仿宋_GB2312" w:eastAsia="仿宋_GB2312" w:cs="仿宋_GB2312"/>
          <w:kern w:val="0"/>
          <w:sz w:val="32"/>
          <w:szCs w:val="32"/>
          <w:lang w:bidi="ar"/>
        </w:rPr>
        <w:t>召集</w:t>
      </w:r>
      <w:r>
        <w:rPr>
          <w:rFonts w:hint="eastAsia" w:ascii="仿宋_GB2312" w:hAnsi="仿宋_GB2312" w:eastAsia="仿宋_GB2312" w:cs="仿宋_GB2312"/>
          <w:kern w:val="0"/>
          <w:sz w:val="32"/>
          <w:szCs w:val="32"/>
          <w:lang w:bidi="ar"/>
        </w:rPr>
        <w:t>并主持</w:t>
      </w:r>
      <w:r>
        <w:rPr>
          <w:rFonts w:ascii="仿宋_GB2312" w:hAnsi="仿宋_GB2312" w:eastAsia="仿宋_GB2312" w:cs="仿宋_GB2312"/>
          <w:kern w:val="0"/>
          <w:sz w:val="32"/>
          <w:szCs w:val="32"/>
          <w:lang w:bidi="ar"/>
        </w:rPr>
        <w:t>。涉及学院领导班子和干部队伍建设、</w:t>
      </w:r>
      <w:r>
        <w:rPr>
          <w:rFonts w:hint="eastAsia" w:ascii="仿宋_GB2312" w:hAnsi="仿宋_GB2312" w:eastAsia="仿宋_GB2312" w:cs="仿宋_GB2312"/>
          <w:kern w:val="0"/>
          <w:sz w:val="32"/>
          <w:szCs w:val="32"/>
          <w:lang w:bidi="ar"/>
        </w:rPr>
        <w:t>意识形态工作、</w:t>
      </w:r>
      <w:r>
        <w:rPr>
          <w:rFonts w:ascii="仿宋_GB2312" w:hAnsi="仿宋_GB2312" w:eastAsia="仿宋_GB2312" w:cs="仿宋_GB2312"/>
          <w:kern w:val="0"/>
          <w:sz w:val="32"/>
          <w:szCs w:val="32"/>
          <w:lang w:bidi="ar"/>
        </w:rPr>
        <w:t>党风廉政建设、思想政治教育、学生工作、精神文明建设、统战工作、群团工作等党建</w:t>
      </w:r>
      <w:r>
        <w:rPr>
          <w:rFonts w:hint="eastAsia" w:ascii="仿宋_GB2312" w:hAnsi="仿宋_GB2312" w:eastAsia="仿宋_GB2312" w:cs="仿宋_GB2312"/>
          <w:kern w:val="0"/>
          <w:sz w:val="32"/>
          <w:szCs w:val="32"/>
          <w:lang w:bidi="ar"/>
        </w:rPr>
        <w:t>工作事项由书记主持；涉及</w:t>
      </w:r>
      <w:r>
        <w:rPr>
          <w:rFonts w:ascii="仿宋_GB2312" w:hAnsi="仿宋_GB2312" w:eastAsia="仿宋_GB2312" w:cs="仿宋_GB2312"/>
          <w:kern w:val="0"/>
          <w:sz w:val="32"/>
          <w:szCs w:val="32"/>
          <w:lang w:bidi="ar"/>
        </w:rPr>
        <w:t>属于学院专业建设、教学管理、科研管理、行政管理、人事管理、财务管理及安全保卫等</w:t>
      </w:r>
      <w:r>
        <w:rPr>
          <w:rFonts w:hint="eastAsia" w:ascii="仿宋_GB2312" w:hAnsi="仿宋_GB2312" w:eastAsia="仿宋_GB2312" w:cs="仿宋_GB2312"/>
          <w:kern w:val="0"/>
          <w:sz w:val="32"/>
          <w:szCs w:val="32"/>
          <w:lang w:bidi="ar"/>
        </w:rPr>
        <w:t>行政的工作事项由院长主持；属于党政工作交叉性质的议题由党组织和行政主要负责人协商确定主持人。书记、院长若有一人不在，可以委托对方主持。书记、院长同时外出时，不召开会议</w:t>
      </w:r>
      <w:r>
        <w:rPr>
          <w:rFonts w:ascii="仿宋_GB2312" w:hAnsi="仿宋_GB2312" w:eastAsia="仿宋_GB2312" w:cs="仿宋_GB2312"/>
          <w:kern w:val="0"/>
          <w:sz w:val="32"/>
          <w:szCs w:val="32"/>
          <w:lang w:bidi="ar"/>
        </w:rPr>
        <w:t>。</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党政联席会议根据实际需要适时召开，每月至少召开1次。条件成熟的，可以建立例会制度，</w:t>
      </w:r>
      <w:r>
        <w:rPr>
          <w:rFonts w:ascii="仿宋_GB2312" w:hAnsi="仿宋_GB2312" w:eastAsia="仿宋_GB2312" w:cs="仿宋_GB2312"/>
          <w:kern w:val="0"/>
          <w:sz w:val="32"/>
          <w:szCs w:val="32"/>
          <w:lang w:bidi="ar"/>
        </w:rPr>
        <w:t>每周召开一次</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如遇特殊情况，也可根据工作需要由书记与院长商议后临时决定召开。</w:t>
      </w:r>
    </w:p>
    <w:p>
      <w:pPr>
        <w:pageBreakBefore w:val="0"/>
        <w:widowControl/>
        <w:kinsoku/>
        <w:wordWrap/>
        <w:overflowPunct/>
        <w:topLinePunct w:val="0"/>
        <w:autoSpaceDE/>
        <w:autoSpaceDN/>
        <w:bidi w:val="0"/>
        <w:spacing w:line="500" w:lineRule="exact"/>
        <w:ind w:firstLine="640" w:firstLineChars="200"/>
        <w:jc w:val="left"/>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（二）党总支（直属支部）委员会议制度</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党总支（直属支部）委员会议是二级学院党组织议事和决策的基本制度。会议成员包括：党总支（直属支部）委员。教工党支部书记列席会议（涉及学生重大权益事项的决策，学生党支部书记应列席）。二级学院行政主要负责人不是委员会委员的，根据议题需要可列席。其他列席人员由书记根据工作需要确定。根据工作需要，可以召开扩大会议。</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党总支（直属支部）委员会议由书记召集并主持，特殊情况下可以委托副书记主持。</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第十条 </w:t>
      </w:r>
      <w:r>
        <w:rPr>
          <w:rFonts w:hint="eastAsia" w:ascii="仿宋_GB2312" w:hAnsi="仿宋_GB2312" w:eastAsia="仿宋_GB2312" w:cs="仿宋_GB2312"/>
          <w:kern w:val="0"/>
          <w:sz w:val="32"/>
          <w:szCs w:val="32"/>
          <w:lang w:bidi="ar"/>
        </w:rPr>
        <w:t xml:space="preserve"> 党总支（直属支部）委员会议每学期不应少于4次。</w:t>
      </w:r>
    </w:p>
    <w:p>
      <w:pPr>
        <w:pageBreakBefore w:val="0"/>
        <w:widowControl/>
        <w:kinsoku/>
        <w:wordWrap/>
        <w:overflowPunct/>
        <w:topLinePunct w:val="0"/>
        <w:autoSpaceDE/>
        <w:autoSpaceDN/>
        <w:bidi w:val="0"/>
        <w:spacing w:line="500" w:lineRule="exact"/>
        <w:ind w:firstLine="640" w:firstLineChars="200"/>
        <w:jc w:val="left"/>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（三）院长办公会议制度</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院长办公会是院长在职权范围内讨论决定二级学院日常行政工作的会议。院长办公会成员包括：院长、副院长。讨论涉及到党建工作、学生工作相关的议题，要邀请书记（副书记）参加。办公室主任列席会议。其他列席人员由院长根据议题确定。</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院长办公会由院长召集并主持，特殊情况下可以委托其他负责人主持。</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 xml:space="preserve"> 院长办公会根据工作需要适时召开。</w:t>
      </w:r>
    </w:p>
    <w:p>
      <w:pPr>
        <w:pageBreakBefore w:val="0"/>
        <w:widowControl/>
        <w:kinsoku/>
        <w:wordWrap/>
        <w:overflowPunct/>
        <w:topLinePunct w:val="0"/>
        <w:autoSpaceDE/>
        <w:autoSpaceDN/>
        <w:bidi w:val="0"/>
        <w:spacing w:line="500" w:lineRule="exact"/>
        <w:ind w:firstLine="640" w:firstLineChars="200"/>
        <w:jc w:val="left"/>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（四）其他议事决策制度</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按照《高等学校学术委员会规程》要求建立健全以学术委员会为核心的学术管理体系与组织架构，统筹行使学术事务决策、审议、评定和咨询等职权，保障学术委员会在教学、科研等学术事务中有效发挥作用。</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二级教代会、团代会、学代会等组织按其章程或相关制度开展议事决策活动，发挥其联系群众、服务群众、民主决策、民主监督等作用。</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p>
    <w:p>
      <w:pPr>
        <w:pageBreakBefore w:val="0"/>
        <w:widowControl/>
        <w:kinsoku/>
        <w:wordWrap/>
        <w:overflowPunct/>
        <w:topLinePunct w:val="0"/>
        <w:autoSpaceDE/>
        <w:autoSpaceDN/>
        <w:bidi w:val="0"/>
        <w:spacing w:line="50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第三章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议事范围</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党政联席会议议事范围</w:t>
      </w:r>
    </w:p>
    <w:tbl>
      <w:tblPr>
        <w:tblStyle w:val="17"/>
        <w:tblW w:w="8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17"/>
        <w:gridCol w:w="8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内容</w:t>
            </w:r>
          </w:p>
        </w:tc>
        <w:tc>
          <w:tcPr>
            <w:tcW w:w="8035"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议事范围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研究党和国家的方针政策及学校各项指示、决议、决定在学院贯彻实施的意见和措施。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2</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根据学校总体发展规划，研究决定学院发展规划及干部队伍建设、学科专业建设、师资队伍建设、学风建设、科研工作、对外合作交流、实训基地建设等方面的规划、计划、总结和改革方案。研究决定学院的学期、年度工作计划和工作总结，安排阶段性重要工作，通报有关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3</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讨论学院内部管理改革及学科专业发展方向、重大科研任务的承接与组织协调，专业申报和调整等教学、科研管理工作中的重要事项。研究决定学院教师引进、课程建设、教材选用、学术活动等重大问题的意见和措施，以及涉及学院师生员工切身利益的事项的意见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4</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研究学院重要规章制度的制订、修改与废止，并监督制度执行情况。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5</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通报学院党的建设、思想政治工作、意识形态工作、统战工作、群团工作、学生工作、安全稳定工作的重要情况，研究部署学院安全稳定、师生思想政治教育和精神文明建设方面的重要问题及突发事件的处理。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6</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研究决定学院年度经费预算、大额资金使用及重大专项经费管理和使用方面的重要问题。研究学院教学资源调配方面的重要事项。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7</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决定学院内设机构、岗位设置、调整及权限范围内的干部推荐、选拔和考核、人员聘用和调配，教学团队负责人、专业带头人、骨干教师和其他业务骨干的选拔、培养、调整，以及教职工考核、评优、奖惩、进修培训、职称评定等重要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8</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研究决定各类人员的年度考核、奖惩问题，研究确定学院绩效分配问题，制订学院自主分配方案。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9</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研究决定人才培养方案、招生就业、学生资助、奖励、处分、升学推荐以及学生教育管理工作中的重要事项。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10</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审定学院学术委员会、专业建设委员会、职称评审委员会等专门委员会的人员组成，审定学院校企合作、对外交流、社会服务、专家聘请等工作中的重要事项。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11</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分析学院党风廉政建设情况，制定结合学院特点的党风廉政建设措施和办法，讨论研究对违纪行为的初步审查和处理意见。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12</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研究决定向学校请示、报告的有关重要问题。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jc w:val="center"/>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13</w:t>
            </w:r>
          </w:p>
        </w:tc>
        <w:tc>
          <w:tcPr>
            <w:tcW w:w="8035"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研究学校党政交办的其他重大事项和需要党政联席会议研究解决的问题。</w:t>
            </w:r>
          </w:p>
        </w:tc>
      </w:tr>
    </w:tbl>
    <w:p>
      <w:pPr>
        <w:pageBreakBefore w:val="0"/>
        <w:kinsoku/>
        <w:wordWrap/>
        <w:overflowPunct/>
        <w:topLinePunct w:val="0"/>
        <w:autoSpaceDE/>
        <w:autoSpaceDN/>
        <w:bidi w:val="0"/>
        <w:ind w:firstLine="420" w:firstLineChars="200"/>
        <w:outlineLvl w:val="9"/>
        <w:rPr>
          <w:rFonts w:ascii="仿宋_GB2312" w:hAnsi="仿宋_GB2312" w:eastAsia="仿宋_GB2312" w:cs="仿宋_GB2312"/>
          <w:kern w:val="0"/>
          <w:sz w:val="32"/>
          <w:szCs w:val="32"/>
          <w:lang w:bidi="ar"/>
        </w:rPr>
      </w:pPr>
      <w:r>
        <w:rPr>
          <w:rFonts w:hint="eastAsia" w:ascii="仿宋" w:hAnsi="仿宋" w:eastAsia="仿宋"/>
          <w:szCs w:val="21"/>
        </w:rPr>
        <w:t xml:space="preserve"> </w:t>
      </w:r>
      <w:r>
        <w:rPr>
          <w:rFonts w:hint="eastAsia" w:ascii="仿宋_GB2312" w:hAnsi="仿宋_GB2312" w:eastAsia="仿宋_GB2312" w:cs="仿宋_GB2312"/>
          <w:b/>
          <w:kern w:val="0"/>
          <w:sz w:val="32"/>
          <w:szCs w:val="32"/>
          <w:lang w:bidi="ar"/>
        </w:rPr>
        <w:t xml:space="preserve">第十七条 </w:t>
      </w:r>
      <w:r>
        <w:rPr>
          <w:rFonts w:hint="eastAsia" w:ascii="仿宋_GB2312" w:hAnsi="仿宋_GB2312" w:eastAsia="仿宋_GB2312" w:cs="仿宋_GB2312"/>
          <w:kern w:val="0"/>
          <w:sz w:val="32"/>
          <w:szCs w:val="32"/>
          <w:lang w:bidi="ar"/>
        </w:rPr>
        <w:t xml:space="preserve"> 党总支（直属支部）委员会议议事范围</w:t>
      </w:r>
    </w:p>
    <w:tbl>
      <w:tblPr>
        <w:tblStyle w:val="17"/>
        <w:tblW w:w="8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17"/>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序号</w:t>
            </w:r>
          </w:p>
        </w:tc>
        <w:tc>
          <w:tcPr>
            <w:tcW w:w="8006"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议事范围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研究党和国家方针政策及学校党委各项决定在学院贯彻实施的措施。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2</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按照学校党委统一部署，提出加强学院党组织建设和反腐败斗争的意见。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3</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讨论通过学院党组织的工作计划、总结，讨论制定学院党政领导班子及师生政治理论学习计划。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4</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研究制定学院党政领导班子建设和党风廉政建设、安全稳定等工作方案。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5</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研究决定加强学院党组织建设、干部任用、党员队伍建设的意见和措施。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6</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贯彻党管干部原则，按照干部管理权限，讨论和研究学院干部的培养、教育、管理和考核、监督等工作；向学校党委提出学院科室科级干部的调整建议。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7</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研究提出学院办学方向和建设规划、教师职工队伍建设、师生员工切身利益等重大事项的意见和措施，提交党政联席会研究决定。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8</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研究提出学院教师引进、课程建设、教材选用、学术活动等重大问题的意见和措施，提交党政联席会研究决定。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9</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分析党支部状况，提出加强党支部建设的指导意见和措施。根据学校党委要求，按照组织工作程序对党总支、党支部换届选举做出安排。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10</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分析党员、教职工和学生的思想状况，提出加强师生思想政治教育、德育工作、精神文明建设和促进学院教风、学风建设的意见和措施。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11</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讨论审定学院党校工作、组织发展工作计划；审定党员发展名单；提出对入党积极分子培养、预备党员和党员教育、培养和管理的意见和措施。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12</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研究、安排党的基层组织、党务工作者、党员评优工作，审定评选名单；讨论研究对违纪违规党员的处理意见。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13</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研究、讨论学院工会、共青团、学生会等群团工作的重要事项。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14</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学习贯彻党的统战政策和知识分子政策，研究做好统战工作和知识分子工作的方案和措施。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15</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研究落实学校党委安排的扶贫工作。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16</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研究提出其他需要提交党政联席会议讨论决定的事项。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17</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研究落实党政联席会议所决定的涉及党总支工作范围的有关事项。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817" w:type="dxa"/>
            <w:noWrap w:val="0"/>
            <w:vAlign w:val="center"/>
          </w:tcPr>
          <w:p>
            <w:pPr>
              <w:pageBreakBefore w:val="0"/>
              <w:kinsoku/>
              <w:wordWrap/>
              <w:overflowPunct/>
              <w:topLinePunct w:val="0"/>
              <w:autoSpaceDE/>
              <w:autoSpaceDN/>
              <w:bidi w:val="0"/>
              <w:spacing w:line="380" w:lineRule="exact"/>
              <w:jc w:val="center"/>
              <w:outlineLvl w:val="9"/>
              <w:rPr>
                <w:rFonts w:hint="eastAsia" w:ascii="仿宋_GB2312" w:hAnsi="仿宋" w:eastAsia="仿宋_GB2312"/>
                <w:sz w:val="24"/>
              </w:rPr>
            </w:pPr>
            <w:r>
              <w:rPr>
                <w:rFonts w:hint="eastAsia" w:ascii="仿宋_GB2312" w:hAnsi="仿宋" w:eastAsia="仿宋_GB2312"/>
                <w:sz w:val="24"/>
              </w:rPr>
              <w:t>18</w:t>
            </w:r>
          </w:p>
        </w:tc>
        <w:tc>
          <w:tcPr>
            <w:tcW w:w="8006" w:type="dxa"/>
            <w:noWrap w:val="0"/>
            <w:vAlign w:val="center"/>
          </w:tcPr>
          <w:p>
            <w:pPr>
              <w:pageBreakBefore w:val="0"/>
              <w:kinsoku/>
              <w:wordWrap/>
              <w:overflowPunct/>
              <w:topLinePunct w:val="0"/>
              <w:autoSpaceDE/>
              <w:autoSpaceDN/>
              <w:bidi w:val="0"/>
              <w:spacing w:line="380" w:lineRule="exact"/>
              <w:outlineLvl w:val="9"/>
              <w:rPr>
                <w:rFonts w:hint="eastAsia" w:ascii="仿宋_GB2312" w:hAnsi="仿宋" w:eastAsia="仿宋_GB2312"/>
                <w:sz w:val="24"/>
              </w:rPr>
            </w:pPr>
            <w:r>
              <w:rPr>
                <w:rFonts w:hint="eastAsia" w:ascii="仿宋_GB2312" w:hAnsi="仿宋" w:eastAsia="仿宋_GB2312"/>
                <w:sz w:val="24"/>
              </w:rPr>
              <w:t>研究落实学校党委安排的其他工作任务。</w:t>
            </w:r>
          </w:p>
        </w:tc>
      </w:tr>
    </w:tbl>
    <w:p>
      <w:pPr>
        <w:pageBreakBefore w:val="0"/>
        <w:widowControl/>
        <w:kinsoku/>
        <w:wordWrap/>
        <w:overflowPunct/>
        <w:topLinePunct w:val="0"/>
        <w:autoSpaceDE/>
        <w:autoSpaceDN/>
        <w:bidi w:val="0"/>
        <w:spacing w:line="500" w:lineRule="exact"/>
        <w:ind w:firstLine="640" w:firstLineChars="200"/>
        <w:jc w:val="left"/>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第十八条 </w:t>
      </w:r>
      <w:r>
        <w:rPr>
          <w:rFonts w:hint="eastAsia" w:ascii="仿宋_GB2312" w:hAnsi="仿宋_GB2312" w:eastAsia="仿宋_GB2312" w:cs="仿宋_GB2312"/>
          <w:kern w:val="0"/>
          <w:sz w:val="32"/>
          <w:szCs w:val="32"/>
          <w:lang w:bidi="ar"/>
        </w:rPr>
        <w:t xml:space="preserve"> 院长办公会议议事范围 </w:t>
      </w:r>
    </w:p>
    <w:tbl>
      <w:tblPr>
        <w:tblStyle w:val="17"/>
        <w:tblpPr w:leftFromText="180" w:rightFromText="180" w:vertAnchor="text" w:horzAnchor="margin" w:tblpXSpec="center" w:tblpY="1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内容</w:t>
            </w:r>
          </w:p>
        </w:tc>
        <w:tc>
          <w:tcPr>
            <w:tcW w:w="8080"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议事范围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贯彻落实上级重要文件、会议精神。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2</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研究落实学院党政联席会议所决定的涉及行政工作范围的有关事项，对需要提交党政联席会议决策的议题，提出初步意见或方案。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3</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讨论落实学院的发展规划、年度工作计划、学期工作安排及工作总结。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4</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安排落实教学、科研、学科专业、师资队伍、实训基地（实验室）建设等各项工作。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5</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安排落实教学、科研、管理人员和教辅人员专业技术职务评聘、绩效工资发放、进修培训、考核、评优等工作。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6</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落实学院教风、学风建设、德育工作及学生管理工作意见和方案。</w:t>
            </w:r>
          </w:p>
        </w:tc>
      </w:tr>
    </w:tbl>
    <w:p>
      <w:pPr>
        <w:pageBreakBefore w:val="0"/>
        <w:widowControl/>
        <w:kinsoku/>
        <w:wordWrap/>
        <w:overflowPunct/>
        <w:topLinePunct w:val="0"/>
        <w:autoSpaceDE/>
        <w:autoSpaceDN/>
        <w:bidi w:val="0"/>
        <w:spacing w:line="20" w:lineRule="exact"/>
        <w:ind w:firstLine="640" w:firstLineChars="200"/>
        <w:jc w:val="left"/>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180" w:lineRule="exact"/>
        <w:outlineLvl w:val="9"/>
        <w:rPr>
          <w:rFonts w:hint="eastAsia" w:ascii="仿宋" w:hAnsi="仿宋" w:eastAsia="仿宋"/>
          <w:szCs w:val="21"/>
        </w:rPr>
      </w:pPr>
    </w:p>
    <w:tbl>
      <w:tblPr>
        <w:tblStyle w:val="17"/>
        <w:tblpPr w:leftFromText="180" w:rightFromText="180" w:vertAnchor="text" w:horzAnchor="margin" w:tblpY="4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7</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讨论学院教学、科研经费及预算外经费的使用和执行情况。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8</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协调解决学院招生、就业、学生教育管理等方面的有关问题。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9</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通报工作，研究解决学院日常行政工作中的重要问题。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10</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讨论由学院制定的行政规章制度。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noWrap w:val="0"/>
            <w:vAlign w:val="center"/>
          </w:tcPr>
          <w:p>
            <w:pPr>
              <w:pageBreakBefore w:val="0"/>
              <w:kinsoku/>
              <w:wordWrap/>
              <w:overflowPunct/>
              <w:topLinePunct w:val="0"/>
              <w:autoSpaceDE/>
              <w:autoSpaceDN/>
              <w:bidi w:val="0"/>
              <w:spacing w:line="400" w:lineRule="exact"/>
              <w:jc w:val="center"/>
              <w:outlineLvl w:val="9"/>
              <w:rPr>
                <w:rFonts w:hint="eastAsia" w:ascii="仿宋_GB2312" w:hAnsi="仿宋" w:eastAsia="仿宋_GB2312"/>
                <w:sz w:val="24"/>
              </w:rPr>
            </w:pPr>
            <w:r>
              <w:rPr>
                <w:rFonts w:hint="eastAsia" w:ascii="仿宋_GB2312" w:hAnsi="仿宋" w:eastAsia="仿宋_GB2312"/>
                <w:sz w:val="24"/>
              </w:rPr>
              <w:t>11</w:t>
            </w:r>
          </w:p>
        </w:tc>
        <w:tc>
          <w:tcPr>
            <w:tcW w:w="8080" w:type="dxa"/>
            <w:noWrap w:val="0"/>
            <w:vAlign w:val="center"/>
          </w:tcPr>
          <w:p>
            <w:pPr>
              <w:pageBreakBefore w:val="0"/>
              <w:kinsoku/>
              <w:wordWrap/>
              <w:overflowPunct/>
              <w:topLinePunct w:val="0"/>
              <w:autoSpaceDE/>
              <w:autoSpaceDN/>
              <w:bidi w:val="0"/>
              <w:spacing w:line="400" w:lineRule="exact"/>
              <w:outlineLvl w:val="9"/>
              <w:rPr>
                <w:rFonts w:hint="eastAsia" w:ascii="仿宋_GB2312" w:hAnsi="仿宋" w:eastAsia="仿宋_GB2312"/>
                <w:sz w:val="24"/>
              </w:rPr>
            </w:pPr>
            <w:r>
              <w:rPr>
                <w:rFonts w:hint="eastAsia" w:ascii="仿宋_GB2312" w:hAnsi="仿宋" w:eastAsia="仿宋_GB2312"/>
                <w:sz w:val="24"/>
              </w:rPr>
              <w:t>研究学校党政交办的其他工作任务和其他需要院长办公会讨论、解决的事项。</w:t>
            </w:r>
          </w:p>
        </w:tc>
      </w:tr>
    </w:tbl>
    <w:p>
      <w:pPr>
        <w:pageBreakBefore w:val="0"/>
        <w:widowControl/>
        <w:kinsoku/>
        <w:wordWrap/>
        <w:overflowPunct/>
        <w:topLinePunct w:val="0"/>
        <w:autoSpaceDE/>
        <w:autoSpaceDN/>
        <w:bidi w:val="0"/>
        <w:spacing w:line="500" w:lineRule="exact"/>
        <w:jc w:val="center"/>
        <w:outlineLvl w:val="9"/>
        <w:rPr>
          <w:rFonts w:hint="eastAsia" w:ascii="黑体" w:hAnsi="仿宋_GB2312" w:eastAsia="黑体" w:cs="仿宋_GB2312"/>
          <w:b/>
          <w:kern w:val="0"/>
          <w:sz w:val="32"/>
          <w:szCs w:val="32"/>
          <w:lang w:bidi="ar"/>
        </w:rPr>
      </w:pPr>
    </w:p>
    <w:p>
      <w:pPr>
        <w:pageBreakBefore w:val="0"/>
        <w:widowControl/>
        <w:kinsoku/>
        <w:wordWrap/>
        <w:overflowPunct/>
        <w:topLinePunct w:val="0"/>
        <w:autoSpaceDE/>
        <w:autoSpaceDN/>
        <w:bidi w:val="0"/>
        <w:spacing w:line="500" w:lineRule="exact"/>
        <w:jc w:val="center"/>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第</w:t>
      </w:r>
      <w:r>
        <w:rPr>
          <w:rFonts w:hint="eastAsia" w:ascii="黑体" w:hAnsi="仿宋_GB2312" w:eastAsia="黑体" w:cs="仿宋_GB2312"/>
          <w:b/>
          <w:kern w:val="0"/>
          <w:sz w:val="32"/>
          <w:szCs w:val="32"/>
          <w:lang w:bidi="ar"/>
        </w:rPr>
        <w:t>四</w:t>
      </w:r>
      <w:r>
        <w:rPr>
          <w:rFonts w:ascii="黑体" w:hAnsi="仿宋_GB2312" w:eastAsia="黑体" w:cs="仿宋_GB2312"/>
          <w:b/>
          <w:kern w:val="0"/>
          <w:sz w:val="32"/>
          <w:szCs w:val="32"/>
          <w:lang w:bidi="ar"/>
        </w:rPr>
        <w:t xml:space="preserve">章 </w:t>
      </w:r>
      <w:r>
        <w:rPr>
          <w:rFonts w:hint="eastAsia" w:ascii="黑体" w:hAnsi="仿宋_GB2312" w:eastAsia="黑体" w:cs="仿宋_GB2312"/>
          <w:b/>
          <w:kern w:val="0"/>
          <w:sz w:val="32"/>
          <w:szCs w:val="32"/>
          <w:lang w:bidi="ar"/>
        </w:rPr>
        <w:t xml:space="preserve"> </w:t>
      </w:r>
      <w:r>
        <w:rPr>
          <w:rFonts w:ascii="黑体" w:hAnsi="仿宋_GB2312" w:eastAsia="黑体" w:cs="仿宋_GB2312"/>
          <w:b/>
          <w:kern w:val="0"/>
          <w:sz w:val="32"/>
          <w:szCs w:val="32"/>
          <w:lang w:bidi="ar"/>
        </w:rPr>
        <w:t>议事</w:t>
      </w:r>
      <w:r>
        <w:rPr>
          <w:rFonts w:hint="eastAsia" w:ascii="黑体" w:hAnsi="仿宋_GB2312" w:eastAsia="黑体" w:cs="仿宋_GB2312"/>
          <w:b/>
          <w:kern w:val="0"/>
          <w:sz w:val="32"/>
          <w:szCs w:val="32"/>
          <w:lang w:bidi="ar"/>
        </w:rPr>
        <w:t>规</w:t>
      </w:r>
      <w:r>
        <w:rPr>
          <w:rFonts w:ascii="黑体" w:hAnsi="仿宋_GB2312" w:eastAsia="黑体" w:cs="仿宋_GB2312"/>
          <w:b/>
          <w:kern w:val="0"/>
          <w:sz w:val="32"/>
          <w:szCs w:val="32"/>
          <w:lang w:bidi="ar"/>
        </w:rPr>
        <w:t>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党政联席会、总支（直属支部）委员会、院长办公会共同的议事规则：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会议实到会人数超过应到会人数的三分之二，会议有效。</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会议时间、地点、议题等提前1天以上通知与会人员。凡提交讨论的重要议题，有关人员应做好充分准备，提供论证材料、政策依据和若干方案或建议。</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坚持一事一议原则。会议决定多个事项的，应逐项讨论通过。</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 坚持民主集中制原则。讨论问题要畅所欲言，与会成员都要充分发表意见，明确表态，平等参与决策，会议主持人一般应在最后发表意见。列席人员会上可发表意见，但不参加表决。</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第二十条  </w:t>
      </w:r>
      <w:r>
        <w:rPr>
          <w:rFonts w:hint="eastAsia" w:ascii="仿宋_GB2312" w:hAnsi="仿宋_GB2312" w:eastAsia="仿宋_GB2312" w:cs="仿宋_GB2312"/>
          <w:kern w:val="0"/>
          <w:sz w:val="32"/>
          <w:szCs w:val="32"/>
          <w:lang w:bidi="ar"/>
        </w:rPr>
        <w:t>党政联席会特定的议事规则：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党政联席会的议题由书记和院长商量确定。其他出席会议的成员也可事先向党政主要负责人提出需要讨论决定的议题，经党政主要领导协商后确定。凡未经会前审定的议题，除突发性重大事件外，原则上不列入会议议程，也不能临时动议进行讨论。已确定上会讨论的议题，如分管领导不能到会，一般不予讨论。</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需要讨论决定的议题及基本想法，党政主要领导会前应充分沟通酝酿，主动交换意见，经协商后形成共识和主导性意见。</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有关学院发展规划、重大改革的方案在上会前要充分发扬民主，广泛听取专家、学者及广大党员、群众的意见和建议。对涉及教职工切身利益的重要事项，在决策前应听取学院工会及二级教代会的意见。</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 讨论决策时，应由提出议题的成员作简要说明，与会人员进行充分讨论后，主持人综合讨论意见，按照少数服从多数原则形成结论性意见或通过会议表决作出决定。通过决议时赞成人数超过应到会成员的半数为通过。</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 根据讨论事项的不同内容，可分别采取口头表决、举手表决、无记名投票表决或记名投票表决方式决策。重要事项或特殊情况需要时，在充分讨论的基础上，应采取无记名投票方式表决，表决结果由主持人当场宣布。若采用投票方式决策，监票人和计票人应在投票统计结果上签名。</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 集体讨论意见出现较大分歧时，可暂缓决策，留待会后进一步沟通、协商，并再次召开党政联席会议讨论作出决策。如果仍不能形成最终决策意见，应向学校党委、行政报告。</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 需要提交二级教代会讨论的事项，党政联席会议作出决定前，应由二级教代会讨论通过。</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第二十一条  </w:t>
      </w:r>
      <w:r>
        <w:rPr>
          <w:rFonts w:hint="eastAsia" w:ascii="仿宋_GB2312" w:hAnsi="仿宋_GB2312" w:eastAsia="仿宋_GB2312" w:cs="仿宋_GB2312"/>
          <w:kern w:val="0"/>
          <w:sz w:val="32"/>
          <w:szCs w:val="32"/>
          <w:lang w:bidi="ar"/>
        </w:rPr>
        <w:t>总支（直属支部）委员会特定议事规则：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总支（直属支部）委员会的议题由总支（直属支部）委员向书记提出，或由书记征求意见后提出。</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讨论决定问题必须按照少数服从多数的原则，以赞成人数超过应到会委员的半数为通过。</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意见基本一致时可采取口头表决形式，特殊情况下可采取投票方式进行表决。</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 对重要问题意见分歧较大，赞成与反对的人数接近时，除紧急情况下，一般应暂缓做出决定，待进一步调查研究、交换意见后，提交下次会议讨论决定或向上级党组织请示。</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院长办公会特定的议事规则：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议题由院长或其他分管负责人提出，院长确定。</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院长在充分听取各方面意见和建议的基础上做出决定。</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第二十三条</w:t>
      </w:r>
      <w:r>
        <w:rPr>
          <w:rFonts w:hint="eastAsia" w:ascii="仿宋_GB2312" w:hAnsi="仿宋_GB2312" w:eastAsia="仿宋_GB2312" w:cs="仿宋_GB2312"/>
          <w:kern w:val="0"/>
          <w:sz w:val="32"/>
          <w:szCs w:val="32"/>
          <w:lang w:bidi="ar"/>
        </w:rPr>
        <w:t xml:space="preserve">  学术委员会、二级教代会、团代会、学代会的议事规则按其章程或相关制度执行。</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p>
    <w:p>
      <w:pPr>
        <w:pageBreakBefore w:val="0"/>
        <w:widowControl/>
        <w:kinsoku/>
        <w:wordWrap/>
        <w:overflowPunct/>
        <w:topLinePunct w:val="0"/>
        <w:autoSpaceDE/>
        <w:autoSpaceDN/>
        <w:bidi w:val="0"/>
        <w:spacing w:line="50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第五章  纪律要求与监督检查</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第二十四条</w:t>
      </w:r>
      <w:r>
        <w:rPr>
          <w:rFonts w:hint="eastAsia" w:ascii="仿宋_GB2312" w:hAnsi="仿宋_GB2312" w:eastAsia="仿宋_GB2312" w:cs="仿宋_GB2312"/>
          <w:kern w:val="0"/>
          <w:sz w:val="32"/>
          <w:szCs w:val="32"/>
          <w:lang w:bidi="ar"/>
        </w:rPr>
        <w:t xml:space="preserve">  党政联席会、总支（直属支部）委员会、院长办公会共同的纪律要求主要有：</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1．会议成员应按时到会。会议召开时，会议成员一般不能请假，确实因故不能出席时，须向会议主持人请假，并在会前以口头或书面形式就会议的议题提出意见和建议。</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在重大问题讨论决定前，要走群众路线，深入调研，广泛听取群众意见。决议、决定在执行过程中，会议成员要及时收集掌握师生员工的意见建议，并做好说明解释工作，对合理建议要及时采纳。对决议、决定在执行过程中的效率、效益和效果等绩效要及时进行评估。</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会议均坚持民主集中制原则，研究讨论议题时，如遇重大分歧，不得仓促做出决定。</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 对会议形成的集体决定、决议，任何个人无权擅自改变。个人有不同意见允许保留，也可向上级组织报告，在本级组织或上级组织未做出改变之前，行动上必须无条件服从并坚决执行，同时应当以集体的决定或意见对外表态。</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 会议议事时，凡涉及到和与会者本人及其配偶、直系血亲、近姻亲关系有利益关系的问题时，相关成员应主动回避。</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 与会人员要严格保密纪律，对会议需要保密的事项，必须严守秘密，不得擅自外传会议讨论情况及所有不宜公开的内容。对违反纪律者应追究当事人责任，情节严重的要给予纪律处分。</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 会议必须有专人负责记录，记录应详实、准确。会议中审议的重大事项要形成《会议纪要》，经院长、书记审核，会议主持人签批后，根据需要发至学院有关单位并存档备查，同时应传阅至因故缺席的班子成员。对因故未能出席会议的成员，由会议主持人在会后向其通报有关情况和决定。经党政联席会议讨论通过、以院系名义上报或下发的文件，由书记和院长根据各自职责把关签发。</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 党政联席会议决定的事项，由分管领导组织实施并及时向党政联席会议通报实施情况。党政联席会议做出的决议、决定，根据工作内容和工作需要及时传达至学院师生员工，发挥好师生员工参与民主管理和民主监督的作用。总支（直属支部）委员会做出的决议，根据工作内容和工作需要及时传达至学院基层党组织和党员。</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 二级学院办公室要建立督办落实相关会议议题情况登记及有关资料存档制度，了解会议决议执行情况并及时向学院有关领导汇报</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第二十五条  </w:t>
      </w:r>
      <w:r>
        <w:rPr>
          <w:rFonts w:hint="eastAsia" w:ascii="仿宋_GB2312" w:hAnsi="仿宋_GB2312" w:eastAsia="仿宋_GB2312" w:cs="仿宋_GB2312"/>
          <w:kern w:val="0"/>
          <w:sz w:val="32"/>
          <w:szCs w:val="32"/>
          <w:lang w:bidi="ar"/>
        </w:rPr>
        <w:t>党政联席会特定的纪律要求：</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凡属“三重一大”事项（重大问题决策、重要干部任免、重大项目投资决策、大额资金使用）以及本制度规定的内容，必须经党政联席会议讨论决定。发现违反本制度的行为或接到检举、控告，认为需要查明事实、纠正错误、追究责任的，按照相应的职责和权限，及时调查处理。</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 二级学院党政主要负责人对党政联席会议决定的重大事项须及时向学校分管（联系）领导汇报，并根据需要向本单位师生员工通报，做到决议公开和实施结果公开。</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第二十六条</w:t>
      </w:r>
      <w:r>
        <w:rPr>
          <w:rFonts w:hint="eastAsia" w:ascii="仿宋_GB2312" w:hAnsi="仿宋_GB2312" w:eastAsia="仿宋_GB2312" w:cs="仿宋_GB2312"/>
          <w:kern w:val="0"/>
          <w:sz w:val="32"/>
          <w:szCs w:val="32"/>
          <w:lang w:bidi="ar"/>
        </w:rPr>
        <w:t xml:space="preserve">  党政联席会议、总支（直属支部）委员会、院长办公会决策出现失误，由会议成员集体承担责任，其中主持人负主要责任。决定、决议执行中出现失误，由分管领导负直接责任，书记和院长按分工负领导责任。</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第二十七条  </w:t>
      </w:r>
      <w:r>
        <w:rPr>
          <w:rFonts w:hint="eastAsia" w:ascii="仿宋_GB2312" w:hAnsi="仿宋_GB2312" w:eastAsia="仿宋_GB2312" w:cs="仿宋_GB2312"/>
          <w:kern w:val="0"/>
          <w:sz w:val="32"/>
          <w:szCs w:val="32"/>
          <w:lang w:bidi="ar"/>
        </w:rPr>
        <w:t>学校每年要对执行本规程的情况进行检查，并将各二级学院情况作为对领导班子考核的重要内容，与二级学院班子及成员年度考核挂钩，同时将检查结果作为干部任免、评优的重要依据。</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第二十八条</w:t>
      </w:r>
      <w:r>
        <w:rPr>
          <w:rFonts w:hint="eastAsia" w:ascii="仿宋_GB2312" w:hAnsi="仿宋_GB2312" w:eastAsia="仿宋_GB2312" w:cs="仿宋_GB2312"/>
          <w:kern w:val="0"/>
          <w:sz w:val="32"/>
          <w:szCs w:val="32"/>
          <w:lang w:bidi="ar"/>
        </w:rPr>
        <w:t xml:space="preserve">  二级学院书记、院长和领导班子成员要认真坚持民主集中制原则，严格遵守重大问题必须集体讨论决定的制度，严格遵守议事规则和决策程序。</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第二十九条  </w:t>
      </w:r>
      <w:r>
        <w:rPr>
          <w:rFonts w:hint="eastAsia" w:ascii="仿宋_GB2312" w:hAnsi="仿宋_GB2312" w:eastAsia="仿宋_GB2312" w:cs="仿宋_GB2312"/>
          <w:kern w:val="0"/>
          <w:sz w:val="32"/>
          <w:szCs w:val="32"/>
          <w:lang w:bidi="ar"/>
        </w:rPr>
        <w:t>要充分发挥党内监督、群众监督、党外监督的作用，以多种形式监督本规定的贯彻落实。院长和书记要依法保障学院教职工参与民主管理和民主监督。各二级学院党政要定期向教职工通报工作，听取意见和建议，自觉接受监督。</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p>
    <w:p>
      <w:pPr>
        <w:pageBreakBefore w:val="0"/>
        <w:widowControl/>
        <w:kinsoku/>
        <w:wordWrap/>
        <w:overflowPunct/>
        <w:topLinePunct w:val="0"/>
        <w:autoSpaceDE/>
        <w:autoSpaceDN/>
        <w:bidi w:val="0"/>
        <w:spacing w:line="50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第六章  附则</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第三十条 </w:t>
      </w:r>
      <w:r>
        <w:rPr>
          <w:rFonts w:hint="eastAsia" w:ascii="仿宋_GB2312" w:hAnsi="仿宋_GB2312" w:eastAsia="仿宋_GB2312" w:cs="仿宋_GB2312"/>
          <w:kern w:val="0"/>
          <w:sz w:val="32"/>
          <w:szCs w:val="32"/>
          <w:lang w:bidi="ar"/>
        </w:rPr>
        <w:t xml:space="preserve"> 本规定适用于学校各二级学院，自发布之日起执行。《柳州职业技术学院二级学院党政联席会议制度试行办法》（柳职院党字〔2016〕18 号）同时废止。</w:t>
      </w:r>
    </w:p>
    <w:p>
      <w:pPr>
        <w:pageBreakBefore w:val="0"/>
        <w:widowControl/>
        <w:kinsoku/>
        <w:wordWrap/>
        <w:overflowPunct/>
        <w:topLinePunct w:val="0"/>
        <w:autoSpaceDE/>
        <w:autoSpaceDN/>
        <w:bidi w:val="0"/>
        <w:spacing w:line="500" w:lineRule="exact"/>
        <w:ind w:firstLine="640" w:firstLineChars="200"/>
        <w:jc w:val="left"/>
        <w:outlineLvl w:val="9"/>
        <w:rPr>
          <w:rFonts w:ascii="仿宋_GB2312" w:hAnsi="仿宋_GB2312" w:eastAsia="仿宋_GB2312" w:cs="仿宋_GB2312"/>
          <w:kern w:val="0"/>
          <w:sz w:val="32"/>
          <w:szCs w:val="32"/>
          <w:lang w:bidi="ar"/>
        </w:rPr>
      </w:pPr>
    </w:p>
    <w:p>
      <w:pPr>
        <w:pageBreakBefore w:val="0"/>
        <w:widowControl/>
        <w:kinsoku/>
        <w:wordWrap/>
        <w:overflowPunct/>
        <w:topLinePunct w:val="0"/>
        <w:autoSpaceDE/>
        <w:autoSpaceDN/>
        <w:bidi w:val="0"/>
        <w:spacing w:line="500" w:lineRule="exact"/>
        <w:ind w:firstLine="640" w:firstLineChars="200"/>
        <w:jc w:val="left"/>
        <w:outlineLvl w:val="9"/>
        <w:rPr>
          <w:rFonts w:hint="eastAsia" w:ascii="仿宋_GB2312" w:hAnsi="仿宋_GB2312" w:eastAsia="仿宋_GB2312" w:cs="仿宋_GB2312"/>
          <w:kern w:val="0"/>
          <w:sz w:val="32"/>
          <w:szCs w:val="32"/>
          <w:lang w:bidi="ar"/>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r>
        <w:rPr>
          <w:b/>
          <w:color w:val="000000"/>
          <w:sz w:val="36"/>
          <w:szCs w:val="36"/>
        </w:rPr>
        <w:br w:type="page"/>
      </w:r>
      <w:bookmarkStart w:id="208" w:name="_Toc24331"/>
      <w:bookmarkStart w:id="209" w:name="_Toc1427"/>
      <w:bookmarkStart w:id="210" w:name="_Toc534377767"/>
      <w:bookmarkStart w:id="211" w:name="_Toc28880"/>
      <w:r>
        <w:rPr>
          <w:rFonts w:hint="eastAsia"/>
          <w:b/>
          <w:color w:val="000000"/>
          <w:sz w:val="36"/>
          <w:szCs w:val="36"/>
        </w:rPr>
        <w:t>柳州职业技术学院约请校领导</w:t>
      </w:r>
      <w:bookmarkEnd w:id="208"/>
      <w:bookmarkEnd w:id="209"/>
      <w:bookmarkEnd w:id="210"/>
      <w:bookmarkEnd w:id="211"/>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12" w:name="_Toc12803"/>
      <w:bookmarkStart w:id="213" w:name="_Toc534377768"/>
      <w:bookmarkStart w:id="214" w:name="_Toc6755"/>
      <w:bookmarkStart w:id="215" w:name="_Toc32648"/>
      <w:r>
        <w:rPr>
          <w:rFonts w:hint="eastAsia"/>
          <w:b/>
          <w:color w:val="000000"/>
          <w:sz w:val="36"/>
          <w:szCs w:val="36"/>
        </w:rPr>
        <w:t>出席公务活动的暂行规定</w:t>
      </w:r>
      <w:bookmarkEnd w:id="212"/>
      <w:bookmarkEnd w:id="213"/>
      <w:bookmarkEnd w:id="214"/>
      <w:bookmarkEnd w:id="215"/>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（柳职院字〔2017〕15号）</w:t>
      </w:r>
    </w:p>
    <w:p>
      <w:pPr>
        <w:pageBreakBefore w:val="0"/>
        <w:kinsoku/>
        <w:wordWrap/>
        <w:overflowPunct/>
        <w:topLinePunct w:val="0"/>
        <w:autoSpaceDE/>
        <w:autoSpaceDN/>
        <w:bidi w:val="0"/>
        <w:outlineLvl w:val="9"/>
        <w:rPr>
          <w:rFonts w:ascii="宋体" w:hAnsi="宋体"/>
          <w:sz w:val="30"/>
          <w:szCs w:val="30"/>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为进一步规范学校公务活动秩序，统筹安排学校领导出席各类活动，提高工作效率,特制定本规定。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本规定所指活动指校领导出席的重要会议、重大庆典、重要接待、外事活动等各类公务活动。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一般的对外接待活动由党委（学校）办公室根据有关通知或来函,按照对等原则安排相关校领导出席。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有上级政府部门领导参加的活动, 由党委（学校）办公室根据通知、来函或校领导指示安排相关校领导出席。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各部门(二级学院)邀请校领导参加各类公务活动，请填写《柳州职业技术学院约请校领导出席活动申报表》（见附件），提前将活动的时间、地点、内容、规模、背景材料等报党委办公室（学校办公室）。</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第五条 </w:t>
      </w:r>
      <w:r>
        <w:rPr>
          <w:rFonts w:hint="eastAsia" w:ascii="仿宋_GB2312" w:eastAsia="仿宋_GB2312"/>
          <w:sz w:val="32"/>
          <w:szCs w:val="32"/>
        </w:rPr>
        <w:t xml:space="preserve"> 各部门(二级学院)邀请校领导参加各类公务活动，原则上应提前3至5个工作日提出申请，全院性的重大活动应提前1周提出申请。</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第六条  </w:t>
      </w:r>
      <w:r>
        <w:rPr>
          <w:rFonts w:hint="eastAsia" w:ascii="仿宋_GB2312" w:eastAsia="仿宋_GB2312"/>
          <w:sz w:val="32"/>
          <w:szCs w:val="32"/>
        </w:rPr>
        <w:t>办公室收到申报表后，将根据活动要求协调有关领导出席，并通知约请部门。如遇特殊情况，原定校领导不能参加该项活动的，由办公室负责进行重新协调解决。</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涉及外事的活动应先报国际交流中心审批。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有会议通知或邀请函的统一送党委办公室（学校办公室），办公室根据工作需要、领导分工等情况，提出意见报请校领导批示，并及时将有关安排通知邀请单位。</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第九条 </w:t>
      </w:r>
      <w:r>
        <w:rPr>
          <w:rFonts w:hint="eastAsia" w:ascii="仿宋_GB2312" w:eastAsia="仿宋_GB2312"/>
          <w:sz w:val="32"/>
          <w:szCs w:val="32"/>
        </w:rPr>
        <w:t xml:space="preserve"> 涉及、需要校领导致辞或讲话的活动，邀请部门应在报有关活动基本材料的同时提供领导致辞或讲话稿（代拟稿），由党委办公室（学校办公室）审稿修改后，报请校领导定稿。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第十条 </w:t>
      </w:r>
      <w:r>
        <w:rPr>
          <w:rFonts w:hint="eastAsia" w:ascii="仿宋_GB2312" w:eastAsia="仿宋_GB2312"/>
          <w:sz w:val="32"/>
          <w:szCs w:val="32"/>
        </w:rPr>
        <w:t xml:space="preserve"> 如遇到临时活动或紧急活动，各部门主要负责人可直接与党委办公室（学校办公室）联系，确保活动顺利进行。</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第十一条 </w:t>
      </w:r>
      <w:r>
        <w:rPr>
          <w:rFonts w:hint="eastAsia" w:ascii="仿宋_GB2312" w:eastAsia="仿宋_GB2312"/>
          <w:sz w:val="32"/>
          <w:szCs w:val="32"/>
        </w:rPr>
        <w:t xml:space="preserve"> 各部门自觉按照上述要求执行，以减少校领导不必要的事务性应酬，提高工作效率。</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 xml:space="preserve"> 此规定由党委办公室（学校办公室）负责解释，自公布之日起施行。</w:t>
      </w:r>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16" w:name="_Toc17924"/>
      <w:bookmarkStart w:id="217" w:name="_Toc534377769"/>
      <w:bookmarkStart w:id="218" w:name="_Toc17813"/>
      <w:bookmarkStart w:id="219" w:name="_Toc11254"/>
      <w:r>
        <w:rPr>
          <w:rFonts w:hint="eastAsia"/>
          <w:b/>
          <w:color w:val="000000"/>
          <w:sz w:val="36"/>
          <w:szCs w:val="36"/>
        </w:rPr>
        <w:t>柳州职业技术学院会议管理办法</w:t>
      </w:r>
      <w:bookmarkEnd w:id="216"/>
      <w:bookmarkEnd w:id="217"/>
      <w:bookmarkEnd w:id="218"/>
      <w:bookmarkEnd w:id="219"/>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（柳职院字〔2017〕16号）</w:t>
      </w:r>
    </w:p>
    <w:p>
      <w:pPr>
        <w:pageBreakBefore w:val="0"/>
        <w:kinsoku/>
        <w:wordWrap/>
        <w:overflowPunct/>
        <w:topLinePunct w:val="0"/>
        <w:autoSpaceDE/>
        <w:autoSpaceDN/>
        <w:bidi w:val="0"/>
        <w:outlineLvl w:val="9"/>
        <w:rPr>
          <w:rFonts w:ascii="Calibri" w:hAnsi="Calibri"/>
          <w:sz w:val="21"/>
          <w:szCs w:val="22"/>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为加强学校各类会议的组织与管理，做好统筹和协调工作，确保会议质量和效率，使会议的管理进一步科学化、规范化，根据上级有关规定，结合我校实际，特制定本办法。</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一、会议安排的原则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会议安排遵循精简高效、急缓有序和力求节约的原则进行。</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1会议召开应确有必要，主题鲜明，准备充分，注重实效；</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2.能合并召开的会议，要合并召开；</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3.能以文件、电话、网络平台形式部署工作的，不召开会议；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4.可通过到各部门、二级学院(部)现场解决的问题，不召开会议；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5.部门职责范围内或分管校领导权限内可以决定的事项，不召开会议；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6.尽可能缩短会议时间，合理安排与会人员；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7.除上级要求和突发事件外，</w:t>
      </w:r>
      <w:r>
        <w:rPr>
          <w:rFonts w:ascii="仿宋_GB2312" w:eastAsia="仿宋_GB2312"/>
          <w:sz w:val="32"/>
          <w:szCs w:val="32"/>
        </w:rPr>
        <w:t>原则上每周的周</w:t>
      </w:r>
      <w:r>
        <w:rPr>
          <w:rFonts w:hint="eastAsia" w:ascii="仿宋_GB2312" w:eastAsia="仿宋_GB2312"/>
          <w:sz w:val="32"/>
          <w:szCs w:val="32"/>
        </w:rPr>
        <w:t>五</w:t>
      </w:r>
      <w:r>
        <w:rPr>
          <w:rFonts w:ascii="仿宋_GB2312" w:eastAsia="仿宋_GB2312"/>
          <w:sz w:val="32"/>
          <w:szCs w:val="32"/>
        </w:rPr>
        <w:t>不召开</w:t>
      </w:r>
      <w:r>
        <w:rPr>
          <w:rFonts w:hint="eastAsia" w:ascii="仿宋_GB2312" w:eastAsia="仿宋_GB2312"/>
          <w:sz w:val="32"/>
          <w:szCs w:val="32"/>
        </w:rPr>
        <w:t>学校层面的综合性和各种业务工作</w:t>
      </w:r>
      <w:r>
        <w:rPr>
          <w:rFonts w:ascii="仿宋_GB2312" w:eastAsia="仿宋_GB2312"/>
          <w:sz w:val="32"/>
          <w:szCs w:val="32"/>
        </w:rPr>
        <w:t>会议</w:t>
      </w:r>
      <w:r>
        <w:rPr>
          <w:rFonts w:hint="eastAsia" w:ascii="仿宋_GB2312" w:eastAsia="仿宋_GB2312"/>
          <w:sz w:val="32"/>
          <w:szCs w:val="32"/>
        </w:rPr>
        <w:t>。</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二、会议类型及负责部门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1.学校党委会、校长办公会的会务工作由党委（学校）办公室负责；领导班子专题民主生活会的会务工作由党委组织部负责；党委中心组理论学习会的会务工作由党委宣传部负责。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全校性会议由党委（学校）办公室负责协调、相关部门配合。其中党员大会、党员代表大会等由党委组织部负责；教学工作大会由教务与实训管理处负责；教职工代表大会由工会负责；全体教职员工大会、全体中层领导干部会议等由党委（学校）办公室负责，学生开学典礼、毕业典礼、学代会、团代会等由学工处和团委负责。</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3.各种专题性、业务性会议，由业务主管部门牵头组织，相关部门予以配合。如项目论证评审会、项目研讨会、专项工作检查汇报会、专项工作总结会等；工作步署会、推进会、协调会；报告会、讲座、论坛等。</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4.各部门、二级学院内部召开的各种会议，由部门和二级学院自行组织。</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5.为解决紧迫问题和突发事件所召开的会议，由主持会议的校领导指定相关部门负责组织，其他部门予以配合。 </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三、会议召集的基本程序</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1.确定会议中心议题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全校性会议议题一般由学校领导或党委会、校长办公会确定；业务会议或者专题会议由业务主管部门根据工作的实际需要提出，报分管学校领导审定。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2.确定会议议程、日程、主持人和与会人员名单</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全校性会议议程、日程、主持人和与会校领导名单，由党委（学校）办公室根据会议内容和学校党政主要领导意见进行安排与协调；各种专题、业务会议，除安排分管校领导和必须出席的校领导外，一般不邀请其他校领导参加，各部门出席人数应控制在最低限度，应选派最有代表性的人员出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学校</w:t>
      </w:r>
      <w:r>
        <w:rPr>
          <w:rFonts w:ascii="仿宋_GB2312" w:eastAsia="仿宋_GB2312"/>
          <w:sz w:val="32"/>
          <w:szCs w:val="32"/>
        </w:rPr>
        <w:t>主要领导</w:t>
      </w:r>
      <w:r>
        <w:rPr>
          <w:rFonts w:hint="eastAsia" w:ascii="仿宋_GB2312" w:eastAsia="仿宋_GB2312"/>
          <w:sz w:val="32"/>
          <w:szCs w:val="32"/>
        </w:rPr>
        <w:t>可根据</w:t>
      </w:r>
      <w:r>
        <w:rPr>
          <w:rFonts w:ascii="仿宋_GB2312" w:eastAsia="仿宋_GB2312"/>
          <w:sz w:val="32"/>
          <w:szCs w:val="32"/>
        </w:rPr>
        <w:t>会议内容</w:t>
      </w:r>
      <w:r>
        <w:rPr>
          <w:rFonts w:hint="eastAsia" w:ascii="仿宋_GB2312" w:eastAsia="仿宋_GB2312"/>
          <w:sz w:val="32"/>
          <w:szCs w:val="32"/>
        </w:rPr>
        <w:t>视情况</w:t>
      </w:r>
      <w:r>
        <w:rPr>
          <w:rFonts w:ascii="仿宋_GB2312" w:eastAsia="仿宋_GB2312"/>
          <w:sz w:val="32"/>
          <w:szCs w:val="32"/>
        </w:rPr>
        <w:t>参加</w:t>
      </w:r>
      <w:r>
        <w:rPr>
          <w:rFonts w:hint="eastAsia" w:ascii="仿宋_GB2312" w:eastAsia="仿宋_GB2312"/>
          <w:sz w:val="32"/>
          <w:szCs w:val="32"/>
        </w:rPr>
        <w:t>相关</w:t>
      </w:r>
      <w:r>
        <w:rPr>
          <w:rFonts w:ascii="仿宋_GB2312" w:eastAsia="仿宋_GB2312"/>
          <w:sz w:val="32"/>
          <w:szCs w:val="32"/>
        </w:rPr>
        <w:t>会议。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3.履行会议报批手续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(1)部门和二级学院内部会议由部门和二级学院自行决定，无需履行会议报批手续。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(2)由部门组织的全校业务性会议、专题性会议、跨部门的会议、承办的校外会议、需要安排在校外召开的会议，获得分管校领导审批通过后，会议承办部门需在会议召开前一周的周五 12:00 时前，将会议申请通过 CRP系统提交至党委（学校）办公室，党委（学校）办公室在每周五汇总下一周的会议一览表，并通过 CRP系统公布。未纳入一周安排的会议，原则上一般不作临时安排。</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报告会、研讨会、讲座、论坛等会议，根据《柳州职业技术学院宣传思想阵地管理办法（试行）》（柳职院党字〔2016〕31号）文件要求，原则上须提前一周申请网上流程，填写《柳州职业技术学院报告会、研讨会、讲座、论坛申请表》，报党委宣传部审批备案后方可举行。</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(4)未经批准，任何部门和个人不得以学校名义召开会议，任何校外单位、机构、公司、团体和个人未经批准不得使用校内场所举办各类活动和会议。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4.会议通知</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各类会议，由负责组织的职能部门做好会议通知。会议通知应含以下要素：会议名称（会议内容、会议主题）、时间、地点、与会人员、需准备的材料或其它要求。</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5.会场布置</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会议组织部门负责会场布置，相关部门予以协助。会场布置包括：会标、主席台、会场座次、台卡、音响、多媒体投影、茶水等，具体视会议的规模和重要程度而定(校内会议不再提供茶具及一次性纸杯)。</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大型会议、重要会议，会标及主席台领导或来宾座次方案，应提前与党委（学校）办公室沟通。</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6.会务工作</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大型的重要会议，主办部门必须安排签到，内容重要且需要一段时间斟酌的材料，应提前两天发给会议代表或将电子材料发至参会的相关人员。其它会议材料可在会前发放。</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特别重要的会议还应制发会议证件，安排录音录像、摄影照相、新闻报道、合影留念、礼仪服务、安全保卫等。</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7.会议执行</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(1)学校党委会或校长办公会决定的事项，由各分管校领导负责组织贯彻落实，党委（学校）办公室负责跟踪落实。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(2)各分管校领导召开业务会议决定的事项，由具体承办部门负责执行；各分管校领导负责调度、指挥、督促检查。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(3)各职能部门召开业务会议决定的事项，由各职能部门负责执行并督促检查。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(4)会议组织部门应根据会议精神，尽快将校领导和上级领导的重要讲话整理成文稿，必要时草拟会议纪要，送党委（学校）办公室按程序制文；重要会议，需将全套会议材料整理后送学校档案馆存档；</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四、会议室使用管理规则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本规则所涉及的会议室指学校公共会议室。</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1.会议室使用的申请</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各部门拟使用公共会议室时，须提前通过CRP系统提交申请，若各部门的预定与学校安排的重要会议发生冲突，应服从学校的整体安排。</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2.会议室使用注意事项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(1)使用会议室时，未经会议室归口部门同意，不得将会议室物品携出室外。会议结束后及时归还钥匙。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组织会议部门做好会务准备及服务工作，会前进行卫生清洁，会后负责清理会场，桌椅和物品归于原位，关闭照明、音响、饮水机、空调等电源，关好门窗。会议室使用过程中要爱护室内设备及物品，注意节约，保持清洁。</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(3)若在会议室悬挂、张贴标语条幅等，会后应及时拆除，以保持墙面整洁。</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五、会议纪律</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1.与会人员应按要求出席会议，如因特殊情况不能出席，必须提前向会议组织者或主持人请假，并在获准情况下，安排其他人员出席。</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2.出席会议的人员，一般应提前5-10分钟到达会场，不得迟到、早退。会议期间，应关闭移动电话或将其置于振动、静音状态，并不得办理与会议无关的事情。</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3.与会者发言必须提前做好准备，紧扣主题，重点突出，内容精炼。</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4.凡涉密事项，与会人员必须严格按保密要求办事，妥善保管会议文件，需要退回的文件要及时退回。</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六、本办法由党委（学校）办公室负责解释，由纪检监察室负责监督执行。</w:t>
      </w:r>
    </w:p>
    <w:p>
      <w:pPr>
        <w:pageBreakBefore w:val="0"/>
        <w:kinsoku/>
        <w:wordWrap/>
        <w:overflowPunct/>
        <w:topLinePunct w:val="0"/>
        <w:autoSpaceDE/>
        <w:autoSpaceDN/>
        <w:bidi w:val="0"/>
        <w:spacing w:line="590" w:lineRule="exact"/>
        <w:ind w:firstLine="640" w:firstLineChars="200"/>
        <w:outlineLvl w:val="9"/>
        <w:rPr>
          <w:rFonts w:ascii="仿宋_GB2312" w:eastAsia="仿宋_GB2312"/>
          <w:b/>
          <w:sz w:val="32"/>
          <w:szCs w:val="32"/>
        </w:rPr>
      </w:pPr>
      <w:r>
        <w:rPr>
          <w:rFonts w:hint="eastAsia" w:ascii="仿宋_GB2312" w:eastAsia="仿宋_GB2312"/>
          <w:b/>
          <w:sz w:val="32"/>
          <w:szCs w:val="32"/>
        </w:rPr>
        <w:t>七、本办法自发文之日起施行，原《柳州职业技术学院会议管理办法》同时废止。</w:t>
      </w:r>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20" w:name="_Toc17383"/>
      <w:bookmarkStart w:id="221" w:name="_Toc31378"/>
      <w:bookmarkStart w:id="222" w:name="_Toc25095"/>
      <w:bookmarkStart w:id="223" w:name="_Toc534377772"/>
      <w:r>
        <w:rPr>
          <w:rFonts w:hint="eastAsia"/>
          <w:b/>
          <w:color w:val="000000"/>
          <w:sz w:val="36"/>
          <w:szCs w:val="36"/>
        </w:rPr>
        <w:t>柳州职业技术学院国内公务接待管理办法</w:t>
      </w:r>
      <w:bookmarkEnd w:id="220"/>
      <w:bookmarkEnd w:id="221"/>
      <w:bookmarkEnd w:id="222"/>
      <w:bookmarkEnd w:id="223"/>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（柳职院字〔2017〕19号）</w:t>
      </w:r>
    </w:p>
    <w:p>
      <w:pPr>
        <w:pageBreakBefore w:val="0"/>
        <w:kinsoku/>
        <w:wordWrap/>
        <w:overflowPunct/>
        <w:topLinePunct w:val="0"/>
        <w:autoSpaceDE/>
        <w:autoSpaceDN/>
        <w:bidi w:val="0"/>
        <w:snapToGrid w:val="0"/>
        <w:spacing w:line="500" w:lineRule="atLeast"/>
        <w:ind w:firstLine="600" w:firstLineChars="200"/>
        <w:outlineLvl w:val="9"/>
        <w:rPr>
          <w:rFonts w:ascii="仿宋" w:hAnsi="仿宋" w:eastAsia="仿宋"/>
          <w:color w:val="000000"/>
          <w:sz w:val="30"/>
          <w:szCs w:val="30"/>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为进一步规范学校国内公务接待管理，厉行勤俭节约，反对铺张浪费，加强党风廉政建设，根据中央八项规定要求，根据《</w:t>
      </w:r>
      <w:r>
        <w:rPr>
          <w:rFonts w:ascii="仿宋_GB2312" w:eastAsia="仿宋_GB2312"/>
          <w:sz w:val="32"/>
          <w:szCs w:val="32"/>
        </w:rPr>
        <w:t>广西壮族自治区党政机关国内公务接待管理办法</w:t>
      </w:r>
      <w:r>
        <w:rPr>
          <w:rFonts w:hint="eastAsia" w:ascii="仿宋_GB2312" w:eastAsia="仿宋_GB2312"/>
          <w:sz w:val="32"/>
          <w:szCs w:val="32"/>
        </w:rPr>
        <w:t>》（桂发〔2014〕9号）、《柳州市贯彻执行〈党政机关厉行节约反对浪费条例〉实施办法》（柳发〔2014〕19号）、《柳州市党政机关国内公务接待管理实施细则补充规定》（柳财行〔2015〕6号）等文件精神，结合学校实际，特制定本管理办法。</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一、公务适用范围</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本管理办法适用于学校及各行政、教辅部门、二级学院（部）的国内公务接待行为。</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二、公务接待范围</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（一）国家部委、自治区、市、县党政领导及有关部门来校检查指导、调研的人员；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（二）兄弟院校、科研院所、校企合作企业等来校开展业务洽谈、项目合作、技术交流、考察学习等事宜的人员；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（三）学校重大活动、重要会议、重要工作需要安排接待的相关人员；</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（四）学校、各行政教辅部门、二级学院（部）因工作需要邀请的相关人员；</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三、公务接待原则</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国内公务接待应当坚持有利公务、务实节俭、严格标准、简化礼仪、高效透明、尊重少数民族风俗习惯的原则。</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四、公务接待要求</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实行先审批、后接待，先预算、后结算。所有国内公务接待均需填写公务接待申请表，由分管校领导审批，对能够合并的公务接待统筹安排。无公函或者邀请函的公务活动和来访人员，未经审批的公务活动或未纳入公务活动方案的来访人员，一律不予接待。</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二）校内各行政、教辅部门、二级学院（部）邀请上级机关领导及兄弟单位主要负责同志来校考察调研的，原则上提前3个工作日通过CRP系统填写《柳州职业技术学院公务接待审批表》，说明事由及接待方案，由分管校领导审批。</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（三）国内公务接待不得在机场、车站、码头和辖区边界组织迎送活动，不得跨地区迎送，不得张贴悬挂标语横幅，不得组织师生迎送，不得铺设迎宾地毯。</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（四）接待部门不得超规格、超标准接待，严禁用公款安排与公务活动无关的项目，不得用公款报销或者支付应由个人负担的费用，不得以任何名义赠送礼金、有价证券、纪念品和土特产品等。</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五）国内公务接待严格控制陪同人数，不得层层多人陪同。严禁干扰学校正常教学、科研秩序。上级领导、兄弟高校领导、企事业单位领导来校考察调研、检查指导，由党委（学校）办公室根据对等接待原则，统筹协调接待人员，报请学校主要领导审核批准。</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（六）国内公务接待的会务工作应严格执行会议管理的有关规定，会场的安排和布置要简洁大方、讲求实用、节约开支，不摆放花草，不摆设水果、香烟。</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（七）除会议统一安排外,同城严禁吃请。</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（八）国内公务接待的新闻报道应严格按学校党委宣传部规定进行报道。</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五、公务接待内容</w:t>
      </w:r>
    </w:p>
    <w:p>
      <w:pPr>
        <w:pageBreakBefore w:val="0"/>
        <w:kinsoku/>
        <w:wordWrap/>
        <w:overflowPunct/>
        <w:topLinePunct w:val="0"/>
        <w:autoSpaceDE/>
        <w:autoSpaceDN/>
        <w:bidi w:val="0"/>
        <w:spacing w:line="590" w:lineRule="exact"/>
        <w:ind w:firstLine="640" w:firstLineChars="200"/>
        <w:outlineLvl w:val="9"/>
        <w:rPr>
          <w:rFonts w:ascii="仿宋" w:hAnsi="仿宋" w:eastAsia="仿宋"/>
          <w:b/>
          <w:sz w:val="32"/>
          <w:szCs w:val="32"/>
        </w:rPr>
      </w:pPr>
      <w:r>
        <w:rPr>
          <w:rFonts w:hint="eastAsia" w:ascii="仿宋" w:hAnsi="仿宋" w:eastAsia="仿宋"/>
          <w:b/>
          <w:sz w:val="32"/>
          <w:szCs w:val="32"/>
        </w:rPr>
        <w:t>（一）接待用餐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因工作需要，接待部门可以在学校食堂安排圆桌简餐或快餐</w:t>
      </w:r>
      <w:r>
        <w:rPr>
          <w:rFonts w:ascii="仿宋_GB2312" w:eastAsia="仿宋_GB2312"/>
          <w:sz w:val="32"/>
          <w:szCs w:val="32"/>
        </w:rPr>
        <w:t>。</w:t>
      </w:r>
      <w:r>
        <w:rPr>
          <w:rFonts w:hint="eastAsia" w:ascii="仿宋_GB2312" w:eastAsia="仿宋_GB2312"/>
          <w:sz w:val="32"/>
          <w:szCs w:val="32"/>
        </w:rPr>
        <w:t>遇寒暑假或食堂停餐的情况下,经分管校领导同意,可在我校协议饭店单位安排用餐。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陪餐人数</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ascii="仿宋_GB2312" w:eastAsia="仿宋_GB2312"/>
          <w:sz w:val="32"/>
          <w:szCs w:val="32"/>
        </w:rPr>
        <w:t>接待对象在10人以内的，陪餐人数不得超过3人；超过10人的，不得超过接待对象人数的三分之一。</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2.菜品要求</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用</w:t>
      </w:r>
      <w:r>
        <w:rPr>
          <w:rFonts w:ascii="仿宋_GB2312" w:eastAsia="仿宋_GB2312"/>
          <w:sz w:val="32"/>
          <w:szCs w:val="32"/>
        </w:rPr>
        <w:t>餐应当供应家常菜，不得提供鱼翅、燕窝等高档菜肴和用野生保护动物制作的菜肴</w:t>
      </w:r>
      <w:r>
        <w:rPr>
          <w:rFonts w:hint="eastAsia" w:ascii="仿宋_GB2312" w:eastAsia="仿宋_GB2312"/>
          <w:sz w:val="32"/>
          <w:szCs w:val="32"/>
        </w:rPr>
        <w:t>。</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3.酒水要求</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一律</w:t>
      </w:r>
      <w:r>
        <w:rPr>
          <w:rFonts w:ascii="仿宋_GB2312" w:eastAsia="仿宋_GB2312"/>
          <w:sz w:val="32"/>
          <w:szCs w:val="32"/>
        </w:rPr>
        <w:t>不得提供酒水和香烟</w:t>
      </w:r>
      <w:r>
        <w:rPr>
          <w:rFonts w:hint="eastAsia" w:ascii="仿宋_GB2312" w:eastAsia="仿宋_GB2312"/>
          <w:sz w:val="32"/>
          <w:szCs w:val="32"/>
        </w:rPr>
        <w:t>。</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4.用餐标准</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（1）校内用餐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省部级领导同志及其随员每人不高于160元；司局级干部及其随员每人不高于120元；处级以下（含处级）干部每人不高于90元。</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（2）校外用餐</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省部级领导同志及其随员每人不高于200元；司局级干部及其随员每人不高于150元；处级以下（含处级）干部每人不高于130元。</w:t>
      </w:r>
    </w:p>
    <w:p>
      <w:pPr>
        <w:pageBreakBefore w:val="0"/>
        <w:kinsoku/>
        <w:wordWrap/>
        <w:overflowPunct/>
        <w:topLinePunct w:val="0"/>
        <w:autoSpaceDE/>
        <w:autoSpaceDN/>
        <w:bidi w:val="0"/>
        <w:spacing w:line="590" w:lineRule="exact"/>
        <w:ind w:firstLine="640" w:firstLineChars="200"/>
        <w:outlineLvl w:val="9"/>
        <w:rPr>
          <w:rFonts w:ascii="仿宋" w:hAnsi="仿宋" w:eastAsia="仿宋"/>
          <w:b/>
          <w:sz w:val="32"/>
          <w:szCs w:val="32"/>
        </w:rPr>
      </w:pPr>
      <w:r>
        <w:rPr>
          <w:rFonts w:hint="eastAsia" w:ascii="仿宋" w:hAnsi="仿宋" w:eastAsia="仿宋"/>
          <w:b/>
          <w:sz w:val="32"/>
          <w:szCs w:val="32"/>
        </w:rPr>
        <w:t>（二）接待住宿</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需要安排住宿的，党委（学校）办公室可以为其预定，安排在协议饭店，执行协议价格。住宿费用原则上由来宾自己支付。因工作需要学校支付的，经分管学校领导批准后，由学校结付住宿费用。</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住宿用房标准需参照柳财行[2014]7号关于印发《柳州市本级党政机关差旅费管理方法》的通知执行。不得超标准安排接待住房，不得额外配发洗漱用品，不得在房间内摆放花篮和果篮。</w:t>
      </w:r>
    </w:p>
    <w:p>
      <w:pPr>
        <w:pageBreakBefore w:val="0"/>
        <w:kinsoku/>
        <w:wordWrap/>
        <w:overflowPunct/>
        <w:topLinePunct w:val="0"/>
        <w:autoSpaceDE/>
        <w:autoSpaceDN/>
        <w:bidi w:val="0"/>
        <w:spacing w:line="590" w:lineRule="exact"/>
        <w:ind w:firstLine="640" w:firstLineChars="200"/>
        <w:outlineLvl w:val="9"/>
        <w:rPr>
          <w:rFonts w:ascii="仿宋" w:hAnsi="仿宋" w:eastAsia="仿宋"/>
          <w:b/>
          <w:sz w:val="32"/>
          <w:szCs w:val="32"/>
        </w:rPr>
      </w:pPr>
      <w:r>
        <w:rPr>
          <w:rFonts w:hint="eastAsia" w:ascii="仿宋" w:hAnsi="仿宋" w:eastAsia="仿宋"/>
          <w:b/>
          <w:sz w:val="32"/>
          <w:szCs w:val="32"/>
        </w:rPr>
        <w:t>（三）接待用车</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国内公务接待的出行活动应当安排集中乘车，合理使用车型，严格控制随行车辆。</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六、公务接待职责</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(一)党委（校）办公室负责归口管理学校国内公务接待工作，指导校内各行政、教辅部门、二级学院（部）国内公务接待工作，协调承办具体事务。纪检监查室、</w:t>
      </w:r>
      <w:r>
        <w:rPr>
          <w:rFonts w:ascii="仿宋_GB2312" w:eastAsia="仿宋_GB2312"/>
          <w:sz w:val="32"/>
          <w:szCs w:val="32"/>
        </w:rPr>
        <w:t>内部审计室</w:t>
      </w:r>
      <w:r>
        <w:rPr>
          <w:rFonts w:hint="eastAsia" w:ascii="仿宋_GB2312" w:eastAsia="仿宋_GB2312"/>
          <w:sz w:val="32"/>
          <w:szCs w:val="32"/>
        </w:rPr>
        <w:t>、财务处等部门根据各自职责，依法依规履行对国内公务接待相关工作的管理、监督等职责。</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(二)国内公务接待实行对口接待。上级部门、兄弟院校、涉外宾客、学校层面业务联系单位和学校因工作需要邀请的相关人员，由党委（学校）办公室负责牵头接待，接待经费由学校开支。</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三)部门层面业务联系单位和兄弟院校的二级机构来访的接待工作由学校对应部门或二级学院负责，原则上学校领导不出席接待活动。其中行政、教辅部门的接待费经分管校领导同意后由学校开支，二级学院的接待费由二级学院开支。</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七、公务接待费用管理</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公务接待费用全部纳入预算管理，实行总额控制，单独列示。禁止在接待费中列支应当由接待对象承担的差旅、会议、培训等费用，禁止以举办会议、培训为名列支、转移、隐匿接待费开支；禁止在非税收入中坐支接待费用；禁止借公务接待名义列支其他支出。</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 xml:space="preserve">八、公务接待监督检查 </w:t>
      </w:r>
    </w:p>
    <w:p>
      <w:pPr>
        <w:pageBreakBefore w:val="0"/>
        <w:kinsoku/>
        <w:wordWrap/>
        <w:overflowPunct/>
        <w:topLinePunct w:val="0"/>
        <w:autoSpaceDE/>
        <w:autoSpaceDN/>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公务接待工作坚持谁接待、谁负责，实行责任追究制，纳入问责范围。党委（学校）办公室会同纪检监查室、</w:t>
      </w:r>
      <w:r>
        <w:rPr>
          <w:rFonts w:ascii="仿宋_GB2312" w:eastAsia="仿宋_GB2312"/>
          <w:sz w:val="32"/>
          <w:szCs w:val="32"/>
        </w:rPr>
        <w:t>内部审计室</w:t>
      </w:r>
      <w:r>
        <w:rPr>
          <w:rFonts w:hint="eastAsia" w:ascii="仿宋_GB2312" w:eastAsia="仿宋_GB2312"/>
          <w:sz w:val="32"/>
          <w:szCs w:val="32"/>
        </w:rPr>
        <w:t>、财务处等部门加强对全校国内公务接待工作的监督检查。监督检查的主要内容包括：国内公务接待规章制度制定情况、国内公务接待标准执行情况、国内公务接待经费管理使用情况等。对师生群众举报的违规违纪问题，要及时核查处理，严肃追究接待部门相关负责人、直接责任人的党纪责任、行政责任并进行通报，涉嫌犯罪的移送司法机关依法追究刑事责任。</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九、本管理办法由党委（学校）办公室负责解释。</w:t>
      </w:r>
    </w:p>
    <w:p>
      <w:pPr>
        <w:pageBreakBefore w:val="0"/>
        <w:kinsoku/>
        <w:wordWrap/>
        <w:overflowPunct/>
        <w:topLinePunct w:val="0"/>
        <w:autoSpaceDE/>
        <w:autoSpaceDN/>
        <w:bidi w:val="0"/>
        <w:spacing w:line="590" w:lineRule="exact"/>
        <w:ind w:firstLine="640" w:firstLineChars="200"/>
        <w:outlineLvl w:val="9"/>
        <w:rPr>
          <w:rFonts w:ascii="黑体" w:hAnsi="黑体" w:eastAsia="黑体"/>
          <w:sz w:val="32"/>
          <w:szCs w:val="32"/>
        </w:rPr>
      </w:pPr>
      <w:r>
        <w:rPr>
          <w:rFonts w:hint="eastAsia" w:ascii="黑体" w:hAnsi="黑体" w:eastAsia="黑体"/>
          <w:sz w:val="32"/>
          <w:szCs w:val="32"/>
        </w:rPr>
        <w:t>十、本办法自发文之日起施行，原制定的《柳州职业技术学院接待管理办法》（柳职院字〔2009〕77 号）同时废止。其他有关规定与本实施办法不一致的，以本管理办法为准。</w:t>
      </w:r>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24" w:name="_Toc6779"/>
      <w:bookmarkStart w:id="225" w:name="_Toc18042"/>
      <w:bookmarkStart w:id="226" w:name="_Toc3355"/>
      <w:r>
        <w:rPr>
          <w:rFonts w:hint="eastAsia"/>
          <w:b/>
          <w:color w:val="000000"/>
          <w:sz w:val="36"/>
          <w:szCs w:val="36"/>
        </w:rPr>
        <w:t>柳州职业技术学院新型冠状病毒感染的肺炎疫情防控工作应急预案</w:t>
      </w:r>
      <w:bookmarkEnd w:id="224"/>
      <w:bookmarkEnd w:id="225"/>
      <w:bookmarkEnd w:id="226"/>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柳职院字〔2020〕2 号</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加强我校新型冠状病毒感染的肺炎疫情防控工作，提高防控水平和应对能力，及时有效地采取防控措施，防范疫情的发生，控制疫情的传播、蔓延，保障全校师生的健康和生命安全，根据广西壮族自治区教育厅《关于做好新型冠状病毒感染的肺炎防控工作的紧急通知》（桂教体卫艺〔2020〕3号）、《关于进一步做好新型冠状病毒感染的肺炎防控工作的通知》（桂教体卫艺〔2020〕4号）文件精神和《柳州职业技术学院重大突发事件应急预案》要求，特制定我校新型冠状病毒感染的肺炎疫情防控工作应急预案。</w:t>
      </w:r>
    </w:p>
    <w:p>
      <w:pPr>
        <w:pageBreakBefore w:val="0"/>
        <w:kinsoku/>
        <w:wordWrap/>
        <w:overflowPunct/>
        <w:topLinePunct w:val="0"/>
        <w:autoSpaceDE/>
        <w:autoSpaceDN/>
        <w:bidi w:val="0"/>
        <w:spacing w:line="570" w:lineRule="exact"/>
        <w:ind w:firstLine="640" w:firstLineChars="200"/>
        <w:outlineLvl w:val="9"/>
        <w:rPr>
          <w:rFonts w:ascii="黑体" w:hAnsi="黑体" w:eastAsia="黑体" w:cs="宋体"/>
          <w:b/>
          <w:bCs/>
          <w:sz w:val="32"/>
          <w:szCs w:val="32"/>
        </w:rPr>
      </w:pPr>
      <w:r>
        <w:rPr>
          <w:rFonts w:hint="eastAsia" w:ascii="黑体" w:hAnsi="黑体" w:eastAsia="黑体" w:cs="宋体"/>
          <w:b/>
          <w:bCs/>
          <w:sz w:val="32"/>
          <w:szCs w:val="32"/>
        </w:rPr>
        <w:t>一、工作原则</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以“预防为主、防治结合、强化责任、快速反应”为基本原则，努力做到“早发现、早报告、早隔离、早治疗”，确保一旦发生疫情时，能够及时、迅速、高效、有序地处理，以控制疫情蔓延扩散。</w:t>
      </w:r>
    </w:p>
    <w:p>
      <w:pPr>
        <w:pageBreakBefore w:val="0"/>
        <w:kinsoku/>
        <w:wordWrap/>
        <w:overflowPunct/>
        <w:topLinePunct w:val="0"/>
        <w:autoSpaceDE/>
        <w:autoSpaceDN/>
        <w:bidi w:val="0"/>
        <w:spacing w:line="570" w:lineRule="exact"/>
        <w:ind w:firstLine="640" w:firstLineChars="200"/>
        <w:outlineLvl w:val="9"/>
        <w:rPr>
          <w:rFonts w:ascii="黑体" w:hAnsi="黑体" w:eastAsia="黑体" w:cs="宋体"/>
          <w:b/>
          <w:bCs/>
          <w:sz w:val="32"/>
          <w:szCs w:val="32"/>
        </w:rPr>
      </w:pPr>
      <w:r>
        <w:rPr>
          <w:rFonts w:hint="eastAsia" w:ascii="黑体" w:hAnsi="黑体" w:eastAsia="黑体" w:cs="宋体"/>
          <w:b/>
          <w:bCs/>
          <w:sz w:val="32"/>
          <w:szCs w:val="32"/>
        </w:rPr>
        <w:t>二、组织机构与工作职责</w:t>
      </w:r>
    </w:p>
    <w:p>
      <w:pPr>
        <w:pageBreakBefore w:val="0"/>
        <w:kinsoku/>
        <w:wordWrap/>
        <w:overflowPunct/>
        <w:topLinePunct w:val="0"/>
        <w:autoSpaceDE/>
        <w:autoSpaceDN/>
        <w:bidi w:val="0"/>
        <w:spacing w:line="570" w:lineRule="exact"/>
        <w:ind w:firstLine="640" w:firstLineChars="200"/>
        <w:outlineLvl w:val="9"/>
        <w:rPr>
          <w:rFonts w:hint="eastAsia" w:ascii="楷体_GB2312" w:hAnsi="宋体" w:eastAsia="楷体_GB2312" w:cs="宋体"/>
          <w:b/>
          <w:bCs/>
          <w:sz w:val="32"/>
          <w:szCs w:val="32"/>
        </w:rPr>
      </w:pPr>
      <w:r>
        <w:rPr>
          <w:rFonts w:hint="eastAsia" w:ascii="楷体_GB2312" w:hAnsi="宋体" w:eastAsia="楷体_GB2312" w:cs="宋体"/>
          <w:b/>
          <w:bCs/>
          <w:sz w:val="32"/>
          <w:szCs w:val="32"/>
        </w:rPr>
        <w:t>1.成立学校新型冠状病毒感染的肺炎疫情防控工作领导小组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领导小组负责全校新型冠状病毒感染的肺炎疫情防控知识的学习，有关疫情的防控督察，统一指挥疫情的应急处置，根据学校内外疫情发展态势，组织力量落实各项防控措施，时刻保持战备状态对新型冠状病毒感染的肺炎疫情防控工作中出现的一些突发事件，做到快速反应，及时处置，认真排查不稳定因素并及时处理。领导小组下设防控工作办公室，办公室设在学校办公室。</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长：刘子林  甘金明</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常务副组长: 韦  林</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副  组  长：阳  旭  李善文  王  伟  瞿  凡  鞠红霞</w:t>
      </w:r>
    </w:p>
    <w:p>
      <w:pPr>
        <w:pageBreakBefore w:val="0"/>
        <w:kinsoku/>
        <w:wordWrap/>
        <w:overflowPunct/>
        <w:topLinePunct w:val="0"/>
        <w:autoSpaceDE/>
        <w:autoSpaceDN/>
        <w:bidi w:val="0"/>
        <w:spacing w:line="570" w:lineRule="exact"/>
        <w:ind w:firstLine="2560" w:firstLineChars="800"/>
        <w:outlineLvl w:val="9"/>
        <w:rPr>
          <w:rFonts w:ascii="仿宋_GB2312" w:hAnsi="宋体" w:eastAsia="仿宋_GB2312" w:cs="宋体"/>
          <w:bCs/>
          <w:sz w:val="32"/>
          <w:szCs w:val="32"/>
        </w:rPr>
      </w:pPr>
      <w:r>
        <w:rPr>
          <w:rFonts w:hint="eastAsia" w:ascii="仿宋_GB2312" w:hAnsi="宋体" w:eastAsia="仿宋_GB2312" w:cs="宋体"/>
          <w:bCs/>
          <w:sz w:val="32"/>
          <w:szCs w:val="32"/>
        </w:rPr>
        <w:t>冉福松</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成      员：黄志强  唐冬雷  杨  琳  安掌明  黎  华</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黄  莉  何志忠  邓亮顺  邱福明  麻慧琼</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高勇军  黎凤环  唐述荣  李东航  曾  韬</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谭界忠  覃纪武  韩  霄  周继春  郭  莉</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陈文勇  韦林华  蒙  飚  黄  宁  冯雪萍</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黎渝林  李  革  左妮红  陈  芳  王大红</w:t>
      </w:r>
    </w:p>
    <w:p>
      <w:pPr>
        <w:pageBreakBefore w:val="0"/>
        <w:kinsoku/>
        <w:wordWrap/>
        <w:overflowPunct/>
        <w:topLinePunct w:val="0"/>
        <w:autoSpaceDE/>
        <w:autoSpaceDN/>
        <w:bidi w:val="0"/>
        <w:spacing w:line="570" w:lineRule="exact"/>
        <w:ind w:firstLine="2560" w:firstLineChars="8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吴  星  韦耀业  黄海国  黎晓灵  钟  旭</w:t>
      </w:r>
    </w:p>
    <w:p>
      <w:pPr>
        <w:pageBreakBefore w:val="0"/>
        <w:kinsoku/>
        <w:wordWrap/>
        <w:overflowPunct/>
        <w:topLinePunct w:val="0"/>
        <w:autoSpaceDE/>
        <w:autoSpaceDN/>
        <w:bidi w:val="0"/>
        <w:spacing w:line="570" w:lineRule="exact"/>
        <w:ind w:firstLine="2560" w:firstLineChars="800"/>
        <w:outlineLvl w:val="9"/>
        <w:rPr>
          <w:rFonts w:ascii="仿宋_GB2312" w:hAnsi="宋体" w:eastAsia="仿宋_GB2312" w:cs="宋体"/>
          <w:bCs/>
          <w:sz w:val="32"/>
          <w:szCs w:val="32"/>
        </w:rPr>
      </w:pPr>
      <w:r>
        <w:rPr>
          <w:rFonts w:hint="eastAsia" w:ascii="仿宋_GB2312" w:hAnsi="宋体" w:eastAsia="仿宋_GB2312" w:cs="宋体"/>
          <w:bCs/>
          <w:sz w:val="32"/>
          <w:szCs w:val="32"/>
        </w:rPr>
        <w:t>王  慧</w:t>
      </w:r>
    </w:p>
    <w:p>
      <w:pPr>
        <w:pageBreakBefore w:val="0"/>
        <w:kinsoku/>
        <w:wordWrap/>
        <w:overflowPunct/>
        <w:topLinePunct w:val="0"/>
        <w:autoSpaceDE/>
        <w:autoSpaceDN/>
        <w:bidi w:val="0"/>
        <w:spacing w:line="570" w:lineRule="exact"/>
        <w:ind w:firstLine="640"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2.领导小组下设</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（1）防控工作办公室</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负责传达上级有关防控工作的各项指示与要求，督促检查防控工作落实情况，负责对接教育行政部门，上报学校疫情防控工作情况，按照上级的要求做好值班工作。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主  任：黄志强</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成  员：邱福明  覃宗万  潘春玲</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（2）后勤卫生保障组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负责做好全校新型冠状病毒感染的肺炎疫情防控的师生健康状况监测、防控物资供应、学校各区域消毒和卫生保洁，保持教学和生活场所空气流通、卫生清洁，对学生宿舍、食堂、教室、图书馆、阅览室、实验室等场所定期进行消毒。负责向学校防控工作办公室及领导小组汇报疫情及监控工作情况，负责对接上级卫生防疫部门，上报疫情及接受防控指导。</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长：邓亮顺</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成  员：刘  恒  胡慕贤  游丽梅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（3）学生管理工作组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负责做好全校学生的宣传、预防培训和疫情报告、思想教育等工作。重点做好学生留校情况的核实排查，建立留校学生清单，加强管理。落实明确学生往返学校时间，重点关注和及时上报学生的健康状况。指导宿舍管理人员加强宿舍的巡查，做好留校学生的晨检工作，必要时实施午检、晚检。</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长：安掌明</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成  员：崔智慧  王大红  吴  星  韦耀业  黄海国</w:t>
      </w:r>
    </w:p>
    <w:p>
      <w:pPr>
        <w:pageBreakBefore w:val="0"/>
        <w:kinsoku/>
        <w:wordWrap/>
        <w:overflowPunct/>
        <w:topLinePunct w:val="0"/>
        <w:autoSpaceDE/>
        <w:autoSpaceDN/>
        <w:bidi w:val="0"/>
        <w:spacing w:line="570" w:lineRule="exact"/>
        <w:ind w:firstLine="1920" w:firstLineChars="600"/>
        <w:outlineLvl w:val="9"/>
        <w:rPr>
          <w:rFonts w:ascii="仿宋_GB2312" w:hAnsi="宋体" w:eastAsia="仿宋_GB2312" w:cs="宋体"/>
          <w:bCs/>
          <w:sz w:val="32"/>
          <w:szCs w:val="32"/>
        </w:rPr>
      </w:pPr>
      <w:r>
        <w:rPr>
          <w:rFonts w:hint="eastAsia" w:ascii="仿宋_GB2312" w:hAnsi="宋体" w:eastAsia="仿宋_GB2312" w:cs="宋体"/>
          <w:bCs/>
          <w:sz w:val="32"/>
          <w:szCs w:val="32"/>
        </w:rPr>
        <w:t>黎晓灵  钟  旭  王  慧</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（4）教师管理工作组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负责做好全校教职工的宣传、预防培训和疫情监测报告工作，做好教学秩序的稳定工作。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长：唐冬雷</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成  员：李维真  黎凤环  陈文勇  韦林华  冯雪萍</w:t>
      </w:r>
    </w:p>
    <w:p>
      <w:pPr>
        <w:pageBreakBefore w:val="0"/>
        <w:kinsoku/>
        <w:wordWrap/>
        <w:overflowPunct/>
        <w:topLinePunct w:val="0"/>
        <w:autoSpaceDE/>
        <w:autoSpaceDN/>
        <w:bidi w:val="0"/>
        <w:spacing w:line="570" w:lineRule="exact"/>
        <w:ind w:firstLine="1920" w:firstLineChars="6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黎渝林  蒙  飚  黄  宁  李  革  左妮红</w:t>
      </w:r>
    </w:p>
    <w:p>
      <w:pPr>
        <w:pageBreakBefore w:val="0"/>
        <w:kinsoku/>
        <w:wordWrap/>
        <w:overflowPunct/>
        <w:topLinePunct w:val="0"/>
        <w:autoSpaceDE/>
        <w:autoSpaceDN/>
        <w:bidi w:val="0"/>
        <w:spacing w:line="570" w:lineRule="exact"/>
        <w:ind w:firstLine="1920" w:firstLineChars="600"/>
        <w:outlineLvl w:val="9"/>
        <w:rPr>
          <w:rFonts w:ascii="仿宋_GB2312" w:hAnsi="宋体" w:eastAsia="仿宋_GB2312" w:cs="宋体"/>
          <w:bCs/>
          <w:sz w:val="32"/>
          <w:szCs w:val="32"/>
        </w:rPr>
      </w:pPr>
      <w:r>
        <w:rPr>
          <w:rFonts w:hint="eastAsia" w:ascii="仿宋_GB2312" w:hAnsi="宋体" w:eastAsia="仿宋_GB2312" w:cs="宋体"/>
          <w:bCs/>
          <w:sz w:val="32"/>
          <w:szCs w:val="32"/>
        </w:rPr>
        <w:t>陈  芳</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（5）教学安排组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 xml:space="preserve"> 做好学校的教学安排规划，根据疫情的防控实际情况，及时做好相关教学安排调整的预案，落实学生的学习安排。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长：黎  华</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成  员：蒋向辉  刘  柳  陈勇棠</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（6）宣传引导组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及时做好媒体接待和对接工作，充分利用宣传媒体和其他多种宣传形式，开展预防疫情的防治知识宣传，提高师生的自我防病意识。重点关注和排查防控期间相关舆情，及时、准确发布学校相关防控信息。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长：杨  琳</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成  员：闫志斌</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
          <w:bCs/>
          <w:sz w:val="32"/>
          <w:szCs w:val="32"/>
        </w:rPr>
      </w:pPr>
      <w:r>
        <w:rPr>
          <w:rFonts w:hint="eastAsia" w:ascii="仿宋_GB2312" w:hAnsi="宋体" w:eastAsia="仿宋_GB2312" w:cs="宋体"/>
          <w:b/>
          <w:bCs/>
          <w:sz w:val="32"/>
          <w:szCs w:val="32"/>
        </w:rPr>
        <w:t>（7）安全保卫组</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负责做好学校的安全稳定工作，重点做好学校两个校区各门岗的严格管理，对进出车辆和人员，执行进出登记制度，并落实对进出的外来人员询问监测健康状况。</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组  长：高勇军</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 xml:space="preserve">成  员：俞军华 </w:t>
      </w:r>
    </w:p>
    <w:p>
      <w:pPr>
        <w:pageBreakBefore w:val="0"/>
        <w:kinsoku/>
        <w:wordWrap/>
        <w:overflowPunct/>
        <w:topLinePunct w:val="0"/>
        <w:autoSpaceDE/>
        <w:autoSpaceDN/>
        <w:bidi w:val="0"/>
        <w:spacing w:line="570" w:lineRule="exact"/>
        <w:ind w:firstLine="640" w:firstLineChars="200"/>
        <w:outlineLvl w:val="9"/>
        <w:rPr>
          <w:rFonts w:ascii="黑体" w:hAnsi="黑体" w:eastAsia="黑体" w:cs="宋体"/>
          <w:b/>
          <w:bCs/>
          <w:sz w:val="32"/>
          <w:szCs w:val="32"/>
        </w:rPr>
      </w:pPr>
      <w:r>
        <w:rPr>
          <w:rFonts w:hint="eastAsia" w:ascii="黑体" w:hAnsi="黑体" w:eastAsia="黑体" w:cs="宋体"/>
          <w:b/>
          <w:bCs/>
          <w:sz w:val="32"/>
          <w:szCs w:val="32"/>
        </w:rPr>
        <w:t>三、新型冠状病毒感染的肺炎疫情上报程序</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根据《传染病防治法》《突发公共卫生事件应急条例》，按上级部门相关要求，建立柳州职业技术学院新型冠状病毒感染的肺炎疫情上报制度。</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1.寒假期间留校学生。</w:t>
      </w:r>
      <w:r>
        <w:rPr>
          <w:rFonts w:hint="eastAsia" w:ascii="仿宋_GB2312" w:hAnsi="宋体" w:eastAsia="仿宋_GB2312" w:cs="宋体"/>
          <w:bCs/>
          <w:sz w:val="32"/>
          <w:szCs w:val="32"/>
        </w:rPr>
        <w:t>留校学生晨检情况以及如有发生与新型冠状病毒感染的肺炎疫情有关的滞留、观察或疫情，由物业宿管中心第一时间报告给后勤与资产管理处刘恒。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2.寒假离校回家学生。</w:t>
      </w:r>
      <w:r>
        <w:rPr>
          <w:rFonts w:hint="eastAsia" w:ascii="仿宋_GB2312" w:hAnsi="宋体" w:eastAsia="仿宋_GB2312" w:cs="宋体"/>
          <w:bCs/>
          <w:sz w:val="32"/>
          <w:szCs w:val="32"/>
        </w:rPr>
        <w:t>离校回家学生如有发生与新型冠状病毒感染的肺炎疫情有关的滞留、观察或疫情，班主任在第一时间报二级学院书记和学生工作处崔智慧，学生工作处报后勤与资产管理处刘恒，上报内容包括学生姓名、性别、年龄、住址及联系方法及疫情具体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3.教职工。</w:t>
      </w:r>
      <w:r>
        <w:rPr>
          <w:rFonts w:hint="eastAsia" w:ascii="仿宋_GB2312" w:hAnsi="宋体" w:eastAsia="仿宋_GB2312" w:cs="宋体"/>
          <w:bCs/>
          <w:sz w:val="32"/>
          <w:szCs w:val="32"/>
        </w:rPr>
        <w:t>教职工如发生与新型冠状病毒感染的肺炎疫情有关的滞留、观察或疫情，职能部门负责人、二级学院院长为第一责任人，需在第一时间报人事处唐冬雷，人事处统一报后勤与资产管理处刘恒，上报内容包括教职工姓名、性别、年龄、住址及联系方法及疫情具体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4.汇报和外报。</w:t>
      </w:r>
      <w:r>
        <w:rPr>
          <w:rFonts w:hint="eastAsia" w:ascii="仿宋_GB2312" w:hAnsi="宋体" w:eastAsia="仿宋_GB2312" w:cs="宋体"/>
          <w:bCs/>
          <w:sz w:val="32"/>
          <w:szCs w:val="32"/>
        </w:rPr>
        <w:t>学校后勤与资产管理处在接到上报的与新型冠状病毒感染的肺炎疫情有关的滞留、观察或疫情后，在第一时间上报学校防控办公室、领导小组、疾控中心，根据要求采取相应措施。</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5.上报纪律。</w:t>
      </w:r>
      <w:r>
        <w:rPr>
          <w:rFonts w:hint="eastAsia" w:ascii="仿宋_GB2312" w:hAnsi="宋体" w:eastAsia="仿宋_GB2312" w:cs="宋体"/>
          <w:bCs/>
          <w:sz w:val="32"/>
          <w:szCs w:val="32"/>
        </w:rPr>
        <w:t>对于瞒报，谎报，漏报，迟报及其他人为原因造成严重后果的，根据相关法律及规定，有关责任人将被追究有关责任。</w:t>
      </w:r>
    </w:p>
    <w:p>
      <w:pPr>
        <w:pageBreakBefore w:val="0"/>
        <w:kinsoku/>
        <w:wordWrap/>
        <w:overflowPunct/>
        <w:topLinePunct w:val="0"/>
        <w:autoSpaceDE/>
        <w:autoSpaceDN/>
        <w:bidi w:val="0"/>
        <w:spacing w:line="570" w:lineRule="exact"/>
        <w:ind w:firstLine="640" w:firstLineChars="200"/>
        <w:outlineLvl w:val="9"/>
        <w:rPr>
          <w:rFonts w:ascii="黑体" w:hAnsi="黑体" w:eastAsia="黑体" w:cs="宋体"/>
          <w:b/>
          <w:bCs/>
          <w:sz w:val="32"/>
          <w:szCs w:val="32"/>
        </w:rPr>
      </w:pPr>
      <w:r>
        <w:rPr>
          <w:rFonts w:hint="eastAsia" w:ascii="黑体" w:hAnsi="黑体" w:eastAsia="黑体" w:cs="宋体"/>
          <w:b/>
          <w:bCs/>
          <w:sz w:val="32"/>
          <w:szCs w:val="32"/>
        </w:rPr>
        <w:t>四、工作要求</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楷体_GB2312" w:hAnsi="宋体" w:eastAsia="楷体_GB2312" w:cs="宋体"/>
          <w:b/>
          <w:bCs/>
          <w:sz w:val="32"/>
          <w:szCs w:val="32"/>
        </w:rPr>
        <w:t>（一）统一思想，提高认识。</w:t>
      </w:r>
      <w:r>
        <w:rPr>
          <w:rFonts w:hint="eastAsia" w:ascii="仿宋_GB2312" w:hAnsi="宋体" w:eastAsia="仿宋_GB2312" w:cs="宋体"/>
          <w:bCs/>
          <w:sz w:val="32"/>
          <w:szCs w:val="32"/>
        </w:rPr>
        <w:t>全校各相关部门、各二级学院要充分认识做好新型冠状病毒感染的肺炎疫情防控工作的重要性、紧迫性和复杂性，认真落实要求，细化工作方案，明确责任分工，全力以赴做好疫情防控工作。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楷体_GB2312" w:hAnsi="宋体" w:eastAsia="楷体_GB2312" w:cs="宋体"/>
          <w:b/>
          <w:bCs/>
          <w:sz w:val="32"/>
          <w:szCs w:val="32"/>
        </w:rPr>
        <w:t>（二）强化引导，加大宣传。</w:t>
      </w:r>
      <w:r>
        <w:rPr>
          <w:rFonts w:hint="eastAsia" w:ascii="仿宋_GB2312" w:hAnsi="宋体" w:eastAsia="仿宋_GB2312" w:cs="宋体"/>
          <w:bCs/>
          <w:sz w:val="32"/>
          <w:szCs w:val="32"/>
        </w:rPr>
        <w:t>全校各相关部门、各二级学院要充分利用部门会议、部门微信工作群、班级微信群等形式，向师生宣传防控的意义和科学方法。针对寒假留校和提前返校学生、寒假外出的教师等重点人群，开展针对性宣传，及时准确地传播防控信息，扩大工作覆盖面和影响力，把握正确的舆论导向，为防控工作提供有力的工作支持。全校师生员工不要到人员密集的地方和公共场所，要常开窗，勤洗手，积极参加户外活动，注意饮食卫生。</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楷体_GB2312" w:hAnsi="宋体" w:eastAsia="楷体_GB2312" w:cs="宋体"/>
          <w:b/>
          <w:bCs/>
          <w:sz w:val="32"/>
          <w:szCs w:val="32"/>
        </w:rPr>
        <w:t>（三）加强防控，落实责任。</w:t>
      </w:r>
      <w:r>
        <w:rPr>
          <w:rFonts w:hint="eastAsia" w:ascii="仿宋_GB2312" w:hAnsi="宋体" w:eastAsia="仿宋_GB2312" w:cs="宋体"/>
          <w:bCs/>
          <w:sz w:val="32"/>
          <w:szCs w:val="32"/>
        </w:rPr>
        <w:t>全校各相关部门、各二级学院要积极落实新型冠状病毒感染的肺炎疫情防控工作职责，重点落实好防控措施。对不认真履行职责，防控工作不力，造成疫情扩散蔓延或瞒报、漏报、缓报疫情的，将追究有关负责人的责任。</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楷体_GB2312" w:hAnsi="宋体" w:eastAsia="楷体_GB2312" w:cs="宋体"/>
          <w:b/>
          <w:bCs/>
          <w:sz w:val="32"/>
          <w:szCs w:val="32"/>
        </w:rPr>
        <w:t>（四）密切配合，协同推进。</w:t>
      </w:r>
      <w:r>
        <w:rPr>
          <w:rFonts w:hint="eastAsia" w:ascii="仿宋_GB2312" w:hAnsi="宋体" w:eastAsia="仿宋_GB2312" w:cs="宋体"/>
          <w:bCs/>
          <w:sz w:val="32"/>
          <w:szCs w:val="32"/>
        </w:rPr>
        <w:t>全校各相关部门、各二级学院要切实履行好各自的防控职责，密切配合，强化部门协作，及时沟通信息，形成协同行动的长效合作机制，努力形成防控工作合力，实现“有序、有力、有效、有度”防控目标。</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lang w:eastAsia="zh-CN"/>
        </w:rPr>
      </w:pPr>
      <w:r>
        <w:rPr>
          <w:rFonts w:hint="eastAsia"/>
          <w:b/>
          <w:color w:val="000000"/>
          <w:sz w:val="36"/>
          <w:szCs w:val="36"/>
        </w:rPr>
        <w:t xml:space="preserve">　     </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27" w:name="_Toc11310"/>
      <w:bookmarkStart w:id="228" w:name="_Toc19104"/>
      <w:bookmarkStart w:id="229" w:name="_Toc27706"/>
      <w:r>
        <w:rPr>
          <w:rFonts w:hint="eastAsia"/>
          <w:b/>
          <w:color w:val="000000"/>
          <w:sz w:val="36"/>
          <w:szCs w:val="36"/>
        </w:rPr>
        <w:t>柳州职业技术学院传染病疫情报告制度（试行）</w:t>
      </w:r>
      <w:bookmarkEnd w:id="227"/>
      <w:bookmarkEnd w:id="228"/>
      <w:bookmarkEnd w:id="229"/>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ascii="仿宋_GB2312" w:hAnsi="宋体" w:eastAsia="仿宋_GB2312" w:cs="宋体"/>
          <w:bCs/>
          <w:sz w:val="32"/>
          <w:szCs w:val="32"/>
        </w:rPr>
        <w:t>为切实做好学校</w:t>
      </w:r>
      <w:r>
        <w:rPr>
          <w:rFonts w:hint="eastAsia" w:ascii="仿宋_GB2312" w:hAnsi="宋体" w:eastAsia="仿宋_GB2312" w:cs="宋体"/>
          <w:bCs/>
          <w:sz w:val="32"/>
          <w:szCs w:val="32"/>
        </w:rPr>
        <w:t>传染病</w:t>
      </w:r>
      <w:r>
        <w:rPr>
          <w:rFonts w:ascii="仿宋_GB2312" w:hAnsi="宋体" w:eastAsia="仿宋_GB2312" w:cs="宋体"/>
          <w:bCs/>
          <w:sz w:val="32"/>
          <w:szCs w:val="32"/>
        </w:rPr>
        <w:t>防控及应急处置工作，保障师生员工生命安全和身体健康，维护学校的正常教学秩序，</w:t>
      </w:r>
      <w:r>
        <w:rPr>
          <w:rFonts w:hint="eastAsia" w:ascii="仿宋_GB2312" w:hAnsi="宋体" w:eastAsia="仿宋_GB2312" w:cs="宋体"/>
          <w:bCs/>
          <w:sz w:val="32"/>
          <w:szCs w:val="32"/>
        </w:rPr>
        <w:t>根据《中华人民共和国传染病防治法》、《学校和托幼机构传染病疫情报告工作规范（试行）》等法规，制定本报告制度。</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第一条 </w:t>
      </w:r>
      <w:r>
        <w:rPr>
          <w:rFonts w:hint="eastAsia" w:ascii="仿宋_GB2312" w:hAnsi="宋体" w:eastAsia="仿宋_GB2312" w:cs="宋体"/>
          <w:bCs/>
          <w:sz w:val="32"/>
          <w:szCs w:val="32"/>
        </w:rPr>
        <w:t xml:space="preserve"> 成立学校传染病疫情报告工作组。</w:t>
      </w:r>
      <w:r>
        <w:rPr>
          <w:rFonts w:ascii="仿宋_GB2312" w:hAnsi="宋体" w:eastAsia="仿宋_GB2312" w:cs="宋体"/>
          <w:bCs/>
          <w:sz w:val="32"/>
          <w:szCs w:val="32"/>
        </w:rPr>
        <w:t>学校校长是疫情报告的第一责任人，组织做好疫情</w:t>
      </w:r>
      <w:r>
        <w:rPr>
          <w:rFonts w:hint="eastAsia" w:ascii="仿宋_GB2312" w:hAnsi="宋体" w:eastAsia="仿宋_GB2312" w:cs="宋体"/>
          <w:bCs/>
          <w:sz w:val="32"/>
          <w:szCs w:val="32"/>
        </w:rPr>
        <w:t>上</w:t>
      </w:r>
      <w:r>
        <w:rPr>
          <w:rFonts w:ascii="仿宋_GB2312" w:hAnsi="宋体" w:eastAsia="仿宋_GB2312" w:cs="宋体"/>
          <w:bCs/>
          <w:sz w:val="32"/>
          <w:szCs w:val="32"/>
        </w:rPr>
        <w:t>报工作。</w:t>
      </w:r>
      <w:r>
        <w:rPr>
          <w:rFonts w:hint="eastAsia" w:ascii="仿宋_GB2312" w:hAnsi="宋体" w:eastAsia="仿宋_GB2312" w:cs="宋体"/>
          <w:bCs/>
          <w:sz w:val="32"/>
          <w:szCs w:val="32"/>
        </w:rPr>
        <w:t>学校校医担任学校疫情报告人，负责日常监测工作、指导学生晨午检工作以及联系属地疾控部门报告疫情并接受专业指导。</w:t>
      </w:r>
      <w:r>
        <w:rPr>
          <w:rFonts w:ascii="仿宋_GB2312" w:hAnsi="宋体" w:eastAsia="仿宋_GB2312" w:cs="宋体"/>
          <w:bCs/>
          <w:sz w:val="32"/>
          <w:szCs w:val="32"/>
        </w:rPr>
        <w:t>各班级班干</w:t>
      </w:r>
      <w:r>
        <w:rPr>
          <w:rFonts w:hint="eastAsia" w:ascii="仿宋_GB2312" w:hAnsi="宋体" w:eastAsia="仿宋_GB2312" w:cs="宋体"/>
          <w:bCs/>
          <w:sz w:val="32"/>
          <w:szCs w:val="32"/>
        </w:rPr>
        <w:t>、辅导员</w:t>
      </w:r>
      <w:r>
        <w:rPr>
          <w:rFonts w:ascii="仿宋_GB2312" w:hAnsi="宋体" w:eastAsia="仿宋_GB2312" w:cs="宋体"/>
          <w:bCs/>
          <w:sz w:val="32"/>
          <w:szCs w:val="32"/>
        </w:rPr>
        <w:t>、各部</w:t>
      </w:r>
      <w:r>
        <w:rPr>
          <w:rFonts w:hint="eastAsia" w:ascii="仿宋_GB2312" w:hAnsi="宋体" w:eastAsia="仿宋_GB2312" w:cs="宋体"/>
          <w:bCs/>
          <w:sz w:val="32"/>
          <w:szCs w:val="32"/>
        </w:rPr>
        <w:t>门</w:t>
      </w:r>
      <w:r>
        <w:rPr>
          <w:rFonts w:ascii="仿宋_GB2312" w:hAnsi="宋体" w:eastAsia="仿宋_GB2312" w:cs="宋体"/>
          <w:bCs/>
          <w:sz w:val="32"/>
          <w:szCs w:val="32"/>
        </w:rPr>
        <w:t>负责人</w:t>
      </w:r>
      <w:r>
        <w:rPr>
          <w:rFonts w:hint="eastAsia" w:ascii="仿宋_GB2312" w:hAnsi="宋体" w:eastAsia="仿宋_GB2312" w:cs="宋体"/>
          <w:bCs/>
          <w:sz w:val="32"/>
          <w:szCs w:val="32"/>
        </w:rPr>
        <w:t>、</w:t>
      </w:r>
      <w:r>
        <w:rPr>
          <w:rFonts w:ascii="仿宋_GB2312" w:hAnsi="宋体" w:eastAsia="仿宋_GB2312" w:cs="宋体"/>
          <w:bCs/>
          <w:sz w:val="32"/>
          <w:szCs w:val="32"/>
        </w:rPr>
        <w:t>防控办主任</w:t>
      </w:r>
      <w:r>
        <w:rPr>
          <w:rFonts w:hint="eastAsia" w:ascii="仿宋_GB2312" w:hAnsi="宋体" w:eastAsia="仿宋_GB2312" w:cs="宋体"/>
          <w:bCs/>
          <w:sz w:val="32"/>
          <w:szCs w:val="32"/>
        </w:rPr>
        <w:t>、分管副校长</w:t>
      </w:r>
      <w:r>
        <w:rPr>
          <w:rFonts w:ascii="仿宋_GB2312" w:hAnsi="宋体" w:eastAsia="仿宋_GB2312" w:cs="宋体"/>
          <w:bCs/>
          <w:sz w:val="32"/>
          <w:szCs w:val="32"/>
        </w:rPr>
        <w:t>等均为报告工作组成员</w:t>
      </w:r>
      <w:r>
        <w:rPr>
          <w:rFonts w:hint="eastAsia" w:ascii="仿宋_GB2312" w:hAnsi="宋体" w:eastAsia="仿宋_GB2312" w:cs="宋体"/>
          <w:bCs/>
          <w:sz w:val="32"/>
          <w:szCs w:val="32"/>
        </w:rPr>
        <w:t>，</w:t>
      </w:r>
      <w:r>
        <w:rPr>
          <w:rFonts w:ascii="仿宋_GB2312" w:hAnsi="宋体" w:eastAsia="仿宋_GB2312" w:cs="宋体"/>
          <w:bCs/>
          <w:sz w:val="32"/>
          <w:szCs w:val="32"/>
        </w:rPr>
        <w:t>承担</w:t>
      </w:r>
      <w:r>
        <w:rPr>
          <w:rFonts w:hint="eastAsia" w:ascii="仿宋_GB2312" w:hAnsi="宋体" w:eastAsia="仿宋_GB2312" w:cs="宋体"/>
          <w:bCs/>
          <w:sz w:val="32"/>
          <w:szCs w:val="32"/>
        </w:rPr>
        <w:t>本</w:t>
      </w:r>
      <w:r>
        <w:rPr>
          <w:rFonts w:ascii="仿宋_GB2312" w:hAnsi="宋体" w:eastAsia="仿宋_GB2312" w:cs="宋体"/>
          <w:bCs/>
          <w:sz w:val="32"/>
          <w:szCs w:val="32"/>
        </w:rPr>
        <w:t>级报告责任。</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第二条 </w:t>
      </w:r>
      <w:r>
        <w:rPr>
          <w:rFonts w:hint="eastAsia" w:ascii="仿宋_GB2312" w:hAnsi="宋体" w:eastAsia="仿宋_GB2312" w:cs="宋体"/>
          <w:bCs/>
          <w:sz w:val="32"/>
          <w:szCs w:val="32"/>
        </w:rPr>
        <w:t xml:space="preserve"> 传染病</w:t>
      </w:r>
      <w:r>
        <w:rPr>
          <w:rFonts w:ascii="仿宋_GB2312" w:hAnsi="宋体" w:eastAsia="仿宋_GB2312" w:cs="宋体"/>
          <w:bCs/>
          <w:sz w:val="32"/>
          <w:szCs w:val="32"/>
        </w:rPr>
        <w:t>报告工作组工作职责</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（一）</w:t>
      </w:r>
      <w:r>
        <w:rPr>
          <w:rFonts w:ascii="仿宋_GB2312" w:hAnsi="宋体" w:eastAsia="仿宋_GB2312" w:cs="宋体"/>
          <w:bCs/>
          <w:sz w:val="32"/>
          <w:szCs w:val="32"/>
        </w:rPr>
        <w:t>构建学校疫情的发现、收集、汇总与报告工作机制。</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（二）</w:t>
      </w:r>
      <w:r>
        <w:rPr>
          <w:rFonts w:ascii="仿宋_GB2312" w:hAnsi="宋体" w:eastAsia="仿宋_GB2312" w:cs="宋体"/>
          <w:bCs/>
          <w:sz w:val="32"/>
          <w:szCs w:val="32"/>
        </w:rPr>
        <w:t>负责校内感染疫情、因病缺课缺勤等师生健康信息的收集、汇总与报告工作。</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（三）</w:t>
      </w:r>
      <w:r>
        <w:rPr>
          <w:rFonts w:ascii="仿宋_GB2312" w:hAnsi="宋体" w:eastAsia="仿宋_GB2312" w:cs="宋体"/>
          <w:bCs/>
          <w:sz w:val="32"/>
          <w:szCs w:val="32"/>
        </w:rPr>
        <w:t>发现</w:t>
      </w:r>
      <w:r>
        <w:rPr>
          <w:rFonts w:hint="eastAsia" w:ascii="仿宋_GB2312" w:hAnsi="宋体" w:eastAsia="仿宋_GB2312" w:cs="宋体"/>
          <w:bCs/>
          <w:sz w:val="32"/>
          <w:szCs w:val="32"/>
        </w:rPr>
        <w:t>传染病</w:t>
      </w:r>
      <w:r>
        <w:rPr>
          <w:rFonts w:ascii="仿宋_GB2312" w:hAnsi="宋体" w:eastAsia="仿宋_GB2312" w:cs="宋体"/>
          <w:bCs/>
          <w:sz w:val="32"/>
          <w:szCs w:val="32"/>
        </w:rPr>
        <w:t>疑似病例后，第一时间联系当地疾控部门，送患者到医院诊断治疗。</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（四）</w:t>
      </w:r>
      <w:r>
        <w:rPr>
          <w:rFonts w:ascii="仿宋_GB2312" w:hAnsi="宋体" w:eastAsia="仿宋_GB2312" w:cs="宋体"/>
          <w:bCs/>
          <w:sz w:val="32"/>
          <w:szCs w:val="32"/>
        </w:rPr>
        <w:t>协助医疗机构对校内疫情进行调查和处理，接受教育行政部门与卫生健康管理部门对学校疫情的督促、检查。</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传染病疫情上报要求</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w:t>
      </w:r>
      <w:r>
        <w:rPr>
          <w:rFonts w:ascii="仿宋_GB2312" w:hAnsi="宋体" w:eastAsia="仿宋_GB2312" w:cs="宋体"/>
          <w:bCs/>
          <w:sz w:val="32"/>
          <w:szCs w:val="32"/>
        </w:rPr>
        <w:t>报告内容及时限</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1.</w:t>
      </w:r>
      <w:r>
        <w:rPr>
          <w:rFonts w:ascii="仿宋_GB2312" w:hAnsi="宋体" w:eastAsia="仿宋_GB2312" w:cs="宋体"/>
          <w:bCs/>
          <w:sz w:val="32"/>
          <w:szCs w:val="32"/>
        </w:rPr>
        <w:t>在同一宿舍或者同一班级，1天内有3例或者连续3天内有多个学生（5例以上）患病，并有相似症状（如发热、皮疹、腹泻、呕吐、黄疸等）或者共同用餐、饮水史时，学校疫情报告人应当在24小时内报出相关信息。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2.</w:t>
      </w:r>
      <w:r>
        <w:rPr>
          <w:rFonts w:ascii="仿宋_GB2312" w:hAnsi="宋体" w:eastAsia="仿宋_GB2312" w:cs="宋体"/>
          <w:bCs/>
          <w:sz w:val="32"/>
          <w:szCs w:val="32"/>
        </w:rPr>
        <w:t>个别学生出现不明原因的高热、呼吸急促或剧烈呕吐、腹泻等症状时，学校疫情报告人应当在24小时内报出相关信息。</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3.</w:t>
      </w:r>
      <w:r>
        <w:rPr>
          <w:rFonts w:ascii="仿宋_GB2312" w:hAnsi="宋体" w:eastAsia="仿宋_GB2312" w:cs="宋体"/>
          <w:bCs/>
          <w:sz w:val="32"/>
          <w:szCs w:val="32"/>
        </w:rPr>
        <w:t>当学校发现传染病或疑似传染病病人时，学校疫情报告人应当立即报出相关信息。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4.</w:t>
      </w:r>
      <w:r>
        <w:rPr>
          <w:rFonts w:ascii="仿宋_GB2312" w:hAnsi="宋体" w:eastAsia="仿宋_GB2312" w:cs="宋体"/>
          <w:bCs/>
          <w:sz w:val="32"/>
          <w:szCs w:val="32"/>
        </w:rPr>
        <w:t>学校发生群体性不明原因疾病或者其它突发公共卫生事件时，学校疫情报告人应当在</w:t>
      </w:r>
      <w:r>
        <w:rPr>
          <w:rFonts w:hint="eastAsia" w:ascii="仿宋_GB2312" w:hAnsi="宋体" w:eastAsia="仿宋_GB2312" w:cs="宋体"/>
          <w:bCs/>
          <w:sz w:val="32"/>
          <w:szCs w:val="32"/>
        </w:rPr>
        <w:t>2</w:t>
      </w:r>
      <w:r>
        <w:rPr>
          <w:rFonts w:ascii="仿宋_GB2312" w:hAnsi="宋体" w:eastAsia="仿宋_GB2312" w:cs="宋体"/>
          <w:bCs/>
          <w:sz w:val="32"/>
          <w:szCs w:val="32"/>
        </w:rPr>
        <w:t>小时内报出相关信息。</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w:t>
      </w:r>
      <w:r>
        <w:rPr>
          <w:rFonts w:ascii="仿宋_GB2312" w:hAnsi="宋体" w:eastAsia="仿宋_GB2312" w:cs="宋体"/>
          <w:bCs/>
          <w:sz w:val="32"/>
          <w:szCs w:val="32"/>
        </w:rPr>
        <w:t>报告方式</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当出现上述情况时，学校疫情报告人（校医）</w:t>
      </w:r>
      <w:r>
        <w:rPr>
          <w:rFonts w:ascii="仿宋_GB2312" w:hAnsi="宋体" w:eastAsia="仿宋_GB2312" w:cs="宋体"/>
          <w:bCs/>
          <w:sz w:val="32"/>
          <w:szCs w:val="32"/>
        </w:rPr>
        <w:t>应当以最方便的通讯方式（电话、传真等）</w:t>
      </w:r>
      <w:r>
        <w:rPr>
          <w:rFonts w:hint="eastAsia" w:ascii="仿宋_GB2312" w:hAnsi="宋体" w:eastAsia="仿宋_GB2312" w:cs="宋体"/>
          <w:bCs/>
          <w:sz w:val="32"/>
          <w:szCs w:val="32"/>
        </w:rPr>
        <w:t>向属地疾控部门报告，同时逐级向学校相关领导报告。</w:t>
      </w:r>
      <w:r>
        <w:rPr>
          <w:rFonts w:ascii="仿宋_GB2312" w:hAnsi="宋体" w:eastAsia="仿宋_GB2312" w:cs="宋体"/>
          <w:bCs/>
          <w:sz w:val="32"/>
          <w:szCs w:val="32"/>
        </w:rPr>
        <w:t>学校负责人</w:t>
      </w:r>
      <w:r>
        <w:rPr>
          <w:rFonts w:hint="eastAsia" w:ascii="仿宋_GB2312" w:hAnsi="宋体" w:eastAsia="仿宋_GB2312" w:cs="宋体"/>
          <w:bCs/>
          <w:sz w:val="32"/>
          <w:szCs w:val="32"/>
        </w:rPr>
        <w:t>（校长）接到报告</w:t>
      </w:r>
      <w:r>
        <w:rPr>
          <w:rFonts w:ascii="仿宋_GB2312" w:hAnsi="宋体" w:eastAsia="仿宋_GB2312" w:cs="宋体"/>
          <w:bCs/>
          <w:sz w:val="32"/>
          <w:szCs w:val="32"/>
        </w:rPr>
        <w:t>应当向</w:t>
      </w:r>
      <w:r>
        <w:rPr>
          <w:rFonts w:hint="eastAsia" w:ascii="仿宋_GB2312" w:hAnsi="宋体" w:eastAsia="仿宋_GB2312" w:cs="宋体"/>
          <w:bCs/>
          <w:sz w:val="32"/>
          <w:szCs w:val="32"/>
        </w:rPr>
        <w:t>主管教育行政部门报告或指定专人向主管教育行政部门报告。报告流程图见附件。</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第四条  </w:t>
      </w:r>
      <w:r>
        <w:rPr>
          <w:rFonts w:hint="eastAsia" w:ascii="仿宋_GB2312" w:hAnsi="宋体" w:eastAsia="仿宋_GB2312" w:cs="宋体"/>
          <w:bCs/>
          <w:sz w:val="32"/>
          <w:szCs w:val="32"/>
        </w:rPr>
        <w:t>学校疫情报告人（校医）</w:t>
      </w:r>
      <w:r>
        <w:rPr>
          <w:rFonts w:ascii="仿宋_GB2312" w:hAnsi="宋体" w:eastAsia="仿宋_GB2312" w:cs="宋体"/>
          <w:bCs/>
          <w:sz w:val="32"/>
          <w:szCs w:val="32"/>
        </w:rPr>
        <w:t>接到师生反映，应进行必要的排查确认</w:t>
      </w:r>
      <w:r>
        <w:rPr>
          <w:rFonts w:hint="eastAsia" w:ascii="仿宋_GB2312" w:hAnsi="宋体" w:eastAsia="仿宋_GB2312" w:cs="宋体"/>
          <w:bCs/>
          <w:sz w:val="32"/>
          <w:szCs w:val="32"/>
        </w:rPr>
        <w:t>。确认为传染病或公共卫生事件的，</w:t>
      </w:r>
      <w:r>
        <w:rPr>
          <w:rFonts w:ascii="仿宋_GB2312" w:hAnsi="宋体" w:eastAsia="仿宋_GB2312" w:cs="宋体"/>
          <w:bCs/>
          <w:sz w:val="32"/>
          <w:szCs w:val="32"/>
        </w:rPr>
        <w:t>学校</w:t>
      </w:r>
      <w:r>
        <w:rPr>
          <w:rFonts w:hint="eastAsia" w:ascii="仿宋_GB2312" w:hAnsi="宋体" w:eastAsia="仿宋_GB2312" w:cs="宋体"/>
          <w:bCs/>
          <w:sz w:val="32"/>
          <w:szCs w:val="32"/>
        </w:rPr>
        <w:t>立即启动应急预案，在上级疾控、卫生及教育行政部门指导下开展防控工作。</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第五条 </w:t>
      </w:r>
      <w:r>
        <w:rPr>
          <w:rFonts w:hint="eastAsia" w:ascii="仿宋_GB2312" w:hAnsi="宋体" w:eastAsia="仿宋_GB2312" w:cs="宋体"/>
          <w:bCs/>
          <w:sz w:val="32"/>
          <w:szCs w:val="32"/>
        </w:rPr>
        <w:t xml:space="preserve"> 在以发热为主要特征的传染病疫情发生期间，通过师生晨午检、学校门岗设置体温检测点检测等方式，对师生员工及外来入校人员进行体温监测，发现体温发热超标时及时报告就近的定点医院发热门诊并送医，并实施师生因病缺勤/缺课登记及病因追踪。</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第六条 </w:t>
      </w:r>
      <w:r>
        <w:rPr>
          <w:rFonts w:hint="eastAsia" w:ascii="仿宋_GB2312" w:hAnsi="宋体" w:eastAsia="仿宋_GB2312" w:cs="宋体"/>
          <w:bCs/>
          <w:sz w:val="32"/>
          <w:szCs w:val="32"/>
        </w:rPr>
        <w:t xml:space="preserve"> 自治区、柳州市启动突发公共卫生事件Ⅰ级、Ⅱ级、Ⅲ级、Ⅳ级响应时，按照应急响应要求向上级疾控部门及主管教育行政部门报告，必要时实施“日报告、零报告”。</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第七条</w:t>
      </w:r>
      <w:r>
        <w:rPr>
          <w:rFonts w:hint="eastAsia" w:ascii="仿宋_GB2312" w:hAnsi="宋体" w:eastAsia="仿宋_GB2312" w:cs="宋体"/>
          <w:bCs/>
          <w:sz w:val="32"/>
          <w:szCs w:val="32"/>
        </w:rPr>
        <w:t xml:space="preserve">  对发现传染病疫情后隐瞒不报、谎报、漏报、缓报的部门和个人，将依法追究责任。</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本制度自发布之日起实施，由后勤与资产管理处负责解释。</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 xml:space="preserve">    </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96" w:lineRule="exact"/>
        <w:jc w:val="left"/>
        <w:outlineLvl w:val="9"/>
        <w:rPr>
          <w:rFonts w:hint="eastAsia" w:ascii="黑体" w:eastAsia="黑体"/>
          <w:sz w:val="30"/>
          <w:szCs w:val="30"/>
        </w:rPr>
      </w:pPr>
      <w:r>
        <w:rPr>
          <w:rFonts w:ascii="仿宋_GB2312" w:hAnsi="宋体" w:eastAsia="仿宋_GB2312" w:cs="宋体"/>
          <w:bCs/>
          <w:sz w:val="32"/>
          <w:szCs w:val="32"/>
        </w:rPr>
        <w:br w:type="page"/>
      </w:r>
      <w:r>
        <w:rPr>
          <w:rFonts w:hint="eastAsia" w:ascii="黑体" w:eastAsia="黑体"/>
          <w:sz w:val="30"/>
          <w:szCs w:val="30"/>
        </w:rPr>
        <w:t>附件：</w:t>
      </w:r>
    </w:p>
    <w:p>
      <w:pPr>
        <w:pageBreakBefore w:val="0"/>
        <w:kinsoku/>
        <w:wordWrap/>
        <w:overflowPunct/>
        <w:topLinePunct w:val="0"/>
        <w:autoSpaceDE/>
        <w:autoSpaceDN/>
        <w:bidi w:val="0"/>
        <w:spacing w:line="596" w:lineRule="exact"/>
        <w:jc w:val="center"/>
        <w:outlineLvl w:val="9"/>
        <w:rPr>
          <w:rFonts w:hint="eastAsia"/>
          <w:b/>
          <w:color w:val="000000"/>
          <w:sz w:val="32"/>
          <w:szCs w:val="32"/>
        </w:rPr>
      </w:pPr>
      <w:r>
        <w:rPr>
          <w:rFonts w:hint="eastAsia"/>
          <w:b/>
          <w:color w:val="000000"/>
          <w:sz w:val="32"/>
          <w:szCs w:val="32"/>
        </w:rPr>
        <w:t>柳州职业技术学院传染病疫情报告流程图</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ascii="仿宋_GB2312" w:hAnsi="宋体" w:eastAsia="仿宋_GB2312" w:cs="宋体"/>
          <w:bCs/>
          <w:sz w:val="32"/>
          <w:szCs w:val="32"/>
        </w:rPr>
        <mc:AlternateContent>
          <mc:Choice Requires="wpg">
            <w:drawing>
              <wp:anchor distT="0" distB="0" distL="114300" distR="114300" simplePos="0" relativeHeight="251707392" behindDoc="0" locked="0" layoutInCell="1" allowOverlap="1">
                <wp:simplePos x="0" y="0"/>
                <wp:positionH relativeFrom="column">
                  <wp:posOffset>1270</wp:posOffset>
                </wp:positionH>
                <wp:positionV relativeFrom="paragraph">
                  <wp:posOffset>196850</wp:posOffset>
                </wp:positionV>
                <wp:extent cx="5567045" cy="7038975"/>
                <wp:effectExtent l="8255" t="8255" r="25400" b="20320"/>
                <wp:wrapNone/>
                <wp:docPr id="101" name="组合 3"/>
                <wp:cNvGraphicFramePr/>
                <a:graphic xmlns:a="http://schemas.openxmlformats.org/drawingml/2006/main">
                  <a:graphicData uri="http://schemas.microsoft.com/office/word/2010/wordprocessingGroup">
                    <wpg:wgp>
                      <wpg:cNvGrpSpPr/>
                      <wpg:grpSpPr>
                        <a:xfrm>
                          <a:off x="0" y="0"/>
                          <a:ext cx="5567045" cy="7038975"/>
                          <a:chOff x="1443" y="2823"/>
                          <a:chExt cx="9747" cy="10765"/>
                        </a:xfrm>
                      </wpg:grpSpPr>
                      <wps:wsp>
                        <wps:cNvPr id="67" name="直线 76"/>
                        <wps:cNvCnPr/>
                        <wps:spPr>
                          <a:xfrm>
                            <a:off x="5872" y="10921"/>
                            <a:ext cx="1" cy="419"/>
                          </a:xfrm>
                          <a:prstGeom prst="line">
                            <a:avLst/>
                          </a:prstGeom>
                          <a:ln w="9525" cap="flat" cmpd="sng">
                            <a:solidFill>
                              <a:srgbClr val="000000"/>
                            </a:solidFill>
                            <a:prstDash val="solid"/>
                            <a:headEnd type="none" w="med" len="med"/>
                            <a:tailEnd type="stealth" w="lg" len="med"/>
                          </a:ln>
                        </wps:spPr>
                        <wps:bodyPr upright="1"/>
                      </wps:wsp>
                      <wps:wsp>
                        <wps:cNvPr id="68" name="自选图形 95"/>
                        <wps:cNvSpPr/>
                        <wps:spPr>
                          <a:xfrm>
                            <a:off x="4338" y="10463"/>
                            <a:ext cx="3050" cy="45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ind w:firstLine="210" w:firstLineChars="100"/>
                                <w:rPr>
                                  <w:rFonts w:hint="eastAsia"/>
                                </w:rPr>
                              </w:pPr>
                              <w:r>
                                <w:rPr>
                                  <w:rFonts w:hint="eastAsia" w:ascii="仿宋_GB2312" w:hAnsi="宋体" w:eastAsia="仿宋_GB2312" w:cs="宋体"/>
                                  <w:sz w:val="21"/>
                                  <w:szCs w:val="21"/>
                                </w:rPr>
                                <w:t>分管副校长向校长报告</w:t>
                              </w:r>
                            </w:p>
                          </w:txbxContent>
                        </wps:txbx>
                        <wps:bodyPr upright="1"/>
                      </wps:wsp>
                      <wps:wsp>
                        <wps:cNvPr id="69" name="自选图形 96"/>
                        <wps:cNvSpPr/>
                        <wps:spPr>
                          <a:xfrm>
                            <a:off x="4338" y="11340"/>
                            <a:ext cx="3050" cy="837"/>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校长或校长指定专人向主管教育行政部门报告</w:t>
                              </w:r>
                            </w:p>
                          </w:txbxContent>
                        </wps:txbx>
                        <wps:bodyPr upright="1"/>
                      </wps:wsp>
                      <wps:wsp>
                        <wps:cNvPr id="70" name="直线 14"/>
                        <wps:cNvCnPr/>
                        <wps:spPr>
                          <a:xfrm flipH="1">
                            <a:off x="2522" y="9682"/>
                            <a:ext cx="0" cy="2965"/>
                          </a:xfrm>
                          <a:prstGeom prst="line">
                            <a:avLst/>
                          </a:prstGeom>
                          <a:ln w="9525" cap="flat" cmpd="sng">
                            <a:solidFill>
                              <a:srgbClr val="000000"/>
                            </a:solidFill>
                            <a:prstDash val="solid"/>
                            <a:headEnd type="none" w="med" len="med"/>
                            <a:tailEnd type="stealth" w="lg" len="med"/>
                          </a:ln>
                        </wps:spPr>
                        <wps:bodyPr upright="1"/>
                      </wps:wsp>
                      <wps:wsp>
                        <wps:cNvPr id="71" name="自选图形 95"/>
                        <wps:cNvSpPr/>
                        <wps:spPr>
                          <a:xfrm>
                            <a:off x="4288" y="9307"/>
                            <a:ext cx="3100" cy="730"/>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部门领导向防控办、分管副校长报告</w:t>
                              </w:r>
                            </w:p>
                          </w:txbxContent>
                        </wps:txbx>
                        <wps:bodyPr upright="1"/>
                      </wps:wsp>
                      <wps:wsp>
                        <wps:cNvPr id="72" name="直线 73"/>
                        <wps:cNvCnPr/>
                        <wps:spPr>
                          <a:xfrm flipH="1">
                            <a:off x="5872" y="10036"/>
                            <a:ext cx="0" cy="420"/>
                          </a:xfrm>
                          <a:prstGeom prst="line">
                            <a:avLst/>
                          </a:prstGeom>
                          <a:ln w="9525" cap="flat" cmpd="sng">
                            <a:solidFill>
                              <a:srgbClr val="000000"/>
                            </a:solidFill>
                            <a:prstDash val="solid"/>
                            <a:headEnd type="none" w="med" len="med"/>
                            <a:tailEnd type="stealth" w="lg" len="med"/>
                          </a:ln>
                        </wps:spPr>
                        <wps:bodyPr upright="1"/>
                      </wps:wsp>
                      <wps:wsp>
                        <wps:cNvPr id="73" name="直线 14"/>
                        <wps:cNvCnPr/>
                        <wps:spPr>
                          <a:xfrm flipH="1">
                            <a:off x="5881" y="12177"/>
                            <a:ext cx="1" cy="470"/>
                          </a:xfrm>
                          <a:prstGeom prst="line">
                            <a:avLst/>
                          </a:prstGeom>
                          <a:ln w="9525" cap="flat" cmpd="sng">
                            <a:solidFill>
                              <a:srgbClr val="000000"/>
                            </a:solidFill>
                            <a:prstDash val="solid"/>
                            <a:headEnd type="none" w="med" len="med"/>
                            <a:tailEnd type="stealth" w="lg" len="med"/>
                          </a:ln>
                        </wps:spPr>
                        <wps:bodyPr upright="1"/>
                      </wps:wsp>
                      <wpg:grpSp>
                        <wpg:cNvPr id="100" name="组合 11"/>
                        <wpg:cNvGrpSpPr/>
                        <wpg:grpSpPr>
                          <a:xfrm>
                            <a:off x="1443" y="2823"/>
                            <a:ext cx="9747" cy="10765"/>
                            <a:chOff x="1443" y="2823"/>
                            <a:chExt cx="9747" cy="10765"/>
                          </a:xfrm>
                        </wpg:grpSpPr>
                        <wps:wsp>
                          <wps:cNvPr id="74" name="直线 32"/>
                          <wps:cNvCnPr/>
                          <wps:spPr>
                            <a:xfrm flipH="1">
                              <a:off x="6660" y="5142"/>
                              <a:ext cx="7" cy="420"/>
                            </a:xfrm>
                            <a:prstGeom prst="line">
                              <a:avLst/>
                            </a:prstGeom>
                            <a:ln w="9525" cap="flat" cmpd="sng">
                              <a:solidFill>
                                <a:srgbClr val="000000"/>
                              </a:solidFill>
                              <a:prstDash val="solid"/>
                              <a:headEnd type="none" w="med" len="med"/>
                              <a:tailEnd type="stealth" w="lg" len="med"/>
                            </a:ln>
                          </wps:spPr>
                          <wps:bodyPr upright="1"/>
                        </wps:wsp>
                        <wps:wsp>
                          <wps:cNvPr id="75" name="直线 5"/>
                          <wps:cNvCnPr/>
                          <wps:spPr>
                            <a:xfrm>
                              <a:off x="8852" y="7986"/>
                              <a:ext cx="1" cy="398"/>
                            </a:xfrm>
                            <a:prstGeom prst="line">
                              <a:avLst/>
                            </a:prstGeom>
                            <a:ln w="9525" cap="flat" cmpd="sng">
                              <a:solidFill>
                                <a:srgbClr val="000000"/>
                              </a:solidFill>
                              <a:prstDash val="solid"/>
                              <a:headEnd type="none" w="med" len="med"/>
                              <a:tailEnd type="stealth" w="lg" len="med"/>
                            </a:ln>
                          </wps:spPr>
                          <wps:bodyPr upright="1"/>
                        </wps:wsp>
                        <wps:wsp>
                          <wps:cNvPr id="76" name="直线 70"/>
                          <wps:cNvCnPr/>
                          <wps:spPr>
                            <a:xfrm>
                              <a:off x="4530" y="7941"/>
                              <a:ext cx="980" cy="509"/>
                            </a:xfrm>
                            <a:prstGeom prst="line">
                              <a:avLst/>
                            </a:prstGeom>
                            <a:ln w="9525" cap="flat" cmpd="sng">
                              <a:solidFill>
                                <a:srgbClr val="000000"/>
                              </a:solidFill>
                              <a:prstDash val="solid"/>
                              <a:headEnd type="none" w="med" len="med"/>
                              <a:tailEnd type="stealth" w="lg" len="med"/>
                            </a:ln>
                          </wps:spPr>
                          <wps:bodyPr upright="1"/>
                        </wps:wsp>
                        <wps:wsp>
                          <wps:cNvPr id="77" name="直线 73"/>
                          <wps:cNvCnPr/>
                          <wps:spPr>
                            <a:xfrm flipH="1">
                              <a:off x="5870" y="8952"/>
                              <a:ext cx="0" cy="355"/>
                            </a:xfrm>
                            <a:prstGeom prst="line">
                              <a:avLst/>
                            </a:prstGeom>
                            <a:ln w="9525" cap="flat" cmpd="sng">
                              <a:solidFill>
                                <a:srgbClr val="000000"/>
                              </a:solidFill>
                              <a:prstDash val="solid"/>
                              <a:headEnd type="none" w="med" len="med"/>
                              <a:tailEnd type="stealth" w="lg" len="med"/>
                            </a:ln>
                          </wps:spPr>
                          <wps:bodyPr upright="1"/>
                        </wps:wsp>
                        <wps:wsp>
                          <wps:cNvPr id="78" name="自选图形 86"/>
                          <wps:cNvSpPr/>
                          <wps:spPr>
                            <a:xfrm>
                              <a:off x="4530" y="5539"/>
                              <a:ext cx="5331" cy="751"/>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发现者报告卫生所 社湾校区电话：3156076</w:t>
                                </w:r>
                              </w:p>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发现者报告卫生所 官塘校区电话：3182054</w:t>
                                </w:r>
                              </w:p>
                              <w:p>
                                <w:pPr>
                                  <w:rPr>
                                    <w:rFonts w:hint="eastAsia" w:ascii="宋体" w:hAnsi="宋体" w:cs="宋体"/>
                                    <w:szCs w:val="21"/>
                                  </w:rPr>
                                </w:pPr>
                              </w:p>
                            </w:txbxContent>
                          </wps:txbx>
                          <wps:bodyPr upright="1"/>
                        </wps:wsp>
                        <wps:wsp>
                          <wps:cNvPr id="79" name="自选图形 88"/>
                          <wps:cNvSpPr/>
                          <wps:spPr>
                            <a:xfrm>
                              <a:off x="7542" y="7110"/>
                              <a:ext cx="2491" cy="76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校医判断为不需要上报</w:t>
                                </w:r>
                              </w:p>
                            </w:txbxContent>
                          </wps:txbx>
                          <wps:bodyPr upright="1"/>
                        </wps:wsp>
                        <wps:wsp>
                          <wps:cNvPr id="80" name="自选图形 89"/>
                          <wps:cNvSpPr/>
                          <wps:spPr>
                            <a:xfrm>
                              <a:off x="7892" y="8450"/>
                              <a:ext cx="2141" cy="76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安排及时就医</w:t>
                                </w:r>
                              </w:p>
                              <w:p>
                                <w:pPr>
                                  <w:spacing w:line="280" w:lineRule="exact"/>
                                  <w:rPr>
                                    <w:rFonts w:hint="eastAsia" w:ascii="宋体" w:hAnsi="宋体" w:cs="宋体"/>
                                    <w:sz w:val="24"/>
                                  </w:rPr>
                                </w:pPr>
                                <w:r>
                                  <w:rPr>
                                    <w:rFonts w:hint="eastAsia" w:ascii="仿宋_GB2312" w:hAnsi="宋体" w:eastAsia="仿宋_GB2312" w:cs="宋体"/>
                                    <w:sz w:val="21"/>
                                    <w:szCs w:val="21"/>
                                  </w:rPr>
                                  <w:t>并记录跟踪病例</w:t>
                                </w:r>
                              </w:p>
                              <w:p>
                                <w:pPr>
                                  <w:rPr>
                                    <w:rFonts w:hint="eastAsia" w:ascii="宋体" w:hAnsi="宋体" w:cs="宋体"/>
                                    <w:szCs w:val="21"/>
                                  </w:rPr>
                                </w:pPr>
                              </w:p>
                            </w:txbxContent>
                          </wps:txbx>
                          <wps:bodyPr upright="1"/>
                        </wps:wsp>
                        <wps:wsp>
                          <wps:cNvPr id="81" name="直线 33"/>
                          <wps:cNvCnPr/>
                          <wps:spPr>
                            <a:xfrm flipV="1">
                              <a:off x="4081" y="6639"/>
                              <a:ext cx="4770" cy="0"/>
                            </a:xfrm>
                            <a:prstGeom prst="line">
                              <a:avLst/>
                            </a:prstGeom>
                            <a:ln w="9525" cap="flat" cmpd="sng">
                              <a:solidFill>
                                <a:srgbClr val="000000"/>
                              </a:solidFill>
                              <a:prstDash val="solid"/>
                              <a:headEnd type="none" w="med" len="med"/>
                              <a:tailEnd type="none" w="med" len="med"/>
                            </a:ln>
                          </wps:spPr>
                          <wps:bodyPr upright="1"/>
                        </wps:wsp>
                        <wps:wsp>
                          <wps:cNvPr id="82" name="直线 70"/>
                          <wps:cNvCnPr/>
                          <wps:spPr>
                            <a:xfrm>
                              <a:off x="4081" y="6639"/>
                              <a:ext cx="1" cy="398"/>
                            </a:xfrm>
                            <a:prstGeom prst="line">
                              <a:avLst/>
                            </a:prstGeom>
                            <a:ln w="9525" cap="flat" cmpd="sng">
                              <a:solidFill>
                                <a:srgbClr val="000000"/>
                              </a:solidFill>
                              <a:prstDash val="solid"/>
                              <a:headEnd type="none" w="med" len="med"/>
                              <a:tailEnd type="stealth" w="lg" len="med"/>
                            </a:ln>
                          </wps:spPr>
                          <wps:bodyPr upright="1"/>
                        </wps:wsp>
                        <wps:wsp>
                          <wps:cNvPr id="83" name="直线 70"/>
                          <wps:cNvCnPr/>
                          <wps:spPr>
                            <a:xfrm>
                              <a:off x="8849" y="6639"/>
                              <a:ext cx="1" cy="369"/>
                            </a:xfrm>
                            <a:prstGeom prst="line">
                              <a:avLst/>
                            </a:prstGeom>
                            <a:ln w="9525" cap="flat" cmpd="sng">
                              <a:solidFill>
                                <a:srgbClr val="000000"/>
                              </a:solidFill>
                              <a:prstDash val="solid"/>
                              <a:headEnd type="none" w="med" len="med"/>
                              <a:tailEnd type="stealth" w="lg" len="med"/>
                            </a:ln>
                          </wps:spPr>
                          <wps:bodyPr upright="1"/>
                        </wps:wsp>
                        <wps:wsp>
                          <wps:cNvPr id="84" name="自选图形 93"/>
                          <wps:cNvSpPr/>
                          <wps:spPr>
                            <a:xfrm>
                              <a:off x="2847" y="7110"/>
                              <a:ext cx="2463" cy="76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ascii="仿宋_GB2312" w:hAnsi="宋体" w:eastAsia="仿宋_GB2312" w:cs="宋体"/>
                                    <w:sz w:val="21"/>
                                    <w:szCs w:val="21"/>
                                  </w:rPr>
                                </w:pPr>
                                <w:r>
                                  <w:rPr>
                                    <w:rFonts w:hint="eastAsia" w:ascii="仿宋_GB2312" w:hAnsi="宋体" w:eastAsia="仿宋_GB2312" w:cs="宋体"/>
                                    <w:sz w:val="21"/>
                                    <w:szCs w:val="21"/>
                                  </w:rPr>
                                  <w:t>校医确认是否需要上报</w:t>
                                </w:r>
                              </w:p>
                            </w:txbxContent>
                          </wps:txbx>
                          <wps:bodyPr upright="1"/>
                        </wps:wsp>
                        <wps:wsp>
                          <wps:cNvPr id="85" name="自选图形 94"/>
                          <wps:cNvSpPr/>
                          <wps:spPr>
                            <a:xfrm>
                              <a:off x="4288" y="8500"/>
                              <a:ext cx="3050" cy="502"/>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ind w:firstLine="210" w:firstLineChars="100"/>
                                  <w:jc w:val="left"/>
                                  <w:rPr>
                                    <w:rFonts w:hint="eastAsia"/>
                                  </w:rPr>
                                </w:pPr>
                                <w:r>
                                  <w:rPr>
                                    <w:rFonts w:hint="eastAsia" w:ascii="仿宋_GB2312" w:hAnsi="宋体" w:eastAsia="仿宋_GB2312" w:cs="宋体"/>
                                    <w:sz w:val="21"/>
                                    <w:szCs w:val="21"/>
                                  </w:rPr>
                                  <w:t>校医向本部门领导报告</w:t>
                                </w:r>
                              </w:p>
                            </w:txbxContent>
                          </wps:txbx>
                          <wps:bodyPr upright="1"/>
                        </wps:wsp>
                        <wps:wsp>
                          <wps:cNvPr id="86" name="自选图形 102"/>
                          <wps:cNvSpPr/>
                          <wps:spPr>
                            <a:xfrm>
                              <a:off x="1443" y="8500"/>
                              <a:ext cx="2203" cy="1086"/>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校医向属地疾控部门或卫生健康管理部门报告</w:t>
                                </w:r>
                              </w:p>
                            </w:txbxContent>
                          </wps:txbx>
                          <wps:bodyPr upright="1"/>
                        </wps:wsp>
                        <wpg:grpSp>
                          <wpg:cNvPr id="97" name="组合 25"/>
                          <wpg:cNvGrpSpPr/>
                          <wpg:grpSpPr>
                            <a:xfrm>
                              <a:off x="1563" y="2823"/>
                              <a:ext cx="9627" cy="10765"/>
                              <a:chOff x="1563" y="2823"/>
                              <a:chExt cx="9627" cy="10765"/>
                            </a:xfrm>
                          </wpg:grpSpPr>
                          <wps:wsp>
                            <wps:cNvPr id="87" name="自选图形 73"/>
                            <wps:cNvSpPr/>
                            <wps:spPr>
                              <a:xfrm>
                                <a:off x="9643" y="3258"/>
                                <a:ext cx="1547" cy="151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学校发现师生员工传染病或疑似传染病病人</w:t>
                                  </w:r>
                                </w:p>
                              </w:txbxContent>
                            </wps:txbx>
                            <wps:bodyPr upright="1"/>
                          </wps:wsp>
                          <wps:wsp>
                            <wps:cNvPr id="88" name="自选图形 74"/>
                            <wps:cNvSpPr/>
                            <wps:spPr>
                              <a:xfrm>
                                <a:off x="7439" y="3216"/>
                                <a:ext cx="1859" cy="1546"/>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学校发生群体性不明原因疾病或者其他突发公共卫生事件</w:t>
                                  </w:r>
                                </w:p>
                              </w:txbxContent>
                            </wps:txbx>
                            <wps:bodyPr upright="1"/>
                          </wps:wsp>
                          <wps:wsp>
                            <wps:cNvPr id="89" name="自选图形 75"/>
                            <wps:cNvSpPr/>
                            <wps:spPr>
                              <a:xfrm>
                                <a:off x="4964" y="3230"/>
                                <a:ext cx="2077" cy="1517"/>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eastAsia="仿宋_GB2312"/>
                                      <w:sz w:val="21"/>
                                      <w:szCs w:val="21"/>
                                    </w:rPr>
                                    <w:t>学校个别学生出现不明</w:t>
                                  </w:r>
                                  <w:r>
                                    <w:rPr>
                                      <w:rFonts w:hint="eastAsia" w:ascii="仿宋_GB2312" w:hAnsi="宋体" w:eastAsia="仿宋_GB2312" w:cs="宋体"/>
                                      <w:sz w:val="21"/>
                                      <w:szCs w:val="21"/>
                                    </w:rPr>
                                    <w:t>原因的高热、呼吸急促或剧烈呕吐、腹泻等症状</w:t>
                                  </w:r>
                                </w:p>
                              </w:txbxContent>
                            </wps:txbx>
                            <wps:bodyPr upright="1"/>
                          </wps:wsp>
                          <wps:wsp>
                            <wps:cNvPr id="90" name="自选图形 76"/>
                            <wps:cNvSpPr/>
                            <wps:spPr>
                              <a:xfrm>
                                <a:off x="1663" y="2823"/>
                                <a:ext cx="2952" cy="1980"/>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40" w:lineRule="exact"/>
                                    <w:rPr>
                                      <w:rFonts w:hint="eastAsia" w:ascii="仿宋_GB2312" w:eastAsia="仿宋_GB2312"/>
                                      <w:sz w:val="21"/>
                                      <w:szCs w:val="21"/>
                                    </w:rPr>
                                  </w:pPr>
                                  <w:r>
                                    <w:rPr>
                                      <w:rFonts w:hint="eastAsia" w:ascii="仿宋_GB2312" w:eastAsia="仿宋_GB2312"/>
                                      <w:sz w:val="21"/>
                                      <w:szCs w:val="21"/>
                                    </w:rPr>
                                    <w:t>学校同一宿舍或者同一班级，1天内有3例或连续3天内有多个学生（5例以上）患病，并有相似症状（如发热、皮疹、腹泻、呕吐等）或者共同用餐、饮水史</w:t>
                                  </w:r>
                                </w:p>
                              </w:txbxContent>
                            </wps:txbx>
                            <wps:bodyPr upright="1"/>
                          </wps:wsp>
                          <wps:wsp>
                            <wps:cNvPr id="91" name="直线 33"/>
                            <wps:cNvCnPr/>
                            <wps:spPr>
                              <a:xfrm>
                                <a:off x="3105" y="5114"/>
                                <a:ext cx="7252" cy="8"/>
                              </a:xfrm>
                              <a:prstGeom prst="line">
                                <a:avLst/>
                              </a:prstGeom>
                              <a:ln w="9525" cap="flat" cmpd="sng">
                                <a:solidFill>
                                  <a:srgbClr val="000000"/>
                                </a:solidFill>
                                <a:prstDash val="solid"/>
                                <a:headEnd type="none" w="med" len="med"/>
                                <a:tailEnd type="none" w="med" len="med"/>
                              </a:ln>
                            </wps:spPr>
                            <wps:bodyPr upright="1"/>
                          </wps:wsp>
                          <wps:wsp>
                            <wps:cNvPr id="92" name="直线 32"/>
                            <wps:cNvCnPr/>
                            <wps:spPr>
                              <a:xfrm>
                                <a:off x="3160" y="4856"/>
                                <a:ext cx="8" cy="286"/>
                              </a:xfrm>
                              <a:prstGeom prst="line">
                                <a:avLst/>
                              </a:prstGeom>
                              <a:ln w="9525" cap="flat" cmpd="sng">
                                <a:solidFill>
                                  <a:srgbClr val="000000"/>
                                </a:solidFill>
                                <a:prstDash val="solid"/>
                                <a:headEnd type="none" w="med" len="med"/>
                                <a:tailEnd type="stealth" w="lg" len="med"/>
                              </a:ln>
                            </wps:spPr>
                            <wps:bodyPr upright="1"/>
                          </wps:wsp>
                          <wps:wsp>
                            <wps:cNvPr id="93" name="直线 32"/>
                            <wps:cNvCnPr/>
                            <wps:spPr>
                              <a:xfrm>
                                <a:off x="5875" y="4796"/>
                                <a:ext cx="8" cy="286"/>
                              </a:xfrm>
                              <a:prstGeom prst="line">
                                <a:avLst/>
                              </a:prstGeom>
                              <a:ln w="9525" cap="flat" cmpd="sng">
                                <a:solidFill>
                                  <a:srgbClr val="000000"/>
                                </a:solidFill>
                                <a:prstDash val="solid"/>
                                <a:headEnd type="none" w="med" len="med"/>
                                <a:tailEnd type="stealth" w="lg" len="med"/>
                              </a:ln>
                            </wps:spPr>
                            <wps:bodyPr upright="1"/>
                          </wps:wsp>
                          <wps:wsp>
                            <wps:cNvPr id="94" name="直线 32"/>
                            <wps:cNvCnPr/>
                            <wps:spPr>
                              <a:xfrm>
                                <a:off x="8395" y="4796"/>
                                <a:ext cx="8" cy="286"/>
                              </a:xfrm>
                              <a:prstGeom prst="line">
                                <a:avLst/>
                              </a:prstGeom>
                              <a:ln w="9525" cap="flat" cmpd="sng">
                                <a:solidFill>
                                  <a:srgbClr val="000000"/>
                                </a:solidFill>
                                <a:prstDash val="solid"/>
                                <a:headEnd type="none" w="med" len="med"/>
                                <a:tailEnd type="stealth" w="lg" len="med"/>
                              </a:ln>
                            </wps:spPr>
                            <wps:bodyPr upright="1"/>
                          </wps:wsp>
                          <wps:wsp>
                            <wps:cNvPr id="95" name="直线 32"/>
                            <wps:cNvCnPr/>
                            <wps:spPr>
                              <a:xfrm>
                                <a:off x="10307" y="4803"/>
                                <a:ext cx="8" cy="339"/>
                              </a:xfrm>
                              <a:prstGeom prst="line">
                                <a:avLst/>
                              </a:prstGeom>
                              <a:ln w="9525" cap="flat" cmpd="sng">
                                <a:solidFill>
                                  <a:srgbClr val="000000"/>
                                </a:solidFill>
                                <a:prstDash val="solid"/>
                                <a:headEnd type="none" w="med" len="med"/>
                                <a:tailEnd type="stealth" w="lg" len="med"/>
                              </a:ln>
                            </wps:spPr>
                            <wps:bodyPr upright="1"/>
                          </wps:wsp>
                          <wps:wsp>
                            <wps:cNvPr id="96" name="自选图形 104"/>
                            <wps:cNvSpPr/>
                            <wps:spPr>
                              <a:xfrm>
                                <a:off x="1563" y="12690"/>
                                <a:ext cx="9037" cy="898"/>
                              </a:xfrm>
                              <a:prstGeom prst="flowChartProcess">
                                <a:avLst/>
                              </a:prstGeom>
                              <a:gradFill rotWithShape="0">
                                <a:gsLst>
                                  <a:gs pos="0">
                                    <a:srgbClr val="FFFFFF"/>
                                  </a:gs>
                                  <a:gs pos="100000">
                                    <a:srgbClr val="FFFFFF"/>
                                  </a:gs>
                                </a:gsLst>
                                <a:lin ang="0"/>
                                <a:tileRect/>
                              </a:gradFill>
                              <a:ln w="15875" cap="flat" cmpd="sng">
                                <a:solidFill>
                                  <a:srgbClr val="262626"/>
                                </a:solidFill>
                                <a:prstDash val="solid"/>
                                <a:miter/>
                                <a:headEnd type="none" w="med" len="med"/>
                                <a:tailEnd type="none" w="med" len="med"/>
                              </a:ln>
                            </wps:spPr>
                            <wps:txb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按照属地疾控部门或卫生健康管理部门及主管教育行政部门指导，开展相关防控工作（如隔离、停课等）。</w:t>
                                  </w:r>
                                </w:p>
                              </w:txbxContent>
                            </wps:txbx>
                            <wps:bodyPr upright="1"/>
                          </wps:wsp>
                        </wpg:grpSp>
                        <wps:wsp>
                          <wps:cNvPr id="98" name="直线 70"/>
                          <wps:cNvCnPr/>
                          <wps:spPr>
                            <a:xfrm flipH="1">
                              <a:off x="2690" y="7941"/>
                              <a:ext cx="956" cy="509"/>
                            </a:xfrm>
                            <a:prstGeom prst="line">
                              <a:avLst/>
                            </a:prstGeom>
                            <a:ln w="9525" cap="flat" cmpd="sng">
                              <a:solidFill>
                                <a:srgbClr val="000000"/>
                              </a:solidFill>
                              <a:prstDash val="solid"/>
                              <a:headEnd type="none" w="med" len="med"/>
                              <a:tailEnd type="stealth" w="lg" len="med"/>
                            </a:ln>
                          </wps:spPr>
                          <wps:bodyPr upright="1"/>
                        </wps:wsp>
                        <wps:wsp>
                          <wps:cNvPr id="99" name="直线 32"/>
                          <wps:cNvCnPr/>
                          <wps:spPr>
                            <a:xfrm>
                              <a:off x="6667" y="6290"/>
                              <a:ext cx="8" cy="349"/>
                            </a:xfrm>
                            <a:prstGeom prst="line">
                              <a:avLst/>
                            </a:prstGeom>
                            <a:ln w="9525" cap="flat" cmpd="sng">
                              <a:solidFill>
                                <a:srgbClr val="000000"/>
                              </a:solidFill>
                              <a:prstDash val="solid"/>
                              <a:headEnd type="none" w="med" len="med"/>
                              <a:tailEnd type="stealth" w="lg" len="med"/>
                            </a:ln>
                          </wps:spPr>
                          <wps:bodyPr upright="1"/>
                        </wps:wsp>
                      </wpg:grpSp>
                    </wpg:wgp>
                  </a:graphicData>
                </a:graphic>
              </wp:anchor>
            </w:drawing>
          </mc:Choice>
          <mc:Fallback>
            <w:pict>
              <v:group id="组合 3" o:spid="_x0000_s1026" o:spt="203" style="position:absolute;left:0pt;margin-left:0.1pt;margin-top:15.5pt;height:554.25pt;width:438.35pt;z-index:251707392;mso-width-relative:page;mso-height-relative:page;" coordorigin="1443,2823" coordsize="9747,10765" o:gfxdata="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IHAtoXYAAAA&#10;CAEAAA8AAAAAAAAAAQAgAAAAIgAAAGRycy9kb3ducmV2LnhtbFBLAQIUABQAAAAIAIdO4kDNpCWw&#10;rgcAAGVSAAAOAAAAAAAAAAEAIAAAACcBAABkcnMvZTJvRG9jLnhtbFBLBQYAAAAABgAGAFkBAABH&#10;CwAAAAA=&#10;">
                <o:lock v:ext="edit" aspectratio="f"/>
                <v:line id="直线 76" o:spid="_x0000_s1026" o:spt="20" style="position:absolute;left:5872;top:10921;height:419;width:1;" filled="f" stroked="t" coordsize="21600,21600" o:gfxdata="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AM1r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shape id="自选图形 95" o:spid="_x0000_s1026" o:spt="109" type="#_x0000_t109" style="position:absolute;left:4338;top:10463;height:458;width:3050;" fillcolor="#FFFFFF" filled="t" stroked="t" coordsize="21600,21600" o:gfxdata="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7yqwS2AAAA2wAAAA8A&#10;AAAAAAAAAQAgAAAAIgAAAGRycy9kb3ducmV2LnhtbFBLAQIUABQAAAAIAIdO4kAzLwWeOwAAADkA&#10;AAAQAAAAAAAAAAEAIAAAAAUBAABkcnMvc2hhcGV4bWwueG1sUEsFBgAAAAAGAAYAWwEAAK8DAAAA&#10;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ind w:firstLine="210" w:firstLineChars="100"/>
                          <w:rPr>
                            <w:rFonts w:hint="eastAsia"/>
                          </w:rPr>
                        </w:pPr>
                        <w:r>
                          <w:rPr>
                            <w:rFonts w:hint="eastAsia" w:ascii="仿宋_GB2312" w:hAnsi="宋体" w:eastAsia="仿宋_GB2312" w:cs="宋体"/>
                            <w:sz w:val="21"/>
                            <w:szCs w:val="21"/>
                          </w:rPr>
                          <w:t>分管副校长向校长报告</w:t>
                        </w:r>
                      </w:p>
                    </w:txbxContent>
                  </v:textbox>
                </v:shape>
                <v:shape id="自选图形 96" o:spid="_x0000_s1026" o:spt="109" type="#_x0000_t109" style="position:absolute;left:4338;top:11340;height:837;width:3050;" fillcolor="#FFFFFF" filled="t" stroked="t" coordsize="21600,21600" o:gfxdata="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Dp+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校长或校长指定专人向主管教育行政部门报告</w:t>
                        </w:r>
                      </w:p>
                    </w:txbxContent>
                  </v:textbox>
                </v:shape>
                <v:line id="直线 14" o:spid="_x0000_s1026" o:spt="20" style="position:absolute;left:2522;top:9682;flip:x;height:2965;width:0;" filled="f" stroked="t" coordsize="21600,21600" o:gfxdata="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WUQu5AAAA2wAA&#10;AA8AAAAAAAAAAQAgAAAAIgAAAGRycy9kb3ducmV2LnhtbFBLAQIUABQAAAAIAIdO4kAzLwWeOwAA&#10;ADkAAAAQAAAAAAAAAAEAIAAAAAgBAABkcnMvc2hhcGV4bWwueG1sUEsFBgAAAAAGAAYAWwEAALID&#10;AAAAAA==&#10;">
                  <v:fill on="f" focussize="0,0"/>
                  <v:stroke color="#000000" joinstyle="round" endarrow="classic" endarrowwidth="wide"/>
                  <v:imagedata o:title=""/>
                  <o:lock v:ext="edit" aspectratio="f"/>
                </v:line>
                <v:shape id="自选图形 95" o:spid="_x0000_s1026" o:spt="109" type="#_x0000_t109" style="position:absolute;left:4288;top:9307;height:730;width:3100;" fillcolor="#FFFFFF" filled="t" stroked="t" coordsize="21600,21600" o:gfxdata="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GUR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部门领导向防控办、分管副校长报告</w:t>
                        </w:r>
                      </w:p>
                    </w:txbxContent>
                  </v:textbox>
                </v:shape>
                <v:line id="直线 73" o:spid="_x0000_s1026" o:spt="20" style="position:absolute;left:5872;top:10036;flip:x;height:420;width:0;" filled="f" stroked="t" coordsize="21600,21600" o:gfxdata="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GrnvQAA&#10;ANsAAAAPAAAAAAAAAAEAIAAAACIAAABkcnMvZG93bnJldi54bWxQSwECFAAUAAAACACHTuJAMy8F&#10;njsAAAA5AAAAEAAAAAAAAAABACAAAAAMAQAAZHJzL3NoYXBleG1sLnhtbFBLBQYAAAAABgAGAFsB&#10;AAC2AwAAAAA=&#10;">
                  <v:fill on="f" focussize="0,0"/>
                  <v:stroke color="#000000" joinstyle="round" endarrow="classic" endarrowwidth="wide"/>
                  <v:imagedata o:title=""/>
                  <o:lock v:ext="edit" aspectratio="f"/>
                </v:line>
                <v:line id="直线 14" o:spid="_x0000_s1026" o:spt="20" style="position:absolute;left:5881;top:12177;flip:x;height:470;width:1;" filled="f" stroked="t" coordsize="21600,21600" o:gfxdata="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M98vQAA&#10;ANsAAAAPAAAAAAAAAAEAIAAAACIAAABkcnMvZG93bnJldi54bWxQSwECFAAUAAAACACHTuJAMy8F&#10;njsAAAA5AAAAEAAAAAAAAAABACAAAAAMAQAAZHJzL3NoYXBleG1sLnhtbFBLBQYAAAAABgAGAFsB&#10;AAC2AwAAAAA=&#10;">
                  <v:fill on="f" focussize="0,0"/>
                  <v:stroke color="#000000" joinstyle="round" endarrow="classic" endarrowwidth="wide"/>
                  <v:imagedata o:title=""/>
                  <o:lock v:ext="edit" aspectratio="f"/>
                </v:line>
                <v:group id="组合 11" o:spid="_x0000_s1026" o:spt="203" style="position:absolute;left:1443;top:2823;height:10765;width:9747;" coordorigin="1443,2823" coordsize="9747,10765"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line id="直线 32" o:spid="_x0000_s1026" o:spt="20" style="position:absolute;left:6660;top:5142;flip:x;height:420;width:7;" filled="f" stroked="t" coordsize="21600,21600" o:gfxdata="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VcIvQAA&#10;ANsAAAAPAAAAAAAAAAEAIAAAACIAAABkcnMvZG93bnJldi54bWxQSwECFAAUAAAACACHTuJAMy8F&#10;njsAAAA5AAAAEAAAAAAAAAABACAAAAAMAQAAZHJzL3NoYXBleG1sLnhtbFBLBQYAAAAABgAGAFsB&#10;AAC2AwAAAAA=&#10;">
                    <v:fill on="f" focussize="0,0"/>
                    <v:stroke color="#000000" joinstyle="round" endarrow="classic" endarrowwidth="wide"/>
                    <v:imagedata o:title=""/>
                    <o:lock v:ext="edit" aspectratio="f"/>
                  </v:line>
                  <v:line id="直线 5" o:spid="_x0000_s1026" o:spt="20" style="position:absolute;left:8852;top:7986;height:398;width:1;" filled="f" stroked="t" coordsize="21600,21600" o:gfxdata="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eh57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70" o:spid="_x0000_s1026" o:spt="20" style="position:absolute;left:4530;top:7941;height:509;width:980;" filled="f" stroked="t" coordsize="21600,21600" o:gfxdata="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U/kL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73" o:spid="_x0000_s1026" o:spt="20" style="position:absolute;left:5870;top:8952;flip:x;height:355;width:0;" filled="f" stroked="t" coordsize="21600,21600" o:gfxdata="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yX+8AAAA&#10;2wAAAA8AAAAAAAAAAQAgAAAAIgAAAGRycy9kb3ducmV2LnhtbFBLAQIUABQAAAAIAIdO4kAzLwWe&#10;OwAAADkAAAAQAAAAAAAAAAEAIAAAAAsBAABkcnMvc2hhcGV4bWwueG1sUEsFBgAAAAAGAAYAWwEA&#10;ALUDAAAAAA==&#10;">
                    <v:fill on="f" focussize="0,0"/>
                    <v:stroke color="#000000" joinstyle="round" endarrow="classic" endarrowwidth="wide"/>
                    <v:imagedata o:title=""/>
                    <o:lock v:ext="edit" aspectratio="f"/>
                  </v:line>
                  <v:shape id="自选图形 86" o:spid="_x0000_s1026" o:spt="109" type="#_x0000_t109" style="position:absolute;left:4530;top:5539;height:751;width:5331;" fillcolor="#FFFFFF" filled="t" stroked="t" coordsize="21600,21600" o:gfxdata="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Kz3ZugAAANs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发现者报告卫生所 社湾校区电话：3156076</w:t>
                          </w:r>
                        </w:p>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发现者报告卫生所 官塘校区电话：3182054</w:t>
                          </w:r>
                        </w:p>
                        <w:p>
                          <w:pPr>
                            <w:rPr>
                              <w:rFonts w:hint="eastAsia" w:ascii="宋体" w:hAnsi="宋体" w:cs="宋体"/>
                              <w:szCs w:val="21"/>
                            </w:rPr>
                          </w:pPr>
                        </w:p>
                      </w:txbxContent>
                    </v:textbox>
                  </v:shape>
                  <v:shape id="自选图形 88" o:spid="_x0000_s1026" o:spt="109" type="#_x0000_t109" style="position:absolute;left:7542;top:7110;height:768;width:2491;" fillcolor="#FFFFFF" filled="t" stroked="t" coordsize="21600,21600" o:gfxdata="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eYQr4A&#10;AADb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校医判断为不需要上报</w:t>
                          </w:r>
                        </w:p>
                      </w:txbxContent>
                    </v:textbox>
                  </v:shape>
                  <v:shape id="自选图形 89" o:spid="_x0000_s1026" o:spt="109" type="#_x0000_t109" style="position:absolute;left:7892;top:8450;height:768;width:2141;" fillcolor="#FFFFFF" filled="t" stroked="t" coordsize="21600,21600" o:gfxdata="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IhB+L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安排及时就医</w:t>
                          </w:r>
                        </w:p>
                        <w:p>
                          <w:pPr>
                            <w:spacing w:line="280" w:lineRule="exact"/>
                            <w:rPr>
                              <w:rFonts w:hint="eastAsia" w:ascii="宋体" w:hAnsi="宋体" w:cs="宋体"/>
                              <w:sz w:val="24"/>
                            </w:rPr>
                          </w:pPr>
                          <w:r>
                            <w:rPr>
                              <w:rFonts w:hint="eastAsia" w:ascii="仿宋_GB2312" w:hAnsi="宋体" w:eastAsia="仿宋_GB2312" w:cs="宋体"/>
                              <w:sz w:val="21"/>
                              <w:szCs w:val="21"/>
                            </w:rPr>
                            <w:t>并记录跟踪病例</w:t>
                          </w:r>
                        </w:p>
                        <w:p>
                          <w:pPr>
                            <w:rPr>
                              <w:rFonts w:hint="eastAsia" w:ascii="宋体" w:hAnsi="宋体" w:cs="宋体"/>
                              <w:szCs w:val="21"/>
                            </w:rPr>
                          </w:pPr>
                        </w:p>
                      </w:txbxContent>
                    </v:textbox>
                  </v:shape>
                  <v:line id="直线 33" o:spid="_x0000_s1026" o:spt="20" style="position:absolute;left:4081;top:6639;flip:y;height:0;width:477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0" o:spid="_x0000_s1026" o:spt="20" style="position:absolute;left:4081;top:6639;height:398;width:1;" filled="f" stroked="t" coordsize="21600,21600" o:gfxdata="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JtL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70" o:spid="_x0000_s1026" o:spt="20" style="position:absolute;left:8849;top:6639;height:369;width:1;" filled="f" stroked="t" coordsize="21600,21600" o:gfxdata="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sL7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shape id="自选图形 93" o:spid="_x0000_s1026" o:spt="109" type="#_x0000_t109" style="position:absolute;left:2847;top:7110;height:768;width:2463;" fillcolor="#FFFFFF" filled="t" stroked="t" coordsize="21600,21600" o:gfxdata="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NH+7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ascii="仿宋_GB2312" w:hAnsi="宋体" w:eastAsia="仿宋_GB2312" w:cs="宋体"/>
                              <w:sz w:val="21"/>
                              <w:szCs w:val="21"/>
                            </w:rPr>
                          </w:pPr>
                          <w:r>
                            <w:rPr>
                              <w:rFonts w:hint="eastAsia" w:ascii="仿宋_GB2312" w:hAnsi="宋体" w:eastAsia="仿宋_GB2312" w:cs="宋体"/>
                              <w:sz w:val="21"/>
                              <w:szCs w:val="21"/>
                            </w:rPr>
                            <w:t>校医确认是否需要上报</w:t>
                          </w:r>
                        </w:p>
                      </w:txbxContent>
                    </v:textbox>
                  </v:shape>
                  <v:shape id="自选图形 94" o:spid="_x0000_s1026" o:spt="109" type="#_x0000_t109" style="position:absolute;left:4288;top:8500;height:502;width:3050;" fillcolor="#FFFFFF" filled="t" stroked="t" coordsize="21600,21600" o:gfxdata="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iY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262626" joinstyle="miter"/>
                    <v:imagedata o:title=""/>
                    <o:lock v:ext="edit" aspectratio="f"/>
                    <v:textbox>
                      <w:txbxContent>
                        <w:p>
                          <w:pPr>
                            <w:ind w:firstLine="210" w:firstLineChars="100"/>
                            <w:jc w:val="left"/>
                            <w:rPr>
                              <w:rFonts w:hint="eastAsia"/>
                            </w:rPr>
                          </w:pPr>
                          <w:r>
                            <w:rPr>
                              <w:rFonts w:hint="eastAsia" w:ascii="仿宋_GB2312" w:hAnsi="宋体" w:eastAsia="仿宋_GB2312" w:cs="宋体"/>
                              <w:sz w:val="21"/>
                              <w:szCs w:val="21"/>
                            </w:rPr>
                            <w:t>校医向本部门领导报告</w:t>
                          </w:r>
                        </w:p>
                      </w:txbxContent>
                    </v:textbox>
                  </v:shape>
                  <v:shape id="自选图形 102" o:spid="_x0000_s1026" o:spt="109" type="#_x0000_t109" style="position:absolute;left:1443;top:8500;height:1086;width:2203;" fillcolor="#FFFFFF" filled="t" stroked="t" coordsize="21600,21600" o:gfxdata="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tfBe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校医向属地疾控部门或卫生健康管理部门报告</w:t>
                          </w:r>
                        </w:p>
                      </w:txbxContent>
                    </v:textbox>
                  </v:shape>
                  <v:group id="组合 25" o:spid="_x0000_s1026" o:spt="203" style="position:absolute;left:1563;top:2823;height:10765;width:9627;" coordorigin="1563,2823" coordsize="9627,10765"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自选图形 73" o:spid="_x0000_s1026" o:spt="109" type="#_x0000_t109" style="position:absolute;left:9643;top:3258;height:1518;width:1547;" fillcolor="#FFFFFF" filled="t" stroked="t" coordsize="21600,21600" o:gfxdata="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HZjL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学校发现师生员工传染病或疑似传染病病人</w:t>
                            </w:r>
                          </w:p>
                        </w:txbxContent>
                      </v:textbox>
                    </v:shape>
                    <v:shape id="自选图形 74" o:spid="_x0000_s1026" o:spt="109" type="#_x0000_t109" style="position:absolute;left:7439;top:3216;height:1546;width:1859;" fillcolor="#FFFFFF" filled="t" stroked="t" coordsize="21600,21600" o:gfxdata="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v5N/rgAAADbAAAA&#10;DwAAAAAAAAABACAAAAAiAAAAZHJzL2Rvd25yZXYueG1sUEsBAhQAFAAAAAgAh07iQDMvBZ47AAAA&#10;OQAAABAAAAAAAAAAAQAgAAAABwEAAGRycy9zaGFwZXhtbC54bWxQSwUGAAAAAAYABgBbAQAAsQMA&#10;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学校发生群体性不明原因疾病或者其他突发公共卫生事件</w:t>
                            </w:r>
                          </w:p>
                        </w:txbxContent>
                      </v:textbox>
                    </v:shape>
                    <v:shape id="自选图形 75" o:spid="_x0000_s1026" o:spt="109" type="#_x0000_t109" style="position:absolute;left:4964;top:3230;height:1517;width:2077;" fillcolor="#FFFFFF" filled="t" stroked="t" coordsize="21600,21600" o:gfxdata="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LoZb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eastAsia="仿宋_GB2312"/>
                                <w:sz w:val="21"/>
                                <w:szCs w:val="21"/>
                              </w:rPr>
                              <w:t>学校个别学生出现不明</w:t>
                            </w:r>
                            <w:r>
                              <w:rPr>
                                <w:rFonts w:hint="eastAsia" w:ascii="仿宋_GB2312" w:hAnsi="宋体" w:eastAsia="仿宋_GB2312" w:cs="宋体"/>
                                <w:sz w:val="21"/>
                                <w:szCs w:val="21"/>
                              </w:rPr>
                              <w:t>原因的高热、呼吸急促或剧烈呕吐、腹泻等症状</w:t>
                            </w:r>
                          </w:p>
                        </w:txbxContent>
                      </v:textbox>
                    </v:shape>
                    <v:shape id="自选图形 76" o:spid="_x0000_s1026" o:spt="109" type="#_x0000_t109" style="position:absolute;left:1663;top:2823;height:1980;width:2952;" fillcolor="#FFFFFF" filled="t" stroked="t" coordsize="21600,21600" o:gfxdata="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dclugAAANs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1.25pt" color="#262626" joinstyle="miter"/>
                      <v:imagedata o:title=""/>
                      <o:lock v:ext="edit" aspectratio="f"/>
                      <v:textbox>
                        <w:txbxContent>
                          <w:p>
                            <w:pPr>
                              <w:spacing w:line="240" w:lineRule="exact"/>
                              <w:rPr>
                                <w:rFonts w:hint="eastAsia" w:ascii="仿宋_GB2312" w:eastAsia="仿宋_GB2312"/>
                                <w:sz w:val="21"/>
                                <w:szCs w:val="21"/>
                              </w:rPr>
                            </w:pPr>
                            <w:r>
                              <w:rPr>
                                <w:rFonts w:hint="eastAsia" w:ascii="仿宋_GB2312" w:eastAsia="仿宋_GB2312"/>
                                <w:sz w:val="21"/>
                                <w:szCs w:val="21"/>
                              </w:rPr>
                              <w:t>学校同一宿舍或者同一班级，1天内有3例或连续3天内有多个学生（5例以上）患病，并有相似症状（如发热、皮疹、腹泻、呕吐等）或者共同用餐、饮水史</w:t>
                            </w:r>
                          </w:p>
                        </w:txbxContent>
                      </v:textbox>
                    </v:shape>
                    <v:line id="直线 33" o:spid="_x0000_s1026" o:spt="20" style="position:absolute;left:3105;top:5114;height:8;width:7252;"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2" o:spid="_x0000_s1026" o:spt="20" style="position:absolute;left:3160;top:4856;height:286;width:8;" filled="f" stroked="t" coordsize="21600,21600" o:gfxdata="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fab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32" o:spid="_x0000_s1026" o:spt="20" style="position:absolute;left:5875;top:4796;height:286;width:8;" filled="f" stroked="t" coordsize="21600,21600" o:gfxdata="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68r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32" o:spid="_x0000_s1026" o:spt="20" style="position:absolute;left:8395;top:4796;height:286;width:8;" filled="f" stroked="t" coordsize="21600,21600" o:gfxdata="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fihr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line id="直线 32" o:spid="_x0000_s1026" o:spt="20" style="position:absolute;left:10307;top:4803;height:339;width:8;" filled="f" stroked="t" coordsize="21600,21600" o:gfxdata="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HHb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shape id="自选图形 104" o:spid="_x0000_s1026" o:spt="109" type="#_x0000_t109" style="position:absolute;left:1563;top:12690;height:898;width:9037;" fillcolor="#FFFFFF" filled="t" stroked="t" coordsize="21600,21600" o:gfxdata="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06sq8AAAA&#10;2w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262626" joinstyle="miter"/>
                      <v:imagedata o:title=""/>
                      <o:lock v:ext="edit" aspectratio="f"/>
                      <v:textbox>
                        <w:txbxContent>
                          <w:p>
                            <w:pPr>
                              <w:spacing w:line="280" w:lineRule="exact"/>
                              <w:rPr>
                                <w:rFonts w:hint="eastAsia" w:ascii="仿宋_GB2312" w:hAnsi="宋体" w:eastAsia="仿宋_GB2312" w:cs="宋体"/>
                                <w:sz w:val="21"/>
                                <w:szCs w:val="21"/>
                              </w:rPr>
                            </w:pPr>
                            <w:r>
                              <w:rPr>
                                <w:rFonts w:hint="eastAsia" w:ascii="仿宋_GB2312" w:hAnsi="宋体" w:eastAsia="仿宋_GB2312" w:cs="宋体"/>
                                <w:sz w:val="21"/>
                                <w:szCs w:val="21"/>
                              </w:rPr>
                              <w:t>按照属地疾控部门或卫生健康管理部门及主管教育行政部门指导，开展相关防控工作（如隔离、停课等）。</w:t>
                            </w:r>
                          </w:p>
                        </w:txbxContent>
                      </v:textbox>
                    </v:shape>
                  </v:group>
                  <v:line id="直线 70" o:spid="_x0000_s1026" o:spt="20" style="position:absolute;left:2690;top:7941;flip:x;height:509;width:956;" filled="f" stroked="t" coordsize="21600,21600" o:gfxdata="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797sAAADb&#10;AAAADwAAAAAAAAABACAAAAAiAAAAZHJzL2Rvd25yZXYueG1sUEsBAhQAFAAAAAgAh07iQDMvBZ47&#10;AAAAOQAAABAAAAAAAAAAAQAgAAAACgEAAGRycy9zaGFwZXhtbC54bWxQSwUGAAAAAAYABgBbAQAA&#10;tAMAAAAA&#10;">
                    <v:fill on="f" focussize="0,0"/>
                    <v:stroke color="#000000" joinstyle="round" endarrow="classic" endarrowwidth="wide"/>
                    <v:imagedata o:title=""/>
                    <o:lock v:ext="edit" aspectratio="f"/>
                  </v:line>
                  <v:line id="直线 32" o:spid="_x0000_s1026" o:spt="20" style="position:absolute;left:6667;top:6290;height:349;width:8;" filled="f" stroked="t" coordsize="21600,21600" o:gfxdata="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NGL4A&#10;AADbAAAADwAAAAAAAAABACAAAAAiAAAAZHJzL2Rvd25yZXYueG1sUEsBAhQAFAAAAAgAh07iQDMv&#10;BZ47AAAAOQAAABAAAAAAAAAAAQAgAAAADQEAAGRycy9zaGFwZXhtbC54bWxQSwUGAAAAAAYABgBb&#10;AQAAtwMAAAAA&#10;">
                    <v:fill on="f" focussize="0,0"/>
                    <v:stroke color="#000000" joinstyle="round" endarrow="classic" endarrowwidth="wide"/>
                    <v:imagedata o:title=""/>
                    <o:lock v:ext="edit" aspectratio="f"/>
                  </v:line>
                </v:group>
              </v:group>
            </w:pict>
          </mc:Fallback>
        </mc:AlternateConten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30" w:name="_Toc18783"/>
      <w:bookmarkStart w:id="231" w:name="_Toc16670"/>
      <w:bookmarkStart w:id="232" w:name="_Toc25592"/>
      <w:r>
        <w:rPr>
          <w:rFonts w:hint="eastAsia"/>
          <w:b/>
          <w:color w:val="000000"/>
          <w:sz w:val="36"/>
          <w:szCs w:val="36"/>
        </w:rPr>
        <w:t>柳州职业技术学院师生健康管理制度（试行）</w:t>
      </w:r>
      <w:bookmarkEnd w:id="230"/>
      <w:bookmarkEnd w:id="231"/>
      <w:bookmarkEnd w:id="232"/>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为保障师生身体健康，加强师生健康管理，消除疾病安全隐患，按照《中华人民共和国传染病防治法》、《学校卫生工作条例》等法律法规的要求，制定本制度。</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第一章  体检和健康筛查</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教职员工每年定期体检，食堂从业人员按照食品卫生管理相关要求定期体检。</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hint="eastAsia" w:ascii="仿宋_GB2312" w:hAnsi="宋体" w:eastAsia="仿宋_GB2312" w:cs="宋体"/>
          <w:bCs/>
          <w:sz w:val="32"/>
          <w:szCs w:val="32"/>
        </w:rPr>
        <w:t xml:space="preserve">  学校教职员工中的传染病病人、病原携带者和疑似传染病病人，在传染期内或者在排除传染病前，不得在校内从事法律、行政法规和国务院卫生行政部门规定禁止的易使该传染病扩散的工作。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第三条  </w:t>
      </w:r>
      <w:r>
        <w:rPr>
          <w:rFonts w:hint="eastAsia" w:ascii="仿宋_GB2312" w:hAnsi="宋体" w:eastAsia="仿宋_GB2312" w:cs="宋体"/>
          <w:bCs/>
          <w:sz w:val="32"/>
          <w:szCs w:val="32"/>
        </w:rPr>
        <w:t>新生入学后，由学校统一组织新生进行体检，并由校医汇总新生体检结果，确保新生体检率达到100%。</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第四条</w:t>
      </w:r>
      <w:r>
        <w:rPr>
          <w:rFonts w:hint="eastAsia" w:ascii="仿宋_GB2312" w:hAnsi="宋体" w:eastAsia="仿宋_GB2312" w:cs="宋体"/>
          <w:bCs/>
          <w:sz w:val="32"/>
          <w:szCs w:val="32"/>
        </w:rPr>
        <w:t xml:space="preserve">  辅导员及时建立学生的健康档案，记录学生在校期间体检资料，重大疾病，因病休学、复学情况等内容。任何人不得随意撕毁、篡改、损坏学生健康档案。严格学生健康档案管理，执行保密制度。</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第二章  传染病预防</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第五条</w:t>
      </w:r>
      <w:r>
        <w:rPr>
          <w:rFonts w:hint="eastAsia" w:ascii="仿宋_GB2312" w:hAnsi="宋体" w:eastAsia="仿宋_GB2312" w:cs="宋体"/>
          <w:bCs/>
          <w:sz w:val="32"/>
          <w:szCs w:val="32"/>
        </w:rPr>
        <w:t xml:space="preserve">  贯彻以预防为主的原则，采取有效措施，开展师生传染性疾病预防工作。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hint="eastAsia" w:ascii="仿宋_GB2312" w:hAnsi="宋体" w:eastAsia="仿宋_GB2312" w:cs="宋体"/>
          <w:bCs/>
          <w:sz w:val="32"/>
          <w:szCs w:val="32"/>
        </w:rPr>
        <w:t xml:space="preserve">  加强传染病防控宣传教育引导。学校要做好师生防疫健康指导，通过</w:t>
      </w:r>
      <w:bookmarkStart w:id="233" w:name="_Hlk33082919"/>
      <w:r>
        <w:rPr>
          <w:rFonts w:hint="eastAsia" w:ascii="仿宋_GB2312" w:hAnsi="宋体" w:eastAsia="仿宋_GB2312" w:cs="宋体"/>
          <w:bCs/>
          <w:sz w:val="32"/>
          <w:szCs w:val="32"/>
        </w:rPr>
        <w:t>学校官网、</w:t>
      </w:r>
      <w:bookmarkEnd w:id="233"/>
      <w:r>
        <w:rPr>
          <w:rFonts w:hint="eastAsia" w:ascii="仿宋_GB2312" w:hAnsi="宋体" w:eastAsia="仿宋_GB2312" w:cs="宋体"/>
          <w:bCs/>
          <w:sz w:val="32"/>
          <w:szCs w:val="32"/>
        </w:rPr>
        <w:t>微信、短信等形式，普及传染病的主要症状、传播途径、基本防控知识、消毒隔离等基本防控措施，动员师生积极配合学校各项防控措施，引导广大师生养成科学文明健康的生活方式，增强师生的防范意识，做好自身及家人的防护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第七条</w:t>
      </w:r>
      <w:r>
        <w:rPr>
          <w:rFonts w:hint="eastAsia" w:ascii="仿宋_GB2312" w:hAnsi="宋体" w:eastAsia="仿宋_GB2312" w:cs="宋体"/>
          <w:bCs/>
          <w:sz w:val="32"/>
          <w:szCs w:val="32"/>
        </w:rPr>
        <w:t xml:space="preserve">  严格落实师生健康监测机制。传染病疫情期间，根据应急响应级别要求，精准掌握每个师生健康状况，做好“一人一案”建立台账，坚持“日报告”、“零报告”，做到底数清、情况明、数据准。</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第八条 </w:t>
      </w:r>
      <w:r>
        <w:rPr>
          <w:rFonts w:hint="eastAsia" w:ascii="仿宋_GB2312" w:hAnsi="宋体" w:eastAsia="仿宋_GB2312" w:cs="宋体"/>
          <w:bCs/>
          <w:sz w:val="32"/>
          <w:szCs w:val="32"/>
        </w:rPr>
        <w:t xml:space="preserve"> 做好学校预防性消毒防疫。制定日常消毒工作标准和细则，并认真做好消毒记录，持续、深入开展环境卫生整治，对教室、实训室、活动室、宿舍、食堂、图书馆、卫生间等重点区域和室内外场所进行杀菌消毒和通风换气。  </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hint="eastAsia" w:ascii="仿宋_GB2312" w:hAnsi="宋体" w:eastAsia="仿宋_GB2312" w:cs="宋体"/>
          <w:bCs/>
          <w:sz w:val="32"/>
          <w:szCs w:val="32"/>
        </w:rPr>
        <w:t xml:space="preserve">  传染病疫情期间，对学生宿舍实行封闭管理，进出必须实名验证并检测体温。住校学生应减少不必要的外出，避免接触不相关人员。</w:t>
      </w:r>
      <w:bookmarkStart w:id="234" w:name="_Hlk33087007"/>
      <w:r>
        <w:rPr>
          <w:rFonts w:hint="eastAsia" w:ascii="仿宋_GB2312" w:hAnsi="宋体" w:eastAsia="仿宋_GB2312" w:cs="宋体"/>
          <w:bCs/>
          <w:sz w:val="32"/>
          <w:szCs w:val="32"/>
        </w:rPr>
        <w:t>引导学生加强体育锻炼，增强体质。引导学生做到勤洗手、不扎堆、不聚会。</w:t>
      </w:r>
      <w:bookmarkEnd w:id="234"/>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传染病疫情期间，尽量避免组织大型集体性学生活动，根据疫情传播情况可采取学校所有活动性场地设施暂停向学生开放，图书馆、体育馆等室内场馆暂停开放等措施。</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第三章  传染病防控机制</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第十一条  </w:t>
      </w:r>
      <w:r>
        <w:rPr>
          <w:rFonts w:hint="eastAsia" w:ascii="仿宋_GB2312" w:hAnsi="宋体" w:eastAsia="仿宋_GB2312" w:cs="宋体"/>
          <w:bCs/>
          <w:sz w:val="32"/>
          <w:szCs w:val="32"/>
        </w:rPr>
        <w:t>学校传染病防控坚持以人为本、预防为主，按照早发现、早诊断、早隔离、早治疗的防治原则，成立工作领导小组及相关工作组，严格执行相关法律法规及上级文件要求。</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第十二条  </w:t>
      </w:r>
      <w:r>
        <w:rPr>
          <w:rFonts w:hint="eastAsia" w:ascii="仿宋_GB2312" w:hAnsi="宋体" w:eastAsia="仿宋_GB2312" w:cs="宋体"/>
          <w:bCs/>
          <w:sz w:val="32"/>
          <w:szCs w:val="32"/>
        </w:rPr>
        <w:t>建立传染病防控应急机制。学校一旦发生师生传染病暴发流行，传染病防控工作领导小组要立即启动学校应急预案，组织领导各相关部门开展疫情防控工作。</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第十三条  </w:t>
      </w:r>
      <w:r>
        <w:rPr>
          <w:rFonts w:hint="eastAsia" w:ascii="仿宋_GB2312" w:hAnsi="宋体" w:eastAsia="仿宋_GB2312" w:cs="宋体"/>
          <w:bCs/>
          <w:sz w:val="32"/>
          <w:szCs w:val="32"/>
        </w:rPr>
        <w:t>学校传染病防控工作领导小组统筹负责师生传染病上报工作，学校发现师生中有传染病病人或者疑似传染病病人时，应按照法定程序和有关规定及时报告属地疾控部门及主管教育行政部门，按照属地疾控部门及主管教育行政部门的指导开展传染病排查防治工作，防止疾病传播。</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第十四条</w:t>
      </w:r>
      <w:r>
        <w:rPr>
          <w:rFonts w:hint="eastAsia" w:ascii="仿宋_GB2312" w:hAnsi="宋体" w:eastAsia="仿宋_GB2312" w:cs="宋体"/>
          <w:bCs/>
          <w:sz w:val="32"/>
          <w:szCs w:val="32"/>
        </w:rPr>
        <w:t xml:space="preserve">  建立传染病防控期间师生心理健康疏导机制。由学校大学生心理健康教育与咨询中心负责全校师生传染病疫情防控期间心理健康疏导工作，及时解决师生产生的相关心理问题，保障师生理性平和的健康心态。</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第四章  健康观察隔离</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第十五条  </w:t>
      </w:r>
      <w:r>
        <w:rPr>
          <w:rFonts w:hint="eastAsia" w:ascii="仿宋_GB2312" w:hAnsi="宋体" w:eastAsia="仿宋_GB2312" w:cs="宋体"/>
          <w:bCs/>
          <w:sz w:val="32"/>
          <w:szCs w:val="32"/>
        </w:rPr>
        <w:t>经医院确诊的传染病师生或疑似传染病师生，应按有关要求接受隔离观察或治疗，隔离观察期限根据医学检查结果要求确定。</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第十六条</w:t>
      </w:r>
      <w:r>
        <w:rPr>
          <w:rFonts w:hint="eastAsia" w:ascii="仿宋_GB2312" w:hAnsi="宋体" w:eastAsia="仿宋_GB2312" w:cs="宋体"/>
          <w:bCs/>
          <w:sz w:val="32"/>
          <w:szCs w:val="32"/>
        </w:rPr>
        <w:t xml:space="preserve">  严格执行患传染病学生复课前、患传染病教职员工复工前的查验工作，尽量避免续发病例的发生。确诊传染病的师生需出具医疗机构痊愈证明后，方可返校。</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第十七条</w:t>
      </w:r>
      <w:r>
        <w:rPr>
          <w:rFonts w:hint="eastAsia" w:ascii="仿宋_GB2312" w:hAnsi="宋体" w:eastAsia="仿宋_GB2312" w:cs="宋体"/>
          <w:bCs/>
          <w:sz w:val="32"/>
          <w:szCs w:val="32"/>
        </w:rPr>
        <w:t xml:space="preserve">  在传染病疫情大面积爆发，学校因疫情停课的情况下，师生应按照疫情防控要求在返校前居家隔离观察，居家隔离观察期限根据疫情防控要求确定。师生应在确保健康的情况下返校复工复课，严禁带病返校。</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第十八条</w:t>
      </w:r>
      <w:r>
        <w:rPr>
          <w:rFonts w:hint="eastAsia" w:ascii="仿宋_GB2312" w:hAnsi="宋体" w:eastAsia="仿宋_GB2312" w:cs="宋体"/>
          <w:bCs/>
          <w:sz w:val="32"/>
          <w:szCs w:val="32"/>
        </w:rPr>
        <w:t xml:space="preserve">  本制度自发布之日起实施，由学生工作处、人事处、后勤与资产管理处负责解释。</w:t>
      </w:r>
    </w:p>
    <w:p>
      <w:pPr>
        <w:pageBreakBefore w:val="0"/>
        <w:kinsoku/>
        <w:wordWrap/>
        <w:overflowPunct/>
        <w:topLinePunct w:val="0"/>
        <w:autoSpaceDE/>
        <w:autoSpaceDN/>
        <w:bidi w:val="0"/>
        <w:spacing w:line="596" w:lineRule="exact"/>
        <w:jc w:val="left"/>
        <w:outlineLvl w:val="9"/>
        <w:rPr>
          <w:rFonts w:ascii="黑体" w:eastAsia="黑体"/>
          <w:sz w:val="32"/>
          <w:szCs w:val="32"/>
        </w:rPr>
      </w:pPr>
      <w:r>
        <w:rPr>
          <w:rFonts w:ascii="仿宋_GB2312" w:hAnsi="宋体" w:eastAsia="仿宋_GB2312" w:cs="宋体"/>
          <w:bCs/>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35" w:name="_Toc11648"/>
      <w:bookmarkStart w:id="236" w:name="_Toc20092"/>
      <w:bookmarkStart w:id="237" w:name="_Toc18240"/>
      <w:r>
        <w:rPr>
          <w:rFonts w:hint="eastAsia"/>
          <w:b/>
          <w:color w:val="000000"/>
          <w:sz w:val="36"/>
          <w:szCs w:val="36"/>
        </w:rPr>
        <w:t>柳州职业技术学院师生因病缺勤登记及病因追踪报告制度（试行）</w:t>
      </w:r>
      <w:bookmarkEnd w:id="235"/>
      <w:bookmarkEnd w:id="236"/>
      <w:bookmarkEnd w:id="237"/>
    </w:p>
    <w:p>
      <w:pPr>
        <w:pageBreakBefore w:val="0"/>
        <w:kinsoku/>
        <w:wordWrap/>
        <w:overflowPunct/>
        <w:topLinePunct w:val="0"/>
        <w:autoSpaceDE/>
        <w:autoSpaceDN/>
        <w:bidi w:val="0"/>
        <w:spacing w:line="276" w:lineRule="auto"/>
        <w:jc w:val="center"/>
        <w:outlineLvl w:val="9"/>
        <w:rPr>
          <w:rFonts w:ascii="楷体" w:hAnsi="楷体" w:eastAsia="楷体" w:cs="方正小标宋简体"/>
          <w:b/>
          <w:szCs w:val="28"/>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为切实保障全校师生生命安全和身体健康，根据《中华人民共和国传染病防治法》、《学校和托幼机构传染病疫情报告工作规范（试行）》有关规定，制定本制度。</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各班级</w:t>
      </w:r>
      <w:r>
        <w:rPr>
          <w:rFonts w:hint="eastAsia" w:ascii="仿宋_GB2312" w:hAnsi="宋体" w:eastAsia="仿宋_GB2312" w:cs="宋体"/>
          <w:bCs/>
          <w:sz w:val="32"/>
          <w:szCs w:val="32"/>
        </w:rPr>
        <w:t>辅导员</w:t>
      </w:r>
      <w:r>
        <w:rPr>
          <w:rFonts w:ascii="仿宋_GB2312" w:hAnsi="宋体" w:eastAsia="仿宋_GB2312" w:cs="宋体"/>
          <w:bCs/>
          <w:sz w:val="32"/>
          <w:szCs w:val="32"/>
        </w:rPr>
        <w:t>为学生因病缺勤</w:t>
      </w:r>
      <w:r>
        <w:rPr>
          <w:rFonts w:hint="eastAsia" w:ascii="仿宋_GB2312" w:hAnsi="宋体" w:eastAsia="仿宋_GB2312" w:cs="宋体"/>
          <w:bCs/>
          <w:sz w:val="32"/>
          <w:szCs w:val="32"/>
        </w:rPr>
        <w:t>登记及病因</w:t>
      </w:r>
      <w:r>
        <w:rPr>
          <w:rFonts w:ascii="仿宋_GB2312" w:hAnsi="宋体" w:eastAsia="仿宋_GB2312" w:cs="宋体"/>
          <w:bCs/>
          <w:sz w:val="32"/>
          <w:szCs w:val="32"/>
        </w:rPr>
        <w:t>追踪报告工作的第一责任人</w:t>
      </w:r>
      <w:r>
        <w:rPr>
          <w:rFonts w:hint="eastAsia" w:ascii="仿宋_GB2312" w:hAnsi="宋体" w:eastAsia="仿宋_GB2312" w:cs="宋体"/>
          <w:bCs/>
          <w:sz w:val="32"/>
          <w:szCs w:val="32"/>
        </w:rPr>
        <w:t>，各部门为本部门教职员工</w:t>
      </w:r>
      <w:r>
        <w:rPr>
          <w:rFonts w:ascii="仿宋_GB2312" w:hAnsi="宋体" w:eastAsia="仿宋_GB2312" w:cs="宋体"/>
          <w:bCs/>
          <w:sz w:val="32"/>
          <w:szCs w:val="32"/>
        </w:rPr>
        <w:t>因病缺勤</w:t>
      </w:r>
      <w:r>
        <w:rPr>
          <w:rFonts w:hint="eastAsia" w:ascii="仿宋_GB2312" w:hAnsi="宋体" w:eastAsia="仿宋_GB2312" w:cs="宋体"/>
          <w:bCs/>
          <w:sz w:val="32"/>
          <w:szCs w:val="32"/>
        </w:rPr>
        <w:t>登记及病因</w:t>
      </w:r>
      <w:r>
        <w:rPr>
          <w:rFonts w:ascii="仿宋_GB2312" w:hAnsi="宋体" w:eastAsia="仿宋_GB2312" w:cs="宋体"/>
          <w:bCs/>
          <w:sz w:val="32"/>
          <w:szCs w:val="32"/>
        </w:rPr>
        <w:t>追踪报告工作的第一责任人</w:t>
      </w:r>
      <w:r>
        <w:rPr>
          <w:rFonts w:hint="eastAsia" w:ascii="仿宋_GB2312" w:hAnsi="宋体" w:eastAsia="仿宋_GB2312" w:cs="宋体"/>
          <w:bCs/>
          <w:sz w:val="32"/>
          <w:szCs w:val="32"/>
        </w:rPr>
        <w:t>。学生工作处为</w:t>
      </w:r>
      <w:r>
        <w:rPr>
          <w:rFonts w:ascii="仿宋_GB2312" w:hAnsi="宋体" w:eastAsia="仿宋_GB2312" w:cs="宋体"/>
          <w:bCs/>
          <w:sz w:val="32"/>
          <w:szCs w:val="32"/>
        </w:rPr>
        <w:t>学生因病缺勤</w:t>
      </w:r>
      <w:r>
        <w:rPr>
          <w:rFonts w:hint="eastAsia" w:ascii="仿宋_GB2312" w:hAnsi="宋体" w:eastAsia="仿宋_GB2312" w:cs="宋体"/>
          <w:bCs/>
          <w:sz w:val="32"/>
          <w:szCs w:val="32"/>
        </w:rPr>
        <w:t>登记及病因</w:t>
      </w:r>
      <w:r>
        <w:rPr>
          <w:rFonts w:ascii="仿宋_GB2312" w:hAnsi="宋体" w:eastAsia="仿宋_GB2312" w:cs="宋体"/>
          <w:bCs/>
          <w:sz w:val="32"/>
          <w:szCs w:val="32"/>
        </w:rPr>
        <w:t>追踪报告工作</w:t>
      </w:r>
      <w:r>
        <w:rPr>
          <w:rFonts w:hint="eastAsia" w:ascii="仿宋_GB2312" w:hAnsi="宋体" w:eastAsia="仿宋_GB2312" w:cs="宋体"/>
          <w:bCs/>
          <w:sz w:val="32"/>
          <w:szCs w:val="32"/>
        </w:rPr>
        <w:t>的归口管理部门，人事处为教职员工</w:t>
      </w:r>
      <w:r>
        <w:rPr>
          <w:rFonts w:ascii="仿宋_GB2312" w:hAnsi="宋体" w:eastAsia="仿宋_GB2312" w:cs="宋体"/>
          <w:bCs/>
          <w:sz w:val="32"/>
          <w:szCs w:val="32"/>
        </w:rPr>
        <w:t>因病缺勤</w:t>
      </w:r>
      <w:r>
        <w:rPr>
          <w:rFonts w:hint="eastAsia" w:ascii="仿宋_GB2312" w:hAnsi="宋体" w:eastAsia="仿宋_GB2312" w:cs="宋体"/>
          <w:bCs/>
          <w:sz w:val="32"/>
          <w:szCs w:val="32"/>
        </w:rPr>
        <w:t>登记及病因</w:t>
      </w:r>
      <w:r>
        <w:rPr>
          <w:rFonts w:ascii="仿宋_GB2312" w:hAnsi="宋体" w:eastAsia="仿宋_GB2312" w:cs="宋体"/>
          <w:bCs/>
          <w:sz w:val="32"/>
          <w:szCs w:val="32"/>
        </w:rPr>
        <w:t>追踪报告工作的</w:t>
      </w:r>
      <w:r>
        <w:rPr>
          <w:rFonts w:hint="eastAsia" w:ascii="仿宋_GB2312" w:hAnsi="宋体" w:eastAsia="仿宋_GB2312" w:cs="宋体"/>
          <w:bCs/>
          <w:sz w:val="32"/>
          <w:szCs w:val="32"/>
        </w:rPr>
        <w:t>归口管理部门。学校卫生所或防控办负责向上级教育行政部门报告学校师生因病缺勤登记及病因追踪情况。</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hint="eastAsia" w:ascii="仿宋_GB2312" w:hAnsi="宋体" w:eastAsia="仿宋_GB2312" w:cs="宋体"/>
          <w:bCs/>
          <w:sz w:val="32"/>
          <w:szCs w:val="32"/>
        </w:rPr>
        <w:t xml:space="preserve">  在传染病疫情爆发期间，各班级班长、学习委员具体负责本班级学生缺勤登记和病因追踪，并将情况及时汇总上报二级学院，各二级学院每天按规定向学生工作处报告本学院情况。</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第三条  </w:t>
      </w:r>
      <w:r>
        <w:rPr>
          <w:rFonts w:hint="eastAsia" w:ascii="仿宋_GB2312" w:hAnsi="宋体" w:eastAsia="仿宋_GB2312" w:cs="宋体"/>
          <w:bCs/>
          <w:sz w:val="32"/>
          <w:szCs w:val="32"/>
        </w:rPr>
        <w:t>在传染病疫情爆发期间，各部门指定专人负责本部门教职员工缺勤登记和病因追踪，填写《教职工因病缺勤及病因追踪登记表》，每天按规定向人事处报告本学院情况。</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第四条</w:t>
      </w:r>
      <w:r>
        <w:rPr>
          <w:rFonts w:hint="eastAsia" w:ascii="仿宋_GB2312" w:hAnsi="宋体" w:eastAsia="仿宋_GB2312" w:cs="宋体"/>
          <w:bCs/>
          <w:sz w:val="32"/>
          <w:szCs w:val="32"/>
        </w:rPr>
        <w:t xml:space="preserve">  在传染病疫情爆发期间，学生因病需要请假的，需认真填写请假条（确有需要的，可先提交电子版，纸质版随后补交），详细写明请假原因（体温、症状等健康状况），按请假审批权限进行审批。辅导员负责将学生因病请假情况及时告知任课教师和相关集体活动组织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第五条</w:t>
      </w:r>
      <w:r>
        <w:rPr>
          <w:rFonts w:hint="eastAsia" w:ascii="仿宋_GB2312" w:hAnsi="宋体" w:eastAsia="仿宋_GB2312" w:cs="宋体"/>
          <w:bCs/>
          <w:sz w:val="32"/>
          <w:szCs w:val="32"/>
        </w:rPr>
        <w:t xml:space="preserve">  在传染病疫情爆发期间，辅导员要密切关注所带班级学生的出勤情况，加强对本班学生的观察询问。对因病缺勤的学生，应认真登记其患病情况和可能的病因。并在每天的《学生因病缺勤及病因追踪登记表》上详细记录。</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hint="eastAsia" w:ascii="仿宋_GB2312" w:hAnsi="宋体" w:eastAsia="仿宋_GB2312" w:cs="宋体"/>
          <w:bCs/>
          <w:sz w:val="32"/>
          <w:szCs w:val="32"/>
        </w:rPr>
        <w:t xml:space="preserve">  学生就诊后，应及时向辅导员报告就诊情况和诊断结果以及治疗方案、康复情况。辅导员要重点关心学生的身心状况，做好学生及其家人的联系沟通工作，并在《学生因病缺勤及病因追踪登记表》上详细记录学生的就诊情况、诊断结果和治疗方案、康复情况。</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第七条  </w:t>
      </w:r>
      <w:r>
        <w:rPr>
          <w:rFonts w:hint="eastAsia" w:ascii="仿宋_GB2312" w:hAnsi="宋体" w:eastAsia="仿宋_GB2312" w:cs="宋体"/>
          <w:bCs/>
          <w:sz w:val="32"/>
          <w:szCs w:val="32"/>
        </w:rPr>
        <w:t>二级学院汇总本学院因病缺勤情况，并于每天规定时间前将《学生因病缺勤及病因追踪登记表》上报学生工作处和学校卫生所。</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如发现有传染病早期症状或疑似情况时，辅导员应</w:t>
      </w:r>
      <w:r>
        <w:rPr>
          <w:rFonts w:ascii="仿宋_GB2312" w:hAnsi="宋体" w:eastAsia="仿宋_GB2312" w:cs="宋体"/>
          <w:bCs/>
          <w:sz w:val="32"/>
          <w:szCs w:val="32"/>
        </w:rPr>
        <w:t>进行必要的排查</w:t>
      </w:r>
      <w:r>
        <w:rPr>
          <w:rFonts w:hint="eastAsia" w:ascii="仿宋_GB2312" w:hAnsi="宋体" w:eastAsia="仿宋_GB2312" w:cs="宋体"/>
          <w:bCs/>
          <w:sz w:val="32"/>
          <w:szCs w:val="32"/>
        </w:rPr>
        <w:t>追踪</w:t>
      </w:r>
      <w:r>
        <w:rPr>
          <w:rFonts w:ascii="仿宋_GB2312" w:hAnsi="宋体" w:eastAsia="仿宋_GB2312" w:cs="宋体"/>
          <w:bCs/>
          <w:sz w:val="32"/>
          <w:szCs w:val="32"/>
        </w:rPr>
        <w:t>，并将学生因病缺勤及病因排查结果登记在</w:t>
      </w:r>
      <w:r>
        <w:rPr>
          <w:rFonts w:hint="eastAsia" w:ascii="仿宋_GB2312" w:hAnsi="宋体" w:eastAsia="仿宋_GB2312" w:cs="宋体"/>
          <w:bCs/>
          <w:sz w:val="32"/>
          <w:szCs w:val="32"/>
        </w:rPr>
        <w:t>《学生因病缺勤及病因追踪登记表》，并及时报告学生工作处和学学校卫生所。</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hint="eastAsia" w:ascii="仿宋_GB2312" w:hAnsi="宋体" w:eastAsia="仿宋_GB2312" w:cs="宋体"/>
          <w:bCs/>
          <w:sz w:val="32"/>
          <w:szCs w:val="32"/>
        </w:rPr>
        <w:t xml:space="preserve">  因传染病缺勤的学生，经治愈后，应提供医疗机构的痊愈证明，经学校卫生所、二级学院、学生工作处审核后，持《柳州职业技术学院学生因病缺勤复课证明》，办理复课手续后，参加教学以及其它集体活动。</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第十条 </w:t>
      </w:r>
      <w:r>
        <w:rPr>
          <w:rFonts w:hint="eastAsia" w:ascii="仿宋_GB2312" w:hAnsi="宋体" w:eastAsia="仿宋_GB2312" w:cs="宋体"/>
          <w:bCs/>
          <w:sz w:val="32"/>
          <w:szCs w:val="32"/>
        </w:rPr>
        <w:t xml:space="preserve"> 按规定应当进行健康观察和隔离治疗的学生，必须进入学校健康观察区或医学隔离区进行观察。观察或隔离期满，经学校卫生所同意，发放《柳州职业技术学院学生健康观察隔离期满复课证明》，办理复课手续后，参加教学以及其它集体活动。</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第十一条 </w:t>
      </w:r>
      <w:r>
        <w:rPr>
          <w:rFonts w:hint="eastAsia" w:ascii="仿宋_GB2312" w:hAnsi="宋体" w:eastAsia="仿宋_GB2312" w:cs="宋体"/>
          <w:bCs/>
          <w:sz w:val="32"/>
          <w:szCs w:val="32"/>
        </w:rPr>
        <w:t xml:space="preserve"> 确诊传染病的教职员工经医疗治愈后，需向所在部门及人事处出具医疗机构痊愈证明，经核验后方可销假返校复工。</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第十二条</w:t>
      </w:r>
      <w:r>
        <w:rPr>
          <w:rFonts w:hint="eastAsia" w:ascii="仿宋_GB2312" w:hAnsi="宋体" w:eastAsia="仿宋_GB2312" w:cs="宋体"/>
          <w:bCs/>
          <w:sz w:val="32"/>
          <w:szCs w:val="32"/>
        </w:rPr>
        <w:t xml:space="preserve">  本制度自发布之日起实施，由人事处、学生工作处、后勤与资产管理处负责解释。</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pacing w:val="-8"/>
          <w:sz w:val="32"/>
          <w:szCs w:val="32"/>
        </w:rPr>
      </w:pPr>
      <w:r>
        <w:rPr>
          <w:rFonts w:hint="eastAsia" w:ascii="仿宋_GB2312" w:hAnsi="宋体" w:eastAsia="仿宋_GB2312" w:cs="宋体"/>
          <w:bCs/>
          <w:sz w:val="32"/>
          <w:szCs w:val="32"/>
        </w:rPr>
        <w:t>附件：1.</w:t>
      </w:r>
      <w:r>
        <w:rPr>
          <w:rFonts w:hint="eastAsia" w:ascii="仿宋_GB2312" w:hAnsi="宋体" w:eastAsia="仿宋_GB2312" w:cs="宋体"/>
          <w:bCs/>
          <w:spacing w:val="-8"/>
          <w:sz w:val="32"/>
          <w:szCs w:val="32"/>
        </w:rPr>
        <w:t>柳州职业技术学院学生因病缺勤及病因追踪登记表</w:t>
      </w:r>
    </w:p>
    <w:p>
      <w:pPr>
        <w:pageBreakBefore w:val="0"/>
        <w:kinsoku/>
        <w:wordWrap/>
        <w:overflowPunct/>
        <w:topLinePunct w:val="0"/>
        <w:autoSpaceDE/>
        <w:autoSpaceDN/>
        <w:bidi w:val="0"/>
        <w:spacing w:line="570" w:lineRule="exact"/>
        <w:ind w:firstLine="1600" w:firstLineChars="5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2.柳州职业技术学院教职工因病缺勤及病因追踪登</w:t>
      </w:r>
    </w:p>
    <w:p>
      <w:pPr>
        <w:pageBreakBefore w:val="0"/>
        <w:kinsoku/>
        <w:wordWrap/>
        <w:overflowPunct/>
        <w:topLinePunct w:val="0"/>
        <w:autoSpaceDE/>
        <w:autoSpaceDN/>
        <w:bidi w:val="0"/>
        <w:spacing w:line="570" w:lineRule="exact"/>
        <w:ind w:firstLine="1920" w:firstLineChars="600"/>
        <w:outlineLvl w:val="9"/>
        <w:rPr>
          <w:rFonts w:ascii="仿宋_GB2312" w:hAnsi="宋体" w:eastAsia="仿宋_GB2312" w:cs="宋体"/>
          <w:bCs/>
          <w:sz w:val="32"/>
          <w:szCs w:val="32"/>
        </w:rPr>
      </w:pPr>
      <w:r>
        <w:rPr>
          <w:rFonts w:hint="eastAsia" w:ascii="仿宋_GB2312" w:hAnsi="宋体" w:eastAsia="仿宋_GB2312" w:cs="宋体"/>
          <w:bCs/>
          <w:sz w:val="32"/>
          <w:szCs w:val="32"/>
        </w:rPr>
        <w:t>记表</w:t>
      </w:r>
    </w:p>
    <w:p>
      <w:pPr>
        <w:pageBreakBefore w:val="0"/>
        <w:kinsoku/>
        <w:wordWrap/>
        <w:overflowPunct/>
        <w:topLinePunct w:val="0"/>
        <w:autoSpaceDE/>
        <w:autoSpaceDN/>
        <w:bidi w:val="0"/>
        <w:spacing w:line="570" w:lineRule="exact"/>
        <w:ind w:firstLine="1600" w:firstLineChars="500"/>
        <w:outlineLvl w:val="9"/>
        <w:rPr>
          <w:rFonts w:ascii="仿宋_GB2312" w:hAnsi="宋体" w:eastAsia="仿宋_GB2312" w:cs="宋体"/>
          <w:bCs/>
          <w:sz w:val="32"/>
          <w:szCs w:val="32"/>
        </w:rPr>
      </w:pPr>
      <w:r>
        <w:rPr>
          <w:rFonts w:hint="eastAsia" w:ascii="仿宋_GB2312" w:hAnsi="宋体" w:eastAsia="仿宋_GB2312" w:cs="宋体"/>
          <w:bCs/>
          <w:sz w:val="32"/>
          <w:szCs w:val="32"/>
        </w:rPr>
        <w:t>3.柳州职业技术学院学生因病缺勤复课证明</w:t>
      </w:r>
    </w:p>
    <w:p>
      <w:pPr>
        <w:pageBreakBefore w:val="0"/>
        <w:kinsoku/>
        <w:wordWrap/>
        <w:overflowPunct/>
        <w:topLinePunct w:val="0"/>
        <w:autoSpaceDE/>
        <w:autoSpaceDN/>
        <w:bidi w:val="0"/>
        <w:spacing w:line="570" w:lineRule="exact"/>
        <w:ind w:firstLine="1600" w:firstLineChars="500"/>
        <w:outlineLvl w:val="9"/>
        <w:rPr>
          <w:rFonts w:ascii="仿宋_GB2312" w:hAnsi="宋体" w:eastAsia="仿宋_GB2312" w:cs="宋体"/>
          <w:bCs/>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2098" w:right="1474" w:bottom="1985" w:left="1588" w:header="851" w:footer="1559" w:gutter="0"/>
          <w:pgNumType w:fmt="decimal"/>
          <w:cols w:space="720" w:num="1"/>
          <w:docGrid w:type="linesAndChars" w:linePitch="584" w:charSpace="0"/>
        </w:sectPr>
      </w:pPr>
      <w:r>
        <w:rPr>
          <w:rFonts w:hint="eastAsia" w:ascii="仿宋_GB2312" w:hAnsi="宋体" w:eastAsia="仿宋_GB2312" w:cs="宋体"/>
          <w:bCs/>
          <w:sz w:val="32"/>
          <w:szCs w:val="32"/>
        </w:rPr>
        <w:t>4.</w:t>
      </w:r>
      <w:r>
        <w:rPr>
          <w:rFonts w:hint="eastAsia" w:ascii="仿宋_GB2312" w:hAnsi="宋体" w:eastAsia="仿宋_GB2312" w:cs="宋体"/>
          <w:bCs/>
          <w:spacing w:val="-8"/>
          <w:sz w:val="32"/>
          <w:szCs w:val="32"/>
        </w:rPr>
        <w:t>柳州职业技术学院学生健康观察隔离期满复课证明</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0"/>
        <w:rPr>
          <w:rFonts w:hint="eastAsia"/>
          <w:b/>
          <w:color w:val="000000"/>
          <w:sz w:val="36"/>
          <w:szCs w:val="36"/>
        </w:rPr>
      </w:pPr>
      <w:bookmarkStart w:id="238" w:name="_Toc6036"/>
      <w:bookmarkStart w:id="239" w:name="_Toc16178"/>
      <w:bookmarkStart w:id="240" w:name="_Toc9930"/>
      <w:r>
        <w:rPr>
          <w:rFonts w:hint="eastAsia"/>
          <w:b/>
          <w:color w:val="000000"/>
          <w:sz w:val="36"/>
          <w:szCs w:val="36"/>
        </w:rPr>
        <w:t>柳州职业技术学院传染病防控学生健康教育制度（试行）</w:t>
      </w:r>
      <w:bookmarkEnd w:id="238"/>
      <w:bookmarkEnd w:id="239"/>
      <w:bookmarkEnd w:id="240"/>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保障学校学生的身体健康，提高学生的健康水平，加强学生传染病防控知识普及，预防和控制传染病在校园内的发生传播，根据《中华人民共和国传染病防治法》、《学校卫生工作条例》等法律法规和文件精神，结合学校实际，制订本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学校成立传染病防控健康教育领导小组，健全工作机制，负责指导、管理、组织传染病防控健康教育工作。定期召开会议，专题研究传染病健康教育工作，制定年度工作计划。</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第二条  </w:t>
      </w:r>
      <w:r>
        <w:rPr>
          <w:rFonts w:hint="eastAsia" w:ascii="仿宋_GB2312" w:hAnsi="宋体" w:eastAsia="仿宋_GB2312" w:cs="宋体"/>
          <w:bCs/>
          <w:sz w:val="32"/>
          <w:szCs w:val="32"/>
        </w:rPr>
        <w:t>学校传染病防控应坚持以人为本、预防为主的方针，按照早发现、早诊断、早隔离、早治疗的防治原则，严格执行相关法律法规，建立传染病学生管理机制，积极开展健康知识和传染病预防知识的宣传教育活动。</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学校传染病防控健康教育工作的主要任务为：开展学校各类传染病防控健康教育；负责常见病和传染病的防治、管理和宣传教育；对影响学生健康的有害因素实施监测、预警和干预。</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第四条 </w:t>
      </w:r>
      <w:r>
        <w:rPr>
          <w:rFonts w:hint="eastAsia" w:ascii="仿宋_GB2312" w:hAnsi="宋体" w:eastAsia="仿宋_GB2312" w:cs="宋体"/>
          <w:bCs/>
          <w:sz w:val="32"/>
          <w:szCs w:val="32"/>
        </w:rPr>
        <w:t xml:space="preserve"> 相关部门要充分利用各自优势，通过宣传栏、校园广播、校园网、新媒体平台、微信公众号等方式，在全校范围内开展公共卫生健康、传染病和常见病预防知识的宣传教育，使学生充分了解常见疾病和传染病的基本知识，提高防病意识，形成良好的生活习惯、健康的生活方式。</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第五条 </w:t>
      </w:r>
      <w:r>
        <w:rPr>
          <w:rFonts w:hint="eastAsia" w:ascii="仿宋_GB2312" w:hAnsi="宋体" w:eastAsia="仿宋_GB2312" w:cs="宋体"/>
          <w:bCs/>
          <w:sz w:val="32"/>
          <w:szCs w:val="32"/>
        </w:rPr>
        <w:t xml:space="preserve"> 学生传染病防控教育内容：如何有效预防传染病（如勤洗手、常喝水、保证充足睡眠、合理饮食、坚持体育锻炼等）、常见传染病基础知识（如流行性感冒、肺结核、流行性腮腺炎等）、正确认识传染病（不恐慌、不过分焦虑、积极配合治疗等）、良好生活方式和行为习惯教育（坚持规律作息、室内常通风透气、勤换洗衣物、维护公共卫生等），各相关部门可针对性的丰富教育内容，创新教育方式。</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第六条 </w:t>
      </w:r>
      <w:r>
        <w:rPr>
          <w:rFonts w:hint="eastAsia" w:ascii="仿宋_GB2312" w:hAnsi="宋体" w:eastAsia="仿宋_GB2312" w:cs="宋体"/>
          <w:bCs/>
          <w:sz w:val="32"/>
          <w:szCs w:val="32"/>
        </w:rPr>
        <w:t xml:space="preserve"> 教务与实训管理处要丰富学校选修课程，开设健康教育相关选修课程，将常见传染病的防控知识融入课堂，可采取网络选修课的方式让学生主动学习。</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第七条  </w:t>
      </w:r>
      <w:r>
        <w:rPr>
          <w:rFonts w:hint="eastAsia" w:ascii="仿宋_GB2312" w:hAnsi="宋体" w:eastAsia="仿宋_GB2312" w:cs="宋体"/>
          <w:bCs/>
          <w:sz w:val="32"/>
          <w:szCs w:val="32"/>
        </w:rPr>
        <w:t>校团委、学生工作处、校卫生所在全校范围内开展知识竞赛、专题讲座、有奖问答、志愿签名、发放纪念品等相关疾病的防控知识宣传，增强学生的防病意识，使健康防病观念深入人心。不定期邀请校外医学专家进校开展健康讲座。</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发挥环境育人作用，后勤与资产管理处负责改善教学卫生条件，保障学校公共场所通风换气，设置洗手设施等；负责学校食堂和饮用水的卫生管理，防止食源性和水源性传染病的发生；做好教学区、学生生活区及校园环境卫生工作；对学校厕所、垃圾箱、污水定期进行严格消毒处理。校卫生所定期制作张贴传染病宣传板报。</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hint="eastAsia" w:ascii="仿宋_GB2312" w:hAnsi="宋体" w:eastAsia="仿宋_GB2312" w:cs="宋体"/>
          <w:bCs/>
          <w:sz w:val="32"/>
          <w:szCs w:val="32"/>
        </w:rPr>
        <w:t xml:space="preserve">  各二级学院结合学院实际制定学生传染病防控教育工作计划，定期开展学生传染病防控知识宣传教育，做好年度工作总结反思，不断提高学生传染病防控知识教育成效。</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学校大学生心理健康教育与咨询中心开展大学生心理健康教育与咨询服务，规范学校心理咨询和心理治疗的管理，帮助学生培养良好的心理素质。</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第十一条</w:t>
      </w:r>
      <w:r>
        <w:rPr>
          <w:rFonts w:hint="eastAsia" w:ascii="仿宋_GB2312" w:hAnsi="宋体" w:eastAsia="仿宋_GB2312" w:cs="宋体"/>
          <w:bCs/>
          <w:sz w:val="32"/>
          <w:szCs w:val="32"/>
        </w:rPr>
        <w:t xml:space="preserve">  学生工作处、各二级学院、通识教育学院组织学生参与体育运动活动或课程，鼓励学生参与体育锻炼，增强体质，提高各种疾病的抵抗力和免疫力。</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第十二条 </w:t>
      </w:r>
      <w:r>
        <w:rPr>
          <w:rFonts w:hint="eastAsia" w:ascii="仿宋_GB2312" w:hAnsi="宋体" w:eastAsia="仿宋_GB2312" w:cs="宋体"/>
          <w:bCs/>
          <w:sz w:val="32"/>
          <w:szCs w:val="32"/>
        </w:rPr>
        <w:t xml:space="preserve"> 学校责任部门及时准确、公开透明发布相关信息，加强政策措施的宣传解读，教育引导学生不造谣、不信谣、不传谣。</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第十三条  </w:t>
      </w:r>
      <w:r>
        <w:rPr>
          <w:rFonts w:hint="eastAsia" w:ascii="仿宋_GB2312" w:hAnsi="宋体" w:eastAsia="仿宋_GB2312" w:cs="宋体"/>
          <w:bCs/>
          <w:sz w:val="32"/>
          <w:szCs w:val="32"/>
        </w:rPr>
        <w:t>任何部门和个人发现传染病病人或者疑似传染病病人时，应按照法定程序和有关规定及时报告。学校一旦发生学生传染病暴发流行，要立即启动学校公共卫生事件应急处理预案。</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第十四条</w:t>
      </w:r>
      <w:r>
        <w:rPr>
          <w:rFonts w:hint="eastAsia" w:ascii="仿宋_GB2312" w:hAnsi="宋体" w:eastAsia="仿宋_GB2312" w:cs="宋体"/>
          <w:bCs/>
          <w:sz w:val="32"/>
          <w:szCs w:val="32"/>
        </w:rPr>
        <w:t xml:space="preserve">  本制度自发布之日起实施，由学生工作处、后勤与资产管理处负责解释。</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41" w:name="_Toc14980"/>
      <w:bookmarkStart w:id="242" w:name="_Toc25560"/>
      <w:bookmarkStart w:id="243" w:name="_Toc27853"/>
      <w:r>
        <w:rPr>
          <w:rFonts w:hint="eastAsia"/>
          <w:b/>
          <w:color w:val="000000"/>
          <w:sz w:val="36"/>
          <w:szCs w:val="36"/>
        </w:rPr>
        <w:t>柳州职业技术学院学生晨午检制度（试行）</w:t>
      </w:r>
      <w:bookmarkEnd w:id="241"/>
      <w:bookmarkEnd w:id="242"/>
      <w:bookmarkEnd w:id="243"/>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ascii="仿宋_GB2312" w:hAnsi="宋体" w:eastAsia="仿宋_GB2312" w:cs="宋体"/>
          <w:bCs/>
          <w:sz w:val="32"/>
          <w:szCs w:val="32"/>
        </w:rPr>
        <w:t>为</w:t>
      </w:r>
      <w:r>
        <w:rPr>
          <w:rFonts w:hint="eastAsia" w:ascii="仿宋_GB2312" w:hAnsi="宋体" w:eastAsia="仿宋_GB2312" w:cs="宋体"/>
          <w:bCs/>
          <w:sz w:val="32"/>
          <w:szCs w:val="32"/>
        </w:rPr>
        <w:t>了做好传染病预防控制工作，</w:t>
      </w:r>
      <w:r>
        <w:rPr>
          <w:rFonts w:ascii="仿宋_GB2312" w:hAnsi="宋体" w:eastAsia="仿宋_GB2312" w:cs="宋体"/>
          <w:bCs/>
          <w:sz w:val="32"/>
          <w:szCs w:val="32"/>
        </w:rPr>
        <w:t>做到早发现、早报告、早隔离、旱治疗，</w:t>
      </w:r>
      <w:r>
        <w:rPr>
          <w:rFonts w:hint="eastAsia" w:ascii="仿宋_GB2312" w:hAnsi="宋体" w:eastAsia="仿宋_GB2312" w:cs="宋体"/>
          <w:bCs/>
          <w:sz w:val="32"/>
          <w:szCs w:val="32"/>
        </w:rPr>
        <w:t>切实</w:t>
      </w:r>
      <w:r>
        <w:rPr>
          <w:rFonts w:ascii="仿宋_GB2312" w:hAnsi="宋体" w:eastAsia="仿宋_GB2312" w:cs="宋体"/>
          <w:bCs/>
          <w:sz w:val="32"/>
          <w:szCs w:val="32"/>
        </w:rPr>
        <w:t>保障广大师生的身体健康和生命安全，维护学校正常的教育教学秩序，</w:t>
      </w:r>
      <w:r>
        <w:rPr>
          <w:rFonts w:hint="eastAsia" w:ascii="仿宋_GB2312" w:hAnsi="宋体" w:eastAsia="仿宋_GB2312" w:cs="宋体"/>
          <w:bCs/>
          <w:sz w:val="32"/>
          <w:szCs w:val="32"/>
        </w:rPr>
        <w:t>根据《学校卫生工作条例》、《普通高等学校传染病预防控制指南》（WS/T642-2019）等法规,结合我校实际，</w:t>
      </w:r>
      <w:r>
        <w:rPr>
          <w:rFonts w:ascii="仿宋_GB2312" w:hAnsi="宋体" w:eastAsia="仿宋_GB2312" w:cs="宋体"/>
          <w:bCs/>
          <w:sz w:val="32"/>
          <w:szCs w:val="32"/>
        </w:rPr>
        <w:t>特制定本制度。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 xml:space="preserve"> 学校发生传染病疫情时，同一个宿舍或者同一个班级，1天内有3名或连续3天内有多名学生（5人以上）患病，并有相似症状（如发热、咳嗽、咳痰、咯血、腹泻、呕吐、黄疸等），学校应在属地卫生行政部门的指导下实行晨午检。</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 xml:space="preserve"> 各班级</w:t>
      </w:r>
      <w:r>
        <w:rPr>
          <w:rFonts w:hint="eastAsia" w:ascii="仿宋_GB2312" w:hAnsi="宋体" w:eastAsia="仿宋_GB2312" w:cs="宋体"/>
          <w:bCs/>
          <w:sz w:val="32"/>
          <w:szCs w:val="32"/>
        </w:rPr>
        <w:t>辅导员</w:t>
      </w:r>
      <w:r>
        <w:rPr>
          <w:rFonts w:ascii="仿宋_GB2312" w:hAnsi="宋体" w:eastAsia="仿宋_GB2312" w:cs="宋体"/>
          <w:bCs/>
          <w:sz w:val="32"/>
          <w:szCs w:val="32"/>
        </w:rPr>
        <w:t>为学生晨午检工作的</w:t>
      </w:r>
      <w:r>
        <w:rPr>
          <w:rFonts w:hint="eastAsia" w:ascii="仿宋_GB2312" w:hAnsi="宋体" w:eastAsia="仿宋_GB2312" w:cs="宋体"/>
          <w:bCs/>
          <w:sz w:val="32"/>
          <w:szCs w:val="32"/>
        </w:rPr>
        <w:t>直接</w:t>
      </w:r>
      <w:r>
        <w:rPr>
          <w:rFonts w:ascii="仿宋_GB2312" w:hAnsi="宋体" w:eastAsia="仿宋_GB2312" w:cs="宋体"/>
          <w:bCs/>
          <w:sz w:val="32"/>
          <w:szCs w:val="32"/>
        </w:rPr>
        <w:t>责任人；各</w:t>
      </w:r>
      <w:r>
        <w:rPr>
          <w:rFonts w:hint="eastAsia" w:ascii="仿宋_GB2312" w:hAnsi="宋体" w:eastAsia="仿宋_GB2312" w:cs="宋体"/>
          <w:bCs/>
          <w:sz w:val="32"/>
          <w:szCs w:val="32"/>
        </w:rPr>
        <w:t>二</w:t>
      </w:r>
      <w:r>
        <w:rPr>
          <w:rFonts w:ascii="仿宋_GB2312" w:hAnsi="宋体" w:eastAsia="仿宋_GB2312" w:cs="宋体"/>
          <w:bCs/>
          <w:sz w:val="32"/>
          <w:szCs w:val="32"/>
        </w:rPr>
        <w:t>级</w:t>
      </w:r>
      <w:r>
        <w:rPr>
          <w:rFonts w:hint="eastAsia" w:ascii="仿宋_GB2312" w:hAnsi="宋体" w:eastAsia="仿宋_GB2312" w:cs="宋体"/>
          <w:bCs/>
          <w:sz w:val="32"/>
          <w:szCs w:val="32"/>
        </w:rPr>
        <w:t>学院主管学生工作的党总支书记（或副书记）</w:t>
      </w:r>
      <w:r>
        <w:rPr>
          <w:rFonts w:ascii="仿宋_GB2312" w:hAnsi="宋体" w:eastAsia="仿宋_GB2312" w:cs="宋体"/>
          <w:bCs/>
          <w:sz w:val="32"/>
          <w:szCs w:val="32"/>
        </w:rPr>
        <w:t>为本</w:t>
      </w:r>
      <w:r>
        <w:rPr>
          <w:rFonts w:hint="eastAsia" w:ascii="仿宋_GB2312" w:hAnsi="宋体" w:eastAsia="仿宋_GB2312" w:cs="宋体"/>
          <w:bCs/>
          <w:sz w:val="32"/>
          <w:szCs w:val="32"/>
        </w:rPr>
        <w:t>学院学生</w:t>
      </w:r>
      <w:r>
        <w:rPr>
          <w:rFonts w:ascii="仿宋_GB2312" w:hAnsi="宋体" w:eastAsia="仿宋_GB2312" w:cs="宋体"/>
          <w:bCs/>
          <w:sz w:val="32"/>
          <w:szCs w:val="32"/>
        </w:rPr>
        <w:t>晨午检工作的</w:t>
      </w:r>
      <w:r>
        <w:rPr>
          <w:rFonts w:hint="eastAsia" w:ascii="仿宋_GB2312" w:hAnsi="宋体" w:eastAsia="仿宋_GB2312" w:cs="宋体"/>
          <w:bCs/>
          <w:sz w:val="32"/>
          <w:szCs w:val="32"/>
        </w:rPr>
        <w:t>主要</w:t>
      </w:r>
      <w:r>
        <w:rPr>
          <w:rFonts w:ascii="仿宋_GB2312" w:hAnsi="宋体" w:eastAsia="仿宋_GB2312" w:cs="宋体"/>
          <w:bCs/>
          <w:sz w:val="32"/>
          <w:szCs w:val="32"/>
        </w:rPr>
        <w:t>责任人。</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第三条 </w:t>
      </w:r>
      <w:r>
        <w:rPr>
          <w:rFonts w:ascii="仿宋_GB2312" w:hAnsi="宋体" w:eastAsia="仿宋_GB2312" w:cs="宋体"/>
          <w:b/>
          <w:bCs/>
          <w:sz w:val="32"/>
          <w:szCs w:val="32"/>
        </w:rPr>
        <w:t xml:space="preserve"> </w:t>
      </w:r>
      <w:r>
        <w:rPr>
          <w:rFonts w:hint="eastAsia" w:ascii="仿宋_GB2312" w:hAnsi="宋体" w:eastAsia="仿宋_GB2312" w:cs="宋体"/>
          <w:bCs/>
          <w:sz w:val="32"/>
          <w:szCs w:val="32"/>
        </w:rPr>
        <w:t>发生传染病疫情时，各二级学院、辅导员应在学校卫生所的指导下组织督促学生进行晨午检。班级辅导员或班干部负责对各班学生进行晨午检，并做好健康情况登记。</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第四条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组织和发动楼长、楼层长，宿舍长等学生干部配合做好晨午检，充分发挥学生自我管理、自我服务作用。楼层长负责组织宿舍长对宿舍成员进行晨午检，对每个学生进行</w:t>
      </w:r>
      <w:r>
        <w:rPr>
          <w:rFonts w:ascii="仿宋_GB2312" w:hAnsi="宋体" w:eastAsia="仿宋_GB2312" w:cs="宋体"/>
          <w:bCs/>
          <w:sz w:val="32"/>
          <w:szCs w:val="32"/>
        </w:rPr>
        <w:t>体温检测并观察、询问</w:t>
      </w:r>
      <w:r>
        <w:rPr>
          <w:rFonts w:hint="eastAsia" w:ascii="仿宋_GB2312" w:hAnsi="宋体" w:eastAsia="仿宋_GB2312" w:cs="宋体"/>
          <w:bCs/>
          <w:sz w:val="32"/>
          <w:szCs w:val="32"/>
        </w:rPr>
        <w:t>健康</w:t>
      </w:r>
      <w:r>
        <w:rPr>
          <w:rFonts w:ascii="仿宋_GB2312" w:hAnsi="宋体" w:eastAsia="仿宋_GB2312" w:cs="宋体"/>
          <w:bCs/>
          <w:sz w:val="32"/>
          <w:szCs w:val="32"/>
        </w:rPr>
        <w:t>状态；</w:t>
      </w:r>
      <w:r>
        <w:rPr>
          <w:rFonts w:hint="eastAsia" w:ascii="仿宋_GB2312" w:hAnsi="宋体" w:eastAsia="仿宋_GB2312" w:cs="宋体"/>
          <w:bCs/>
          <w:sz w:val="32"/>
          <w:szCs w:val="32"/>
        </w:rPr>
        <w:t>宿管员、楼长负责对所管辖楼栋的宿舍开展晨午检的情况的监督和检查。</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第五条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晨午检一旦发现</w:t>
      </w:r>
      <w:r>
        <w:rPr>
          <w:rFonts w:hint="eastAsia" w:ascii="仿宋_GB2312" w:hAnsi="宋体" w:eastAsia="仿宋_GB2312" w:cs="宋体"/>
          <w:bCs/>
          <w:sz w:val="32"/>
          <w:szCs w:val="32"/>
        </w:rPr>
        <w:t>学生</w:t>
      </w:r>
      <w:r>
        <w:rPr>
          <w:rFonts w:ascii="仿宋_GB2312" w:hAnsi="宋体" w:eastAsia="仿宋_GB2312" w:cs="宋体"/>
          <w:bCs/>
          <w:sz w:val="32"/>
          <w:szCs w:val="32"/>
        </w:rPr>
        <w:t>有发热、咳嗽、呼吸困难等可疑症状时，</w:t>
      </w:r>
      <w:r>
        <w:rPr>
          <w:rFonts w:hint="eastAsia" w:ascii="仿宋_GB2312" w:hAnsi="宋体" w:eastAsia="仿宋_GB2312" w:cs="宋体"/>
          <w:bCs/>
          <w:sz w:val="32"/>
          <w:szCs w:val="32"/>
        </w:rPr>
        <w:t>宿舍长</w:t>
      </w:r>
      <w:r>
        <w:rPr>
          <w:rFonts w:ascii="仿宋_GB2312" w:hAnsi="宋体" w:eastAsia="仿宋_GB2312" w:cs="宋体"/>
          <w:bCs/>
          <w:sz w:val="32"/>
          <w:szCs w:val="32"/>
        </w:rPr>
        <w:t>应</w:t>
      </w:r>
      <w:r>
        <w:rPr>
          <w:rFonts w:hint="eastAsia" w:ascii="仿宋_GB2312" w:hAnsi="宋体" w:eastAsia="仿宋_GB2312" w:cs="宋体"/>
          <w:bCs/>
          <w:sz w:val="32"/>
          <w:szCs w:val="32"/>
        </w:rPr>
        <w:t>立即报告辅导员，并</w:t>
      </w:r>
      <w:r>
        <w:rPr>
          <w:rFonts w:ascii="仿宋_GB2312" w:hAnsi="宋体" w:eastAsia="仿宋_GB2312" w:cs="宋体"/>
          <w:bCs/>
          <w:sz w:val="32"/>
          <w:szCs w:val="32"/>
        </w:rPr>
        <w:t>安排</w:t>
      </w:r>
      <w:r>
        <w:rPr>
          <w:rFonts w:hint="eastAsia" w:ascii="仿宋_GB2312" w:hAnsi="宋体" w:eastAsia="仿宋_GB2312" w:cs="宋体"/>
          <w:bCs/>
          <w:sz w:val="32"/>
          <w:szCs w:val="32"/>
        </w:rPr>
        <w:t>其到学校卫生所核查，</w:t>
      </w:r>
      <w:r>
        <w:rPr>
          <w:rFonts w:ascii="仿宋_GB2312" w:hAnsi="宋体" w:eastAsia="仿宋_GB2312" w:cs="宋体"/>
          <w:bCs/>
          <w:sz w:val="32"/>
          <w:szCs w:val="32"/>
        </w:rPr>
        <w:t>按照</w:t>
      </w:r>
      <w:r>
        <w:rPr>
          <w:rFonts w:hint="eastAsia" w:ascii="仿宋_GB2312" w:hAnsi="宋体" w:eastAsia="仿宋_GB2312" w:cs="宋体"/>
          <w:bCs/>
          <w:sz w:val="32"/>
          <w:szCs w:val="32"/>
        </w:rPr>
        <w:t>传染病</w:t>
      </w:r>
      <w:r>
        <w:rPr>
          <w:rFonts w:ascii="仿宋_GB2312" w:hAnsi="宋体" w:eastAsia="仿宋_GB2312" w:cs="宋体"/>
          <w:bCs/>
          <w:sz w:val="32"/>
          <w:szCs w:val="32"/>
        </w:rPr>
        <w:t>疫情期间学校体温异常人员处置流程进行处置。</w:t>
      </w:r>
      <w:r>
        <w:rPr>
          <w:rFonts w:hint="eastAsia" w:ascii="仿宋_GB2312" w:hAnsi="宋体" w:eastAsia="仿宋_GB2312" w:cs="宋体"/>
          <w:bCs/>
          <w:sz w:val="32"/>
          <w:szCs w:val="32"/>
        </w:rPr>
        <w:t>辅导员应</w:t>
      </w:r>
      <w:r>
        <w:rPr>
          <w:rFonts w:ascii="仿宋_GB2312" w:hAnsi="宋体" w:eastAsia="仿宋_GB2312" w:cs="宋体"/>
          <w:bCs/>
          <w:sz w:val="32"/>
          <w:szCs w:val="32"/>
        </w:rPr>
        <w:t>密切配合卫生健康和</w:t>
      </w:r>
      <w:r>
        <w:rPr>
          <w:rFonts w:hint="eastAsia" w:ascii="仿宋_GB2312" w:hAnsi="宋体" w:eastAsia="仿宋_GB2312" w:cs="宋体"/>
          <w:bCs/>
          <w:sz w:val="32"/>
          <w:szCs w:val="32"/>
        </w:rPr>
        <w:t>疾控</w:t>
      </w:r>
      <w:r>
        <w:rPr>
          <w:rFonts w:ascii="仿宋_GB2312" w:hAnsi="宋体" w:eastAsia="仿宋_GB2312" w:cs="宋体"/>
          <w:bCs/>
          <w:sz w:val="32"/>
          <w:szCs w:val="32"/>
        </w:rPr>
        <w:t>部门进行调查处理</w:t>
      </w:r>
      <w:r>
        <w:rPr>
          <w:rFonts w:hint="eastAsia" w:ascii="仿宋_GB2312" w:hAnsi="宋体" w:eastAsia="仿宋_GB2312" w:cs="宋体"/>
          <w:bCs/>
          <w:sz w:val="32"/>
          <w:szCs w:val="32"/>
        </w:rPr>
        <w:t>，同时</w:t>
      </w:r>
      <w:r>
        <w:rPr>
          <w:rFonts w:ascii="仿宋_GB2312" w:hAnsi="宋体" w:eastAsia="仿宋_GB2312" w:cs="宋体"/>
          <w:bCs/>
          <w:sz w:val="32"/>
          <w:szCs w:val="32"/>
        </w:rPr>
        <w:t>做好</w:t>
      </w:r>
      <w:r>
        <w:rPr>
          <w:rFonts w:hint="eastAsia" w:ascii="仿宋_GB2312" w:hAnsi="宋体" w:eastAsia="仿宋_GB2312" w:cs="宋体"/>
          <w:bCs/>
          <w:sz w:val="32"/>
          <w:szCs w:val="32"/>
        </w:rPr>
        <w:t>晨午检异常</w:t>
      </w:r>
      <w:r>
        <w:rPr>
          <w:rFonts w:ascii="仿宋_GB2312" w:hAnsi="宋体" w:eastAsia="仿宋_GB2312" w:cs="宋体"/>
          <w:bCs/>
          <w:sz w:val="32"/>
          <w:szCs w:val="32"/>
        </w:rPr>
        <w:t>及密切</w:t>
      </w:r>
      <w:r>
        <w:rPr>
          <w:rFonts w:hint="eastAsia" w:ascii="仿宋_GB2312" w:hAnsi="宋体" w:eastAsia="仿宋_GB2312" w:cs="宋体"/>
          <w:bCs/>
          <w:sz w:val="32"/>
          <w:szCs w:val="32"/>
        </w:rPr>
        <w:t>接触学</w:t>
      </w:r>
      <w:r>
        <w:rPr>
          <w:rFonts w:ascii="仿宋_GB2312" w:hAnsi="宋体" w:eastAsia="仿宋_GB2312" w:cs="宋体"/>
          <w:bCs/>
          <w:sz w:val="32"/>
          <w:szCs w:val="32"/>
        </w:rPr>
        <w:t>生的安抚，稳定其情绪。</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hint="eastAsia" w:ascii="仿宋_GB2312" w:hAnsi="宋体" w:eastAsia="仿宋_GB2312" w:cs="宋体"/>
          <w:bCs/>
          <w:sz w:val="32"/>
          <w:szCs w:val="32"/>
        </w:rPr>
        <w:t xml:space="preserve">  外宿生晨午检由学生自行按要求完成。辅导员应做好学生及家长的宣传工作，告知学生在家发热（体温37.3度及以上）时不能返校，应立即到就近医疗机构发热门诊就诊，并及时报告辅导员</w:t>
      </w:r>
      <w:r>
        <w:rPr>
          <w:rFonts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第七条 </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晨午检时间</w:t>
      </w:r>
      <w:r>
        <w:rPr>
          <w:rFonts w:hint="eastAsia" w:ascii="仿宋_GB2312" w:hAnsi="宋体" w:eastAsia="仿宋_GB2312" w:cs="宋体"/>
          <w:bCs/>
          <w:sz w:val="32"/>
          <w:szCs w:val="32"/>
        </w:rPr>
        <w:t>以</w:t>
      </w:r>
      <w:r>
        <w:rPr>
          <w:rFonts w:ascii="仿宋_GB2312" w:hAnsi="宋体" w:eastAsia="仿宋_GB2312" w:cs="宋体"/>
          <w:bCs/>
          <w:sz w:val="32"/>
          <w:szCs w:val="32"/>
        </w:rPr>
        <w:t>外发现有可疑症状者，</w:t>
      </w:r>
      <w:r>
        <w:rPr>
          <w:rFonts w:hint="eastAsia" w:ascii="仿宋_GB2312" w:hAnsi="宋体" w:eastAsia="仿宋_GB2312" w:cs="宋体"/>
          <w:bCs/>
          <w:sz w:val="32"/>
          <w:szCs w:val="32"/>
        </w:rPr>
        <w:t>全体师生</w:t>
      </w:r>
      <w:r>
        <w:rPr>
          <w:rFonts w:ascii="仿宋_GB2312" w:hAnsi="宋体" w:eastAsia="仿宋_GB2312" w:cs="宋体"/>
          <w:bCs/>
          <w:sz w:val="32"/>
          <w:szCs w:val="32"/>
        </w:rPr>
        <w:t>有责任及时报告。</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晨午检实行日报告制度。各二级学院、辅导员应及时、准确了解学生晨午检情况，并及时做好学生因病缺课的登记和病因追踪，每天追踪了解患病学生的病情变化及诊治情况。</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学生患传染病痊愈且隔离期满时，应持学校卫生所认可的有效证明查验后方可复课、复学。患传染病的学生，根据病情、病种，按照学校学籍管理规定执行休学。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各二级学院、辅导员应加强学生教育和管理，要求全体学生主动配合做好晨午检，严禁迟报、少报、漏报、瞒报和谎报。对于刻意隐瞒、拒不配合造成后果的，根据学校学生管理相关规定给予纪律处分。</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第十一条 </w:t>
      </w:r>
      <w:r>
        <w:rPr>
          <w:rFonts w:hint="eastAsia" w:ascii="仿宋_GB2312" w:hAnsi="宋体" w:eastAsia="仿宋_GB2312" w:cs="宋体"/>
          <w:bCs/>
          <w:sz w:val="32"/>
          <w:szCs w:val="32"/>
        </w:rPr>
        <w:t xml:space="preserve"> 本制度自发布之日起实施，由学生工作处、后勤与资产管理处负责解释。</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b/>
          <w:color w:val="000000"/>
          <w:sz w:val="36"/>
          <w:szCs w:val="36"/>
        </w:rPr>
      </w:pPr>
      <w:r>
        <w:rPr>
          <w:rFonts w:ascii="仿宋_GB2312" w:hAnsi="宋体" w:eastAsia="仿宋_GB2312" w:cs="宋体"/>
          <w:bCs/>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44" w:name="_Toc9494"/>
      <w:bookmarkStart w:id="245" w:name="_Toc20123"/>
      <w:bookmarkStart w:id="246" w:name="_Toc17719"/>
      <w:r>
        <w:rPr>
          <w:rFonts w:hint="eastAsia"/>
          <w:b/>
          <w:color w:val="000000"/>
          <w:sz w:val="36"/>
          <w:szCs w:val="36"/>
        </w:rPr>
        <w:t>柳州职业技术学院环境卫生检查通报制度（试行）</w:t>
      </w:r>
      <w:bookmarkEnd w:id="244"/>
      <w:bookmarkEnd w:id="245"/>
      <w:bookmarkEnd w:id="246"/>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为加强学校环境卫生检查工作，提高师生防病防疫意识，保障师生身体健康，防止传染病疫情在校园内暴发，根据《学校卫生工作条例》等法规，特制定本制度。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建立学校环境卫生检查小组。学校检查小组成员由后勤与资产管理处、督导室、学工处、物业公司等部门人员组成，负责校园环境卫生检查工作的指导、监督和检査</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hint="eastAsia" w:ascii="仿宋_GB2312" w:hAnsi="宋体" w:eastAsia="仿宋_GB2312" w:cs="宋体"/>
          <w:bCs/>
          <w:sz w:val="32"/>
          <w:szCs w:val="32"/>
        </w:rPr>
        <w:t xml:space="preserve">  建立各二级学院、各部门检查小组。各处室、二级学院主要负责人为各自所管办公、教学实训区域的卫生检查负责人，学生工作处、二级学院、辅导员及宿管人员为学生宿舍卫生日常检查负责人，其他公共区域环境卫生日常检查由后勤与资产管理处负责。各处室、二级学院及学生宿舍建立各自的环境卫生检查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常规卫生管理与检査。常规环境卫生检查内容主要包括校园环境是否清洁，垃圾是否日产日清。办公室、实训室、教室、机房、语音室、宿舍等室内是否保持清洁，物品是否按规定有序摆放。储物室是否符合干燥、阴凉等有关要求。</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第四条</w:t>
      </w:r>
      <w:r>
        <w:rPr>
          <w:rFonts w:hint="eastAsia" w:ascii="仿宋_GB2312" w:hAnsi="宋体" w:eastAsia="仿宋_GB2312" w:cs="宋体"/>
          <w:bCs/>
          <w:sz w:val="32"/>
          <w:szCs w:val="32"/>
        </w:rPr>
        <w:t xml:space="preserve">  消毒通风管理与检査。物业公司安排专人负责消毒液的使用与管理，按学校消毒实施方案要求定期喷洒消毒液，所有办公、教学区域卫生间、食堂等公共场所配备洗手消毒用品。后勤与资产管理处定期不定期对消毒通风情况进行抽查和记录，并将存在问题督促物业公司立即进行整改。传染病高发季节及疫情期间，各二级学院、各部门应按防疫要求每日通风，并加强对办公室、教学实训区域通风检查的频次。</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第五条 </w:t>
      </w:r>
      <w:r>
        <w:rPr>
          <w:rFonts w:hint="eastAsia" w:ascii="仿宋_GB2312" w:hAnsi="宋体" w:eastAsia="仿宋_GB2312" w:cs="宋体"/>
          <w:bCs/>
          <w:sz w:val="32"/>
          <w:szCs w:val="32"/>
        </w:rPr>
        <w:t xml:space="preserve"> 规范垃圾分类处理。及时收集清运，并做好垃圾盛装容器的清洁。对于卫生所和独立隔离场所产生的垃圾要用医疗废物专用袋严密包装，并及时清运。未清运的垃圾要置于有盖的桶内，每天用有效含氯消毒液喷洒垃圾桶内外表面等。按照《医疗废物垃圾管理办法》和《生活垃圾分类制度实施方案》做好不同垃圾的分类处理。</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hint="eastAsia" w:ascii="仿宋_GB2312" w:hAnsi="宋体" w:eastAsia="仿宋_GB2312" w:cs="宋体"/>
          <w:bCs/>
          <w:sz w:val="32"/>
          <w:szCs w:val="32"/>
        </w:rPr>
        <w:t xml:space="preserve">  规范废弃口罩处置。师生废弃的口罩应投放到有指定标识口罩收集专用垃圾桶中，不得随意丢弃，不得丢弃在班级、办公室、多媒体教室、机房、宿舍等区域的其它垃圾桶中。教职员工应自觉遵守并教育引导学生正确处置废弃口罩。定点收集废弃口罩的垃圾桶由后勤与资产管理处安排物业公司派专人放置和回收，学校卫生所提供技术指导。</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第七条 </w:t>
      </w:r>
      <w:r>
        <w:rPr>
          <w:rFonts w:hint="eastAsia" w:ascii="仿宋_GB2312" w:hAnsi="宋体" w:eastAsia="仿宋_GB2312" w:cs="宋体"/>
          <w:bCs/>
          <w:sz w:val="32"/>
          <w:szCs w:val="32"/>
        </w:rPr>
        <w:t xml:space="preserve"> 环境卫生情况检查通报。各二级学院、各部门负责对所管区域（含学生宿舍）每周进行环境卫生检查并在二级学院、各部门内部通报。督导室负责学校环境卫生日常检查工作，结合每周督导通报对存在问题进行通报并提出整改。学校检查小组对各卫生区域进行不定期抽查，记录每次检查情况，对存在问题进行通报并整改。流感季节、新发传染病如新冠肺炎等疫情防控期间，学校检查小组增加检查的频次。</w:t>
      </w:r>
    </w:p>
    <w:p>
      <w:pPr>
        <w:pageBreakBefore w:val="0"/>
        <w:kinsoku/>
        <w:wordWrap/>
        <w:overflowPunct/>
        <w:topLinePunct w:val="0"/>
        <w:autoSpaceDE/>
        <w:autoSpaceDN/>
        <w:bidi w:val="0"/>
        <w:spacing w:line="570" w:lineRule="exact"/>
        <w:ind w:firstLine="643"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严肃卫生检查纪律。疫情期间，各二级学院、各部门要高度重视环境卫生，对于不按本制度执行，且多次通报整改不力的部门进行通报批评，造成严重后果的进行问责处理。</w:t>
      </w:r>
    </w:p>
    <w:p>
      <w:pPr>
        <w:pStyle w:val="3"/>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47" w:name="_Toc29849"/>
      <w:bookmarkStart w:id="248" w:name="_Toc31311"/>
      <w:bookmarkStart w:id="249" w:name="_Toc22577"/>
      <w:r>
        <w:rPr>
          <w:rFonts w:hint="eastAsia"/>
          <w:b/>
          <w:color w:val="000000"/>
          <w:sz w:val="36"/>
          <w:szCs w:val="36"/>
        </w:rPr>
        <w:t>柳州职业技术学院通风、消毒制度（试行）</w:t>
      </w:r>
      <w:bookmarkEnd w:id="247"/>
      <w:bookmarkEnd w:id="248"/>
      <w:bookmarkEnd w:id="249"/>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了有效预防传染病的发生与流行，切实把传染病防控工作落到实处，保障师生的身体健康，根据传《染病防治法》、《学校卫生工作条例》、《消毒剂使用指南》（国卫办监督函〔2020〕147号等文件精神，制定本制度。</w:t>
      </w: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第一部分  通风制度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明确责任。各二级学院、各部门落实负责人负责各自的办公区域通风工作，各学生宿舍长负责本宿舍的通风工作，各班级设立学生兼职通风员，负责上课时的教室、机房、语音室、实训实验室等教学场所的通风工作。任课老师、实验实训室管理员负责监督指导兼职通风员的工作。</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第二条 </w:t>
      </w:r>
      <w:r>
        <w:rPr>
          <w:rFonts w:hint="eastAsia" w:ascii="仿宋_GB2312" w:hAnsi="宋体" w:eastAsia="仿宋_GB2312" w:cs="宋体"/>
          <w:bCs/>
          <w:sz w:val="32"/>
          <w:szCs w:val="32"/>
        </w:rPr>
        <w:t>通风方式。根据季节采用开窗、开门或机械通风方式，教室优先采用自然通风设施，课间尽量采用开窗、吊扇通风；机房、语音室已经安装空调的区域，也可采用机械排风，如使用空调，应当符合空调使用温度规定，保证充足的新风输入，所有排风直接排到室外。</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通风时间要求。根据天气情况，室外温度在20℃以上，全天通风;低于20℃，全天通风至少3次，上午、下午、晚自习各开窗通风至少一次，每次不少于30分钟。</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第二部分  消毒制度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第四条 </w:t>
      </w:r>
      <w:r>
        <w:rPr>
          <w:rFonts w:hint="eastAsia" w:ascii="仿宋_GB2312" w:hAnsi="宋体" w:eastAsia="仿宋_GB2312" w:cs="宋体"/>
          <w:bCs/>
          <w:sz w:val="32"/>
          <w:szCs w:val="32"/>
        </w:rPr>
        <w:t>消毒范围与频率。</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（一）在无流行性传染病期发生期间，对校内办公楼、宿舍，食堂、教室、机房、语音室、实训室、图书馆、体育场馆、卫生所、饮水机、洗手间、电梯、</w:t>
      </w:r>
      <w:r>
        <w:rPr>
          <w:rFonts w:ascii="仿宋_GB2312" w:hAnsi="宋体" w:eastAsia="仿宋_GB2312" w:cs="宋体"/>
          <w:bCs/>
          <w:sz w:val="32"/>
          <w:szCs w:val="32"/>
        </w:rPr>
        <w:t>下水道</w:t>
      </w:r>
      <w:r>
        <w:rPr>
          <w:rFonts w:hint="eastAsia" w:ascii="仿宋_GB2312" w:hAnsi="宋体" w:eastAsia="仿宋_GB2312" w:cs="宋体"/>
          <w:bCs/>
          <w:sz w:val="32"/>
          <w:szCs w:val="32"/>
        </w:rPr>
        <w:t>、</w:t>
      </w:r>
      <w:r>
        <w:rPr>
          <w:rFonts w:ascii="仿宋_GB2312" w:hAnsi="宋体" w:eastAsia="仿宋_GB2312" w:cs="宋体"/>
          <w:bCs/>
          <w:sz w:val="32"/>
          <w:szCs w:val="32"/>
        </w:rPr>
        <w:t>手触摸的</w:t>
      </w:r>
      <w:r>
        <w:rPr>
          <w:rFonts w:hint="eastAsia" w:ascii="仿宋_GB2312" w:hAnsi="宋体" w:eastAsia="仿宋_GB2312" w:cs="宋体"/>
          <w:bCs/>
          <w:sz w:val="32"/>
          <w:szCs w:val="32"/>
        </w:rPr>
        <w:t>物件等工作、学习、生活场所每学期消毒一次。</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（二）在流行性传染病发生期间，按照有关疫情防控技术规程要求，对上述场进行消毒。</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第五条 </w:t>
      </w:r>
      <w:r>
        <w:rPr>
          <w:rFonts w:hint="eastAsia" w:ascii="仿宋_GB2312" w:hAnsi="宋体" w:eastAsia="仿宋_GB2312" w:cs="宋体"/>
          <w:bCs/>
          <w:sz w:val="32"/>
          <w:szCs w:val="32"/>
        </w:rPr>
        <w:t>消毒执行人。</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公共区域如操场、体育活动场所、食堂餐厅、步行楼梯、电梯等消毒消杀工作由物业公司安排专人负责。消毒人员必须佩戴防护服、防护帽、口罩、一次性手套、一次性鞋套等防护用具进行消毒工作。学生宿舍地面由物业公司进行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小面积局部区域如办公室、储藏室等室内消毒工作由各部门落实负责人自行按学校消毒用品使用指南要求执行。教室、机房、语音室、实验实训室等室内教学场所由管理员负责消毒工作，遇疫情期间消毒频次要求高时，可由管理员、上课教师组织学生对门把手、课桌椅、讲台、电脑键盘、鼠标等高频接触表面，使用酒精或消毒湿巾于每班交接前进行擦拭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（三）各部门、各场所管理员执行消毒工作有困难时，可经由部门负责人向后勤与资产管理处提出需求，由后勤与资产管理处调配资源协助进行消毒工作。</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hint="eastAsia" w:ascii="仿宋_GB2312" w:hAnsi="宋体" w:eastAsia="仿宋_GB2312" w:cs="宋体"/>
          <w:bCs/>
          <w:sz w:val="32"/>
          <w:szCs w:val="32"/>
        </w:rPr>
        <w:t xml:space="preserve"> 基本要求。</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（一）传染性疾病流行期或突发公共卫生事件爆发期，学校应在疾控部门的指导下采取适当的消毒措施。</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（二）科学合理使用消毒消杀用品，预防性消毒要遵守操作规范，确保使用安全与消毒效果，防止过度消毒。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 每次消毒后按规定做好消毒记录，包括消毒药的用药情况、用药时间、用药次数等。</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第七条</w:t>
      </w:r>
      <w:r>
        <w:rPr>
          <w:rFonts w:hint="eastAsia" w:ascii="仿宋_GB2312" w:hAnsi="宋体" w:eastAsia="仿宋_GB2312" w:cs="宋体"/>
          <w:bCs/>
          <w:sz w:val="32"/>
          <w:szCs w:val="32"/>
        </w:rPr>
        <w:t xml:space="preserve">  药品选择与使用方法。</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常用</w:t>
      </w:r>
      <w:r>
        <w:rPr>
          <w:rFonts w:ascii="仿宋_GB2312" w:hAnsi="宋体" w:eastAsia="仿宋_GB2312" w:cs="宋体"/>
          <w:bCs/>
          <w:sz w:val="32"/>
          <w:szCs w:val="32"/>
        </w:rPr>
        <w:t>消毒药品</w:t>
      </w:r>
      <w:r>
        <w:rPr>
          <w:rFonts w:hint="eastAsia" w:ascii="仿宋_GB2312" w:hAnsi="宋体" w:eastAsia="仿宋_GB2312" w:cs="宋体"/>
          <w:bCs/>
          <w:sz w:val="32"/>
          <w:szCs w:val="32"/>
        </w:rPr>
        <w:t>有含氯消毒剂、乙醇消毒液（75%酒精），药品选择及使用方法参考国家卫健委或地方卫健部门制定的《消毒剂使用指南》等文件。学校卫生所依据有关指南可制定学校的消毒指南。</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一般场所消毒。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环境物体表面可选择含氯消毒剂、二氧化氯等消毒剂擦拭、喷洒或浸泡，室内空气消毒可选择二氧化氯等消毒剂喷雾消毒，有条件可选择紫外线灯进行空气消毒。</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hint="eastAsia" w:ascii="仿宋_GB2312" w:hAnsi="宋体" w:eastAsia="仿宋_GB2312" w:cs="宋体"/>
          <w:bCs/>
          <w:sz w:val="32"/>
          <w:szCs w:val="32"/>
        </w:rPr>
        <w:t xml:space="preserve"> 食堂消毒。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食堂场所具备洗手槽，配备洗手液，餐饮具一人一具一用一消毒。其他应按照食品卫生相关管理规定执行。</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饮水机消毒。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（一）开水机每天消毒一次，使用乙醇消毒液（75%酒精）擦拭开水机出水龙头及表面，持续保持洁净。</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（二）每学期开学前联系供应商检测维护开水机，对开水机内部作消毒处理，并将出水口水样送至有资质的检测机构进行检测。</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（三）做好开水机清洁消毒、检测等工作记录备查。</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第十一条 </w:t>
      </w:r>
      <w:r>
        <w:rPr>
          <w:rFonts w:hint="eastAsia" w:ascii="仿宋_GB2312" w:hAnsi="宋体" w:eastAsia="仿宋_GB2312" w:cs="宋体"/>
          <w:bCs/>
          <w:sz w:val="32"/>
          <w:szCs w:val="32"/>
        </w:rPr>
        <w:t>卫生所消毒。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（一）校医诊疗工作前、后要安规定洗手。</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（二）治疗室、换药室每天早晚各用紫外线灯进行空气消毒一次。</w:t>
      </w:r>
      <w:r>
        <w:rPr>
          <w:rFonts w:ascii="仿宋_GB2312" w:hAnsi="宋体" w:eastAsia="仿宋_GB2312" w:cs="宋体"/>
          <w:bCs/>
          <w:sz w:val="32"/>
          <w:szCs w:val="32"/>
        </w:rPr>
        <w:t>紫外线灯消毒超过 1000 小时要更换。观察床用品至少每周清洗消毒一次，遇污染应及时更换、清洗、消毒。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w:t>
      </w:r>
      <w:r>
        <w:rPr>
          <w:rFonts w:ascii="仿宋_GB2312" w:hAnsi="宋体" w:eastAsia="仿宋_GB2312" w:cs="宋体"/>
          <w:bCs/>
          <w:sz w:val="32"/>
          <w:szCs w:val="32"/>
        </w:rPr>
        <w:t>体温表（腋表）用75%的酒精或有效氯含量500mg/L的消毒液浸泡30分钟，用清水冲洗，再用消毒纱布擦干，存放于清洁的容器内备用。一用一消毒，消毒液每日更换，盛放体温表的容器应每周进行一次彻底清洁和消毒。常规器械消毒灭菌合格率应达到100%，器械浸泡液每周更换一次，并注明更换日期、消毒液名称和浓度。无菌溶液要注明开瓶时间及用法。冰箱消毒保养1次/周，物品放置有序。</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w:t>
      </w:r>
      <w:r>
        <w:rPr>
          <w:rFonts w:ascii="仿宋_GB2312" w:hAnsi="宋体" w:eastAsia="仿宋_GB2312" w:cs="宋体"/>
          <w:bCs/>
          <w:sz w:val="32"/>
          <w:szCs w:val="32"/>
        </w:rPr>
        <w:t>无菌物品均要写明灭菌日期，有灭菌指示带，灭菌有效期为7天。无菌物品与污染物品分开放置。</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（五）</w:t>
      </w:r>
      <w:r>
        <w:rPr>
          <w:rFonts w:ascii="仿宋_GB2312" w:hAnsi="宋体" w:eastAsia="仿宋_GB2312" w:cs="宋体"/>
          <w:bCs/>
          <w:sz w:val="32"/>
          <w:szCs w:val="32"/>
        </w:rPr>
        <w:t>凡一次性医疗卫生用品使用后应妥当收集保管，浸泡消毒后进行毁形，按医疗垃圾要求处理。</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第十二条</w:t>
      </w:r>
      <w:r>
        <w:rPr>
          <w:rFonts w:hint="eastAsia" w:ascii="仿宋_GB2312" w:hAnsi="宋体" w:eastAsia="仿宋_GB2312" w:cs="宋体"/>
          <w:bCs/>
          <w:sz w:val="32"/>
          <w:szCs w:val="32"/>
        </w:rPr>
        <w:t xml:space="preserve"> 消毒消杀物品使用管理</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ascii="仿宋_GB2312" w:hAnsi="宋体" w:eastAsia="仿宋_GB2312" w:cs="宋体"/>
          <w:bCs/>
          <w:sz w:val="32"/>
          <w:szCs w:val="32"/>
        </w:rPr>
        <w:t>学校指派专人负责消毒</w:t>
      </w:r>
      <w:r>
        <w:rPr>
          <w:rFonts w:hint="eastAsia" w:ascii="仿宋_GB2312" w:hAnsi="宋体" w:eastAsia="仿宋_GB2312" w:cs="宋体"/>
          <w:bCs/>
          <w:sz w:val="32"/>
          <w:szCs w:val="32"/>
        </w:rPr>
        <w:t>消杀用品管理</w:t>
      </w:r>
      <w:r>
        <w:rPr>
          <w:rFonts w:ascii="仿宋_GB2312" w:hAnsi="宋体" w:eastAsia="仿宋_GB2312" w:cs="宋体"/>
          <w:bCs/>
          <w:sz w:val="32"/>
          <w:szCs w:val="32"/>
        </w:rPr>
        <w:t>工作</w:t>
      </w:r>
      <w:r>
        <w:rPr>
          <w:rFonts w:hint="eastAsia" w:ascii="仿宋_GB2312" w:hAnsi="宋体" w:eastAsia="仿宋_GB2312" w:cs="宋体"/>
          <w:bCs/>
          <w:sz w:val="32"/>
          <w:szCs w:val="32"/>
        </w:rPr>
        <w:t>，</w:t>
      </w:r>
      <w:r>
        <w:rPr>
          <w:rFonts w:ascii="仿宋_GB2312" w:hAnsi="宋体" w:eastAsia="仿宋_GB2312" w:cs="宋体"/>
          <w:bCs/>
          <w:sz w:val="32"/>
          <w:szCs w:val="32"/>
        </w:rPr>
        <w:t>后勤</w:t>
      </w:r>
      <w:r>
        <w:rPr>
          <w:rFonts w:hint="eastAsia" w:ascii="仿宋_GB2312" w:hAnsi="宋体" w:eastAsia="仿宋_GB2312" w:cs="宋体"/>
          <w:bCs/>
          <w:sz w:val="32"/>
          <w:szCs w:val="32"/>
        </w:rPr>
        <w:t>与资产管理处</w:t>
      </w:r>
      <w:r>
        <w:rPr>
          <w:rFonts w:ascii="仿宋_GB2312" w:hAnsi="宋体" w:eastAsia="仿宋_GB2312" w:cs="宋体"/>
          <w:bCs/>
          <w:sz w:val="32"/>
          <w:szCs w:val="32"/>
        </w:rPr>
        <w:t>负责监督、指导</w:t>
      </w:r>
      <w:r>
        <w:rPr>
          <w:rFonts w:hint="eastAsia" w:ascii="仿宋_GB2312" w:hAnsi="宋体" w:eastAsia="仿宋_GB2312" w:cs="宋体"/>
          <w:bCs/>
          <w:sz w:val="32"/>
          <w:szCs w:val="32"/>
        </w:rPr>
        <w:t>物业公司</w:t>
      </w:r>
      <w:r>
        <w:rPr>
          <w:rFonts w:ascii="仿宋_GB2312" w:hAnsi="宋体" w:eastAsia="仿宋_GB2312" w:cs="宋体"/>
          <w:bCs/>
          <w:sz w:val="32"/>
          <w:szCs w:val="32"/>
        </w:rPr>
        <w:t>消毒员消毒工作。</w:t>
      </w:r>
      <w:r>
        <w:rPr>
          <w:rFonts w:hint="eastAsia" w:ascii="仿宋_GB2312" w:hAnsi="宋体" w:eastAsia="仿宋_GB2312" w:cs="宋体"/>
          <w:bCs/>
          <w:sz w:val="32"/>
          <w:szCs w:val="32"/>
        </w:rPr>
        <w:t>消毒消杀用品使用按照《柳州职业技术学院消毒消杀用品使用管理制度》执行。</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第十三条</w:t>
      </w:r>
      <w:r>
        <w:rPr>
          <w:rFonts w:hint="eastAsia" w:ascii="仿宋_GB2312" w:hAnsi="宋体" w:eastAsia="仿宋_GB2312" w:cs="宋体"/>
          <w:bCs/>
          <w:sz w:val="32"/>
          <w:szCs w:val="32"/>
        </w:rPr>
        <w:t xml:space="preserve">  本制度自发布之日起实施，由后勤与资产管理处负责解释。</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 xml:space="preserve">     </w:t>
      </w:r>
    </w:p>
    <w:p>
      <w:pPr>
        <w:pageBreakBefore w:val="0"/>
        <w:kinsoku/>
        <w:wordWrap/>
        <w:overflowPunct/>
        <w:topLinePunct w:val="0"/>
        <w:autoSpaceDE/>
        <w:autoSpaceDN/>
        <w:bidi w:val="0"/>
        <w:spacing w:line="596" w:lineRule="exact"/>
        <w:jc w:val="left"/>
        <w:outlineLvl w:val="9"/>
        <w:rPr>
          <w:rFonts w:ascii="黑体" w:eastAsia="黑体"/>
          <w:sz w:val="32"/>
          <w:szCs w:val="32"/>
        </w:rPr>
      </w:pPr>
      <w:r>
        <w:rPr>
          <w:rFonts w:ascii="仿宋_GB2312" w:hAnsi="宋体" w:eastAsia="仿宋_GB2312" w:cs="宋体"/>
          <w:bCs/>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50" w:name="_Toc14320"/>
      <w:bookmarkStart w:id="251" w:name="_Toc25403"/>
      <w:bookmarkStart w:id="252" w:name="_Toc10725"/>
      <w:r>
        <w:rPr>
          <w:rFonts w:hint="eastAsia"/>
          <w:b/>
          <w:color w:val="000000"/>
          <w:sz w:val="36"/>
          <w:szCs w:val="36"/>
        </w:rPr>
        <w:t>柳州职业技术学院消毒消杀用品使用管理制度（试行）</w:t>
      </w:r>
      <w:bookmarkEnd w:id="250"/>
      <w:bookmarkEnd w:id="251"/>
      <w:bookmarkEnd w:id="252"/>
    </w:p>
    <w:p>
      <w:pPr>
        <w:pageBreakBefore w:val="0"/>
        <w:kinsoku/>
        <w:wordWrap/>
        <w:overflowPunct/>
        <w:topLinePunct w:val="0"/>
        <w:autoSpaceDE/>
        <w:autoSpaceDN/>
        <w:bidi w:val="0"/>
        <w:outlineLvl w:val="9"/>
        <w:rPr>
          <w:rFonts w:ascii="仿宋" w:hAnsi="仿宋" w:eastAsia="仿宋"/>
          <w:szCs w:val="28"/>
        </w:rPr>
      </w:pPr>
      <w:r>
        <w:rPr>
          <w:rFonts w:hint="eastAsia" w:ascii="仿宋" w:hAnsi="仿宋" w:eastAsia="仿宋"/>
          <w:szCs w:val="28"/>
        </w:rPr>
        <w:t xml:space="preserve">    </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ascii="仿宋_GB2312" w:hAnsi="宋体" w:eastAsia="仿宋_GB2312" w:cs="宋体"/>
          <w:bCs/>
          <w:sz w:val="32"/>
          <w:szCs w:val="32"/>
        </w:rPr>
        <w:t>为切实做好学校</w:t>
      </w:r>
      <w:r>
        <w:rPr>
          <w:rFonts w:hint="eastAsia" w:ascii="仿宋_GB2312" w:hAnsi="宋体" w:eastAsia="仿宋_GB2312" w:cs="宋体"/>
          <w:bCs/>
          <w:sz w:val="32"/>
          <w:szCs w:val="32"/>
        </w:rPr>
        <w:t>传染病</w:t>
      </w:r>
      <w:r>
        <w:rPr>
          <w:rFonts w:ascii="仿宋_GB2312" w:hAnsi="宋体" w:eastAsia="仿宋_GB2312" w:cs="宋体"/>
          <w:bCs/>
          <w:sz w:val="32"/>
          <w:szCs w:val="32"/>
        </w:rPr>
        <w:t>防控工作，规范防疫物资特别是消毒消杀用品的保存、使用、管理等方面工作，防止消毒消杀用品在使用与管理过程中发生安全问题，</w:t>
      </w:r>
      <w:r>
        <w:rPr>
          <w:rFonts w:hint="eastAsia" w:ascii="仿宋_GB2312" w:hAnsi="宋体" w:eastAsia="仿宋_GB2312" w:cs="宋体"/>
          <w:bCs/>
          <w:sz w:val="32"/>
          <w:szCs w:val="32"/>
        </w:rPr>
        <w:t>根据《消毒剂使用指南》（国卫办监督函〔2020〕147号等文件，</w:t>
      </w:r>
      <w:r>
        <w:rPr>
          <w:rFonts w:ascii="仿宋_GB2312" w:hAnsi="宋体" w:eastAsia="仿宋_GB2312" w:cs="宋体"/>
          <w:bCs/>
          <w:sz w:val="32"/>
          <w:szCs w:val="32"/>
        </w:rPr>
        <w:t>制定本制度。</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消毒消杀用品的使用管理要遵循</w:t>
      </w:r>
      <w:r>
        <w:rPr>
          <w:rFonts w:hint="eastAsia" w:ascii="仿宋_GB2312" w:hAnsi="宋体" w:eastAsia="仿宋_GB2312" w:cs="宋体"/>
          <w:bCs/>
          <w:sz w:val="32"/>
          <w:szCs w:val="32"/>
        </w:rPr>
        <w:t>保障</w:t>
      </w:r>
      <w:r>
        <w:rPr>
          <w:rFonts w:ascii="仿宋_GB2312" w:hAnsi="宋体" w:eastAsia="仿宋_GB2312" w:cs="宋体"/>
          <w:bCs/>
          <w:sz w:val="32"/>
          <w:szCs w:val="32"/>
        </w:rPr>
        <w:t>安全的原则</w:t>
      </w:r>
      <w:r>
        <w:rPr>
          <w:rFonts w:hint="eastAsia" w:ascii="仿宋_GB2312" w:hAnsi="宋体" w:eastAsia="仿宋_GB2312" w:cs="宋体"/>
          <w:bCs/>
          <w:sz w:val="32"/>
          <w:szCs w:val="32"/>
        </w:rPr>
        <w:t>，</w:t>
      </w:r>
      <w:r>
        <w:rPr>
          <w:rFonts w:ascii="仿宋_GB2312" w:hAnsi="宋体" w:eastAsia="仿宋_GB2312" w:cs="宋体"/>
          <w:bCs/>
          <w:sz w:val="32"/>
          <w:szCs w:val="32"/>
        </w:rPr>
        <w:t>由学校</w:t>
      </w:r>
      <w:r>
        <w:rPr>
          <w:rFonts w:hint="eastAsia" w:ascii="仿宋_GB2312" w:hAnsi="宋体" w:eastAsia="仿宋_GB2312" w:cs="宋体"/>
          <w:bCs/>
          <w:sz w:val="32"/>
          <w:szCs w:val="32"/>
        </w:rPr>
        <w:t>后勤与</w:t>
      </w:r>
      <w:r>
        <w:rPr>
          <w:rFonts w:ascii="仿宋_GB2312" w:hAnsi="宋体" w:eastAsia="仿宋_GB2312" w:cs="宋体"/>
          <w:bCs/>
          <w:sz w:val="32"/>
          <w:szCs w:val="32"/>
        </w:rPr>
        <w:t>资产管理处</w:t>
      </w:r>
      <w:r>
        <w:rPr>
          <w:rFonts w:hint="eastAsia" w:ascii="仿宋_GB2312" w:hAnsi="宋体" w:eastAsia="仿宋_GB2312" w:cs="宋体"/>
          <w:bCs/>
          <w:sz w:val="32"/>
          <w:szCs w:val="32"/>
        </w:rPr>
        <w:t>卫生所</w:t>
      </w:r>
      <w:r>
        <w:rPr>
          <w:rFonts w:ascii="仿宋_GB2312" w:hAnsi="宋体" w:eastAsia="仿宋_GB2312" w:cs="宋体"/>
          <w:bCs/>
          <w:sz w:val="32"/>
          <w:szCs w:val="32"/>
        </w:rPr>
        <w:t>负责统一管理</w:t>
      </w:r>
      <w:r>
        <w:rPr>
          <w:rFonts w:hint="eastAsia" w:ascii="仿宋_GB2312" w:hAnsi="宋体" w:eastAsia="仿宋_GB2312" w:cs="宋体"/>
          <w:bCs/>
          <w:sz w:val="32"/>
          <w:szCs w:val="32"/>
        </w:rPr>
        <w:t>。</w:t>
      </w:r>
      <w:r>
        <w:rPr>
          <w:rFonts w:ascii="仿宋_GB2312" w:hAnsi="宋体" w:eastAsia="仿宋_GB2312" w:cs="宋体"/>
          <w:bCs/>
          <w:sz w:val="32"/>
          <w:szCs w:val="32"/>
        </w:rPr>
        <w:t>在</w:t>
      </w:r>
      <w:r>
        <w:rPr>
          <w:rFonts w:hint="eastAsia" w:ascii="仿宋_GB2312" w:hAnsi="宋体" w:eastAsia="仿宋_GB2312" w:cs="宋体"/>
          <w:bCs/>
          <w:sz w:val="32"/>
          <w:szCs w:val="32"/>
        </w:rPr>
        <w:t>社湾校区、官塘校区</w:t>
      </w:r>
      <w:r>
        <w:rPr>
          <w:rFonts w:ascii="仿宋_GB2312" w:hAnsi="宋体" w:eastAsia="仿宋_GB2312" w:cs="宋体"/>
          <w:bCs/>
          <w:sz w:val="32"/>
          <w:szCs w:val="32"/>
        </w:rPr>
        <w:t>设置专门保管室集中存放</w:t>
      </w:r>
      <w:r>
        <w:rPr>
          <w:rFonts w:hint="eastAsia" w:ascii="仿宋_GB2312" w:hAnsi="宋体" w:eastAsia="仿宋_GB2312" w:cs="宋体"/>
          <w:bCs/>
          <w:sz w:val="32"/>
          <w:szCs w:val="32"/>
        </w:rPr>
        <w:t>，</w:t>
      </w:r>
      <w:r>
        <w:rPr>
          <w:rFonts w:ascii="仿宋_GB2312" w:hAnsi="宋体" w:eastAsia="仿宋_GB2312" w:cs="宋体"/>
          <w:bCs/>
          <w:sz w:val="32"/>
          <w:szCs w:val="32"/>
        </w:rPr>
        <w:t>统一保管</w:t>
      </w:r>
      <w:r>
        <w:rPr>
          <w:rFonts w:hint="eastAsia"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第二条  </w:t>
      </w:r>
      <w:r>
        <w:rPr>
          <w:rFonts w:ascii="仿宋_GB2312" w:hAnsi="宋体" w:eastAsia="仿宋_GB2312" w:cs="宋体"/>
          <w:bCs/>
          <w:sz w:val="32"/>
          <w:szCs w:val="32"/>
        </w:rPr>
        <w:t>保管室要保持阴凉、通风、干燥。室内配备防盗、防火设备（如水、细沙、灭火器等）。应检查用电线路、电器，消除隐患，保证安全。保管室内严禁火源。</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消毒消杀用品做到定位存放，摆放整齐。对不同性质，相互会发生化学反应的物品要分开存放，含氯消毒剂</w:t>
      </w:r>
      <w:r>
        <w:rPr>
          <w:rFonts w:hint="eastAsia" w:ascii="仿宋_GB2312" w:hAnsi="宋体" w:eastAsia="仿宋_GB2312" w:cs="宋体"/>
          <w:bCs/>
          <w:sz w:val="32"/>
          <w:szCs w:val="32"/>
        </w:rPr>
        <w:t>（</w:t>
      </w:r>
      <w:r>
        <w:rPr>
          <w:rFonts w:ascii="仿宋_GB2312" w:hAnsi="宋体" w:eastAsia="仿宋_GB2312" w:cs="宋体"/>
          <w:bCs/>
          <w:sz w:val="32"/>
          <w:szCs w:val="32"/>
        </w:rPr>
        <w:t>84消毒液等</w:t>
      </w:r>
      <w:r>
        <w:rPr>
          <w:rFonts w:hint="eastAsia" w:ascii="仿宋_GB2312" w:hAnsi="宋体" w:eastAsia="仿宋_GB2312" w:cs="宋体"/>
          <w:bCs/>
          <w:sz w:val="32"/>
          <w:szCs w:val="32"/>
        </w:rPr>
        <w:t>）</w:t>
      </w:r>
      <w:r>
        <w:rPr>
          <w:rFonts w:ascii="仿宋_GB2312" w:hAnsi="宋体" w:eastAsia="仿宋_GB2312" w:cs="宋体"/>
          <w:bCs/>
          <w:sz w:val="32"/>
          <w:szCs w:val="32"/>
        </w:rPr>
        <w:t>不能与还原物质共储共运,也要与酒精等用品分开独立空间存放。对受光易变质的药品应避光存放，对易挥发的酒精物品要密封</w:t>
      </w:r>
      <w:r>
        <w:rPr>
          <w:rFonts w:hint="eastAsia" w:ascii="仿宋_GB2312" w:hAnsi="宋体" w:eastAsia="仿宋_GB2312" w:cs="宋体"/>
          <w:bCs/>
          <w:sz w:val="32"/>
          <w:szCs w:val="32"/>
        </w:rPr>
        <w:t>低温</w:t>
      </w:r>
      <w:r>
        <w:rPr>
          <w:rFonts w:ascii="仿宋_GB2312" w:hAnsi="宋体" w:eastAsia="仿宋_GB2312" w:cs="宋体"/>
          <w:bCs/>
          <w:sz w:val="32"/>
          <w:szCs w:val="32"/>
        </w:rPr>
        <w:t>存放。</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第四条 </w:t>
      </w:r>
      <w:r>
        <w:rPr>
          <w:rFonts w:hint="eastAsia" w:ascii="仿宋_GB2312" w:hAnsi="宋体" w:eastAsia="仿宋_GB2312" w:cs="宋体"/>
          <w:bCs/>
          <w:sz w:val="32"/>
          <w:szCs w:val="32"/>
        </w:rPr>
        <w:t xml:space="preserve"> 使用经国家批准的药品，正确配制使用，</w:t>
      </w:r>
      <w:r>
        <w:rPr>
          <w:rFonts w:ascii="仿宋_GB2312" w:hAnsi="宋体" w:eastAsia="仿宋_GB2312" w:cs="宋体"/>
          <w:bCs/>
          <w:sz w:val="32"/>
          <w:szCs w:val="32"/>
        </w:rPr>
        <w:t>消毒消杀用品</w:t>
      </w:r>
      <w:r>
        <w:rPr>
          <w:rFonts w:hint="eastAsia" w:ascii="仿宋_GB2312" w:hAnsi="宋体" w:eastAsia="仿宋_GB2312" w:cs="宋体"/>
          <w:bCs/>
          <w:sz w:val="32"/>
          <w:szCs w:val="32"/>
        </w:rPr>
        <w:t>应</w:t>
      </w:r>
      <w:r>
        <w:rPr>
          <w:rFonts w:ascii="仿宋_GB2312" w:hAnsi="宋体" w:eastAsia="仿宋_GB2312" w:cs="宋体"/>
          <w:bCs/>
          <w:sz w:val="32"/>
          <w:szCs w:val="32"/>
        </w:rPr>
        <w:t>有明确标识，标签上要标注名称、规格、浓度、日期等，避免误食</w:t>
      </w:r>
      <w:r>
        <w:rPr>
          <w:rFonts w:hint="eastAsia" w:ascii="仿宋_GB2312" w:hAnsi="宋体" w:eastAsia="仿宋_GB2312" w:cs="宋体"/>
          <w:bCs/>
          <w:sz w:val="32"/>
          <w:szCs w:val="32"/>
        </w:rPr>
        <w:t>、</w:t>
      </w:r>
      <w:r>
        <w:rPr>
          <w:rFonts w:ascii="仿宋_GB2312" w:hAnsi="宋体" w:eastAsia="仿宋_GB2312" w:cs="宋体"/>
          <w:bCs/>
          <w:sz w:val="32"/>
          <w:szCs w:val="32"/>
        </w:rPr>
        <w:t>误用</w:t>
      </w:r>
      <w:r>
        <w:rPr>
          <w:rFonts w:hint="eastAsia" w:ascii="仿宋_GB2312" w:hAnsi="宋体" w:eastAsia="仿宋_GB2312" w:cs="宋体"/>
          <w:bCs/>
          <w:sz w:val="32"/>
          <w:szCs w:val="32"/>
        </w:rPr>
        <w:t>、灼伤</w:t>
      </w:r>
      <w:r>
        <w:rPr>
          <w:rFonts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第五条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消毒消杀用品实行专人专管。管理人员必须具备高度的责任心，作风严谨，工作踏实，严于职守，自觉遵守有关法律法规和学校各项规章制度，</w:t>
      </w:r>
      <w:r>
        <w:rPr>
          <w:rFonts w:hint="eastAsia" w:ascii="仿宋_GB2312" w:hAnsi="宋体" w:eastAsia="仿宋_GB2312" w:cs="宋体"/>
          <w:bCs/>
          <w:sz w:val="32"/>
          <w:szCs w:val="32"/>
        </w:rPr>
        <w:t>熟悉</w:t>
      </w:r>
      <w:r>
        <w:rPr>
          <w:rFonts w:ascii="仿宋_GB2312" w:hAnsi="宋体" w:eastAsia="仿宋_GB2312" w:cs="宋体"/>
          <w:bCs/>
          <w:sz w:val="32"/>
          <w:szCs w:val="32"/>
        </w:rPr>
        <w:t>掌握</w:t>
      </w:r>
      <w:r>
        <w:rPr>
          <w:rFonts w:hint="eastAsia" w:ascii="仿宋_GB2312" w:hAnsi="宋体" w:eastAsia="仿宋_GB2312" w:cs="宋体"/>
          <w:bCs/>
          <w:sz w:val="32"/>
          <w:szCs w:val="32"/>
        </w:rPr>
        <w:t>消毒剂使用方法及</w:t>
      </w:r>
      <w:r>
        <w:rPr>
          <w:rFonts w:ascii="仿宋_GB2312" w:hAnsi="宋体" w:eastAsia="仿宋_GB2312" w:cs="宋体"/>
          <w:bCs/>
          <w:sz w:val="32"/>
          <w:szCs w:val="32"/>
        </w:rPr>
        <w:t>有关化学品管理知识，掌握化学伤害和中毒症状及急救措施，主动接受公安部门和教育技术装备部门对危险品管理的指导和监督。</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第六条 </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建立消毒消杀用品详细</w:t>
      </w:r>
      <w:r>
        <w:rPr>
          <w:rFonts w:hint="eastAsia" w:ascii="仿宋_GB2312" w:hAnsi="宋体" w:eastAsia="仿宋_GB2312" w:cs="宋体"/>
          <w:bCs/>
          <w:sz w:val="32"/>
          <w:szCs w:val="32"/>
        </w:rPr>
        <w:t>登记</w:t>
      </w:r>
      <w:r>
        <w:rPr>
          <w:rFonts w:ascii="仿宋_GB2312" w:hAnsi="宋体" w:eastAsia="仿宋_GB2312" w:cs="宋体"/>
          <w:bCs/>
          <w:sz w:val="32"/>
          <w:szCs w:val="32"/>
        </w:rPr>
        <w:t>，包括对消毒消杀用品的入库</w:t>
      </w:r>
      <w:r>
        <w:rPr>
          <w:rFonts w:hint="eastAsia" w:ascii="仿宋_GB2312" w:hAnsi="宋体" w:eastAsia="仿宋_GB2312" w:cs="宋体"/>
          <w:bCs/>
          <w:sz w:val="32"/>
          <w:szCs w:val="32"/>
        </w:rPr>
        <w:t>、出库、盘点等</w:t>
      </w:r>
      <w:r>
        <w:rPr>
          <w:rFonts w:ascii="仿宋_GB2312" w:hAnsi="宋体" w:eastAsia="仿宋_GB2312" w:cs="宋体"/>
          <w:bCs/>
          <w:sz w:val="32"/>
          <w:szCs w:val="32"/>
        </w:rPr>
        <w:t>必须有详细记录。</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第七</w:t>
      </w:r>
      <w:r>
        <w:rPr>
          <w:rFonts w:ascii="仿宋_GB2312" w:hAnsi="宋体" w:eastAsia="仿宋_GB2312" w:cs="宋体"/>
          <w:b/>
          <w:bCs/>
          <w:sz w:val="32"/>
          <w:szCs w:val="32"/>
        </w:rPr>
        <w:t>条</w:t>
      </w:r>
      <w:r>
        <w:rPr>
          <w:rFonts w:hint="eastAsia" w:ascii="仿宋_GB2312" w:hAnsi="宋体" w:eastAsia="仿宋_GB2312" w:cs="宋体"/>
          <w:b/>
          <w:bCs/>
          <w:sz w:val="32"/>
          <w:szCs w:val="32"/>
        </w:rPr>
        <w:t xml:space="preserve"> </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属于易燃、易爆、易中毒等消毒消杀用品实行</w:t>
      </w:r>
      <w:r>
        <w:rPr>
          <w:rFonts w:hint="eastAsia" w:ascii="仿宋_GB2312" w:hAnsi="宋体" w:eastAsia="仿宋_GB2312" w:cs="宋体"/>
          <w:bCs/>
          <w:sz w:val="32"/>
          <w:szCs w:val="32"/>
        </w:rPr>
        <w:t>“</w:t>
      </w:r>
      <w:r>
        <w:rPr>
          <w:rFonts w:ascii="仿宋_GB2312" w:hAnsi="宋体" w:eastAsia="仿宋_GB2312" w:cs="宋体"/>
          <w:bCs/>
          <w:sz w:val="32"/>
          <w:szCs w:val="32"/>
        </w:rPr>
        <w:t>双管理</w:t>
      </w:r>
      <w:r>
        <w:rPr>
          <w:rFonts w:hint="eastAsia" w:ascii="仿宋_GB2312" w:hAnsi="宋体" w:eastAsia="仿宋_GB2312" w:cs="宋体"/>
          <w:bCs/>
          <w:sz w:val="32"/>
          <w:szCs w:val="32"/>
        </w:rPr>
        <w:t>”</w:t>
      </w:r>
      <w:r>
        <w:rPr>
          <w:rFonts w:ascii="仿宋_GB2312" w:hAnsi="宋体" w:eastAsia="仿宋_GB2312" w:cs="宋体"/>
          <w:bCs/>
          <w:sz w:val="32"/>
          <w:szCs w:val="32"/>
        </w:rPr>
        <w:t>，即双人管理、双人双锁、双人收发、双人</w:t>
      </w:r>
      <w:r>
        <w:rPr>
          <w:rFonts w:hint="eastAsia" w:ascii="仿宋_GB2312" w:hAnsi="宋体" w:eastAsia="仿宋_GB2312" w:cs="宋体"/>
          <w:bCs/>
          <w:sz w:val="32"/>
          <w:szCs w:val="32"/>
        </w:rPr>
        <w:t>登记</w:t>
      </w:r>
      <w:r>
        <w:rPr>
          <w:rFonts w:ascii="仿宋_GB2312" w:hAnsi="宋体" w:eastAsia="仿宋_GB2312" w:cs="宋体"/>
          <w:bCs/>
          <w:sz w:val="32"/>
          <w:szCs w:val="32"/>
        </w:rPr>
        <w:t>。管理人员对消毒消杀用品的领、用、</w:t>
      </w:r>
      <w:r>
        <w:rPr>
          <w:rFonts w:hint="eastAsia" w:ascii="仿宋_GB2312" w:hAnsi="宋体" w:eastAsia="仿宋_GB2312" w:cs="宋体"/>
          <w:bCs/>
          <w:sz w:val="32"/>
          <w:szCs w:val="32"/>
        </w:rPr>
        <w:t>余</w:t>
      </w:r>
      <w:r>
        <w:rPr>
          <w:rFonts w:ascii="仿宋_GB2312" w:hAnsi="宋体" w:eastAsia="仿宋_GB2312" w:cs="宋体"/>
          <w:bCs/>
          <w:sz w:val="32"/>
          <w:szCs w:val="32"/>
        </w:rPr>
        <w:t>的数量必须详细记录。</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消毒消杀用品的分装、搬运、转移、领取、使用等环节要注意安全防范，有关操作人员应当采取有效防护措施。分发到物业</w:t>
      </w:r>
      <w:r>
        <w:rPr>
          <w:rFonts w:hint="eastAsia" w:ascii="仿宋_GB2312" w:hAnsi="宋体" w:eastAsia="仿宋_GB2312" w:cs="宋体"/>
          <w:bCs/>
          <w:sz w:val="32"/>
          <w:szCs w:val="32"/>
        </w:rPr>
        <w:t>公司、</w:t>
      </w:r>
      <w:r>
        <w:rPr>
          <w:rFonts w:ascii="仿宋_GB2312" w:hAnsi="宋体" w:eastAsia="仿宋_GB2312" w:cs="宋体"/>
          <w:bCs/>
          <w:sz w:val="32"/>
          <w:szCs w:val="32"/>
        </w:rPr>
        <w:t>各部门</w:t>
      </w:r>
      <w:r>
        <w:rPr>
          <w:rFonts w:hint="eastAsia" w:ascii="仿宋_GB2312" w:hAnsi="宋体" w:eastAsia="仿宋_GB2312" w:cs="宋体"/>
          <w:bCs/>
          <w:sz w:val="32"/>
          <w:szCs w:val="32"/>
        </w:rPr>
        <w:t>、各</w:t>
      </w:r>
      <w:r>
        <w:rPr>
          <w:rFonts w:ascii="仿宋_GB2312" w:hAnsi="宋体" w:eastAsia="仿宋_GB2312" w:cs="宋体"/>
          <w:bCs/>
          <w:sz w:val="32"/>
          <w:szCs w:val="32"/>
        </w:rPr>
        <w:t>二级学院的消杀用用品要限量</w:t>
      </w:r>
      <w:r>
        <w:rPr>
          <w:rFonts w:hint="eastAsia" w:ascii="仿宋_GB2312" w:hAnsi="宋体" w:eastAsia="仿宋_GB2312" w:cs="宋体"/>
          <w:bCs/>
          <w:sz w:val="32"/>
          <w:szCs w:val="32"/>
        </w:rPr>
        <w:t>、</w:t>
      </w:r>
      <w:r>
        <w:rPr>
          <w:rFonts w:ascii="仿宋_GB2312" w:hAnsi="宋体" w:eastAsia="仿宋_GB2312" w:cs="宋体"/>
          <w:bCs/>
          <w:sz w:val="32"/>
          <w:szCs w:val="32"/>
        </w:rPr>
        <w:t>限时使用完毕</w:t>
      </w:r>
      <w:r>
        <w:rPr>
          <w:rFonts w:hint="eastAsia" w:ascii="仿宋_GB2312" w:hAnsi="宋体" w:eastAsia="仿宋_GB2312" w:cs="宋体"/>
          <w:bCs/>
          <w:sz w:val="32"/>
          <w:szCs w:val="32"/>
        </w:rPr>
        <w:t>，</w:t>
      </w:r>
      <w:r>
        <w:rPr>
          <w:rFonts w:ascii="仿宋_GB2312" w:hAnsi="宋体" w:eastAsia="仿宋_GB2312" w:cs="宋体"/>
          <w:bCs/>
          <w:sz w:val="32"/>
          <w:szCs w:val="32"/>
        </w:rPr>
        <w:t>各部门</w:t>
      </w:r>
      <w:r>
        <w:rPr>
          <w:rFonts w:hint="eastAsia" w:ascii="仿宋_GB2312" w:hAnsi="宋体" w:eastAsia="仿宋_GB2312" w:cs="宋体"/>
          <w:bCs/>
          <w:sz w:val="32"/>
          <w:szCs w:val="32"/>
        </w:rPr>
        <w:t>、</w:t>
      </w:r>
      <w:r>
        <w:rPr>
          <w:rFonts w:ascii="仿宋_GB2312" w:hAnsi="宋体" w:eastAsia="仿宋_GB2312" w:cs="宋体"/>
          <w:bCs/>
          <w:sz w:val="32"/>
          <w:szCs w:val="32"/>
        </w:rPr>
        <w:t>各二级学院要</w:t>
      </w:r>
      <w:r>
        <w:rPr>
          <w:rFonts w:hint="eastAsia" w:ascii="仿宋_GB2312" w:hAnsi="宋体" w:eastAsia="仿宋_GB2312" w:cs="宋体"/>
          <w:bCs/>
          <w:sz w:val="32"/>
          <w:szCs w:val="32"/>
        </w:rPr>
        <w:t>填写</w:t>
      </w:r>
      <w:r>
        <w:rPr>
          <w:rFonts w:ascii="仿宋_GB2312" w:hAnsi="宋体" w:eastAsia="仿宋_GB2312" w:cs="宋体"/>
          <w:bCs/>
          <w:sz w:val="32"/>
          <w:szCs w:val="32"/>
        </w:rPr>
        <w:t>使用记录并反馈至后勤与资产管理处</w:t>
      </w:r>
      <w:r>
        <w:rPr>
          <w:rFonts w:hint="eastAsia"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第九条 </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应科学合理使用消毒消杀用品，遵守有关规范，熟悉消毒消杀用品的使用范围、使用方法、注意事项等，确保消毒效果和安全</w:t>
      </w:r>
      <w:r>
        <w:rPr>
          <w:rFonts w:hint="eastAsia"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禁止无关人员进入消毒消杀用品存放室内，未经管理人员准许，领用人不得进入存放室。</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第十一条</w:t>
      </w:r>
      <w:r>
        <w:rPr>
          <w:rFonts w:hint="eastAsia" w:ascii="仿宋_GB2312" w:hAnsi="宋体" w:eastAsia="仿宋_GB2312" w:cs="宋体"/>
          <w:bCs/>
          <w:sz w:val="32"/>
          <w:szCs w:val="32"/>
        </w:rPr>
        <w:t xml:space="preserve">  </w:t>
      </w:r>
      <w:r>
        <w:rPr>
          <w:rFonts w:ascii="仿宋_GB2312" w:hAnsi="宋体" w:eastAsia="仿宋_GB2312" w:cs="宋体"/>
          <w:bCs/>
          <w:sz w:val="32"/>
          <w:szCs w:val="32"/>
        </w:rPr>
        <w:t>对因保管不慎、管理不当，造成消毒消杀用品丢失等情况，管理人员应立即向主管领导和主管部门报告，不得延误。造成严重后果的要追究相关人员责任</w:t>
      </w:r>
      <w:r>
        <w:rPr>
          <w:rFonts w:hint="eastAsia" w:ascii="仿宋_GB2312" w:hAnsi="宋体" w:eastAsia="仿宋_GB2312" w:cs="宋体"/>
          <w:bCs/>
          <w:sz w:val="32"/>
          <w:szCs w:val="32"/>
        </w:rPr>
        <w:t>。</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第十二条  </w:t>
      </w:r>
      <w:r>
        <w:rPr>
          <w:rFonts w:hint="eastAsia" w:ascii="仿宋_GB2312" w:hAnsi="宋体" w:eastAsia="仿宋_GB2312" w:cs="宋体"/>
          <w:bCs/>
          <w:sz w:val="32"/>
          <w:szCs w:val="32"/>
        </w:rPr>
        <w:t>本制度自发布之日起实施，由后勤与资产管理处负责解释。</w:t>
      </w:r>
    </w:p>
    <w:p>
      <w:pPr>
        <w:pageBreakBefore w:val="0"/>
        <w:kinsoku/>
        <w:wordWrap/>
        <w:overflowPunct/>
        <w:topLinePunct w:val="0"/>
        <w:autoSpaceDE/>
        <w:autoSpaceDN/>
        <w:bidi w:val="0"/>
        <w:spacing w:line="596" w:lineRule="exact"/>
        <w:jc w:val="left"/>
        <w:outlineLvl w:val="9"/>
        <w:rPr>
          <w:rFonts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b/>
          <w:color w:val="000000"/>
          <w:sz w:val="36"/>
          <w:szCs w:val="36"/>
        </w:rPr>
      </w:pPr>
      <w:bookmarkStart w:id="253" w:name="_Toc14260"/>
      <w:bookmarkStart w:id="254" w:name="_Toc21729"/>
      <w:bookmarkStart w:id="255" w:name="_Toc14482"/>
      <w:r>
        <w:rPr>
          <w:rFonts w:hint="eastAsia"/>
          <w:b/>
          <w:color w:val="000000"/>
          <w:sz w:val="36"/>
          <w:szCs w:val="36"/>
        </w:rPr>
        <w:t>柳州职业技术学院传染病疫情防控物资管理办法(试行)</w:t>
      </w:r>
      <w:bookmarkEnd w:id="253"/>
      <w:bookmarkEnd w:id="254"/>
      <w:bookmarkEnd w:id="255"/>
    </w:p>
    <w:p>
      <w:pPr>
        <w:pageBreakBefore w:val="0"/>
        <w:kinsoku/>
        <w:wordWrap/>
        <w:overflowPunct/>
        <w:topLinePunct w:val="0"/>
        <w:autoSpaceDE/>
        <w:autoSpaceDN/>
        <w:bidi w:val="0"/>
        <w:outlineLvl w:val="9"/>
        <w:rPr>
          <w:szCs w:val="28"/>
        </w:rPr>
      </w:pPr>
      <w:r>
        <w:rPr>
          <w:rFonts w:hint="eastAsia"/>
          <w:szCs w:val="28"/>
        </w:rPr>
        <w:t xml:space="preserve">                     </w:t>
      </w: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第一章  总则</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第一条  </w:t>
      </w:r>
      <w:r>
        <w:rPr>
          <w:rFonts w:hint="eastAsia" w:ascii="仿宋_GB2312" w:hAnsi="宋体" w:eastAsia="仿宋_GB2312" w:cs="宋体"/>
          <w:bCs/>
          <w:sz w:val="32"/>
          <w:szCs w:val="32"/>
        </w:rPr>
        <w:t>为多渠道、合理储备传染病疫情防控物资，满足疫情防控物资需求，规范防控物资的采购、捐赠、分配、使用、监督等各项工作，特制定本办法。</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hint="eastAsia" w:ascii="仿宋_GB2312" w:hAnsi="宋体" w:eastAsia="仿宋_GB2312" w:cs="宋体"/>
          <w:bCs/>
          <w:sz w:val="32"/>
          <w:szCs w:val="32"/>
        </w:rPr>
        <w:t xml:space="preserve">  本办法所指的传染病是指可以感染众多人口、能在较短的时间内广泛蔓延的疾病，如</w:t>
      </w:r>
      <w:r>
        <w:rPr>
          <w:rFonts w:ascii="仿宋_GB2312" w:hAnsi="宋体" w:eastAsia="仿宋_GB2312" w:cs="宋体"/>
          <w:bCs/>
          <w:sz w:val="32"/>
          <w:szCs w:val="32"/>
        </w:rPr>
        <w:fldChar w:fldCharType="begin"/>
      </w:r>
      <w:r>
        <w:rPr>
          <w:rFonts w:ascii="仿宋_GB2312" w:hAnsi="宋体" w:eastAsia="仿宋_GB2312" w:cs="宋体"/>
          <w:bCs/>
          <w:sz w:val="32"/>
          <w:szCs w:val="32"/>
        </w:rPr>
        <w:instrText xml:space="preserve"> HYPERLINK "https://baike.baidu.com/item/%E6%B5%81%E8%A1%8C%E6%80%A7%E6%84%9F%E5%86%92/273256" \t "_blank" </w:instrText>
      </w:r>
      <w:r>
        <w:rPr>
          <w:rFonts w:ascii="仿宋_GB2312" w:hAnsi="宋体" w:eastAsia="仿宋_GB2312" w:cs="宋体"/>
          <w:bCs/>
          <w:sz w:val="32"/>
          <w:szCs w:val="32"/>
        </w:rPr>
        <w:fldChar w:fldCharType="separate"/>
      </w:r>
      <w:r>
        <w:rPr>
          <w:rFonts w:hint="eastAsia" w:ascii="仿宋_GB2312" w:hAnsi="宋体" w:eastAsia="仿宋_GB2312" w:cs="宋体"/>
          <w:bCs/>
          <w:sz w:val="32"/>
          <w:szCs w:val="32"/>
        </w:rPr>
        <w:t>流行性感冒</w:t>
      </w:r>
      <w:r>
        <w:rPr>
          <w:rFonts w:ascii="仿宋_GB2312" w:hAnsi="宋体" w:eastAsia="仿宋_GB2312" w:cs="宋体"/>
          <w:bCs/>
          <w:sz w:val="32"/>
          <w:szCs w:val="32"/>
        </w:rPr>
        <w:fldChar w:fldCharType="end"/>
      </w:r>
      <w:r>
        <w:rPr>
          <w:rFonts w:hint="eastAsia" w:ascii="仿宋_GB2312" w:hAnsi="宋体" w:eastAsia="仿宋_GB2312" w:cs="宋体"/>
          <w:bCs/>
          <w:sz w:val="32"/>
          <w:szCs w:val="32"/>
        </w:rPr>
        <w:t>、</w:t>
      </w:r>
      <w:r>
        <w:rPr>
          <w:rFonts w:ascii="仿宋_GB2312" w:hAnsi="宋体" w:eastAsia="仿宋_GB2312" w:cs="宋体"/>
          <w:bCs/>
          <w:sz w:val="32"/>
          <w:szCs w:val="32"/>
        </w:rPr>
        <w:fldChar w:fldCharType="begin"/>
      </w:r>
      <w:r>
        <w:rPr>
          <w:rFonts w:ascii="仿宋_GB2312" w:hAnsi="宋体" w:eastAsia="仿宋_GB2312" w:cs="宋体"/>
          <w:bCs/>
          <w:sz w:val="32"/>
          <w:szCs w:val="32"/>
        </w:rPr>
        <w:instrText xml:space="preserve"> HYPERLINK "https://baike.baidu.com/item/%E8%84%91%E8%86%9C%E7%82%8E/2122235" \t "_blank" </w:instrText>
      </w:r>
      <w:r>
        <w:rPr>
          <w:rFonts w:ascii="仿宋_GB2312" w:hAnsi="宋体" w:eastAsia="仿宋_GB2312" w:cs="宋体"/>
          <w:bCs/>
          <w:sz w:val="32"/>
          <w:szCs w:val="32"/>
        </w:rPr>
        <w:fldChar w:fldCharType="separate"/>
      </w:r>
      <w:r>
        <w:rPr>
          <w:rFonts w:hint="eastAsia" w:ascii="仿宋_GB2312" w:hAnsi="宋体" w:eastAsia="仿宋_GB2312" w:cs="宋体"/>
          <w:bCs/>
          <w:sz w:val="32"/>
          <w:szCs w:val="32"/>
        </w:rPr>
        <w:t>脑膜炎</w:t>
      </w:r>
      <w:r>
        <w:rPr>
          <w:rFonts w:ascii="仿宋_GB2312" w:hAnsi="宋体" w:eastAsia="仿宋_GB2312" w:cs="宋体"/>
          <w:bCs/>
          <w:sz w:val="32"/>
          <w:szCs w:val="32"/>
        </w:rPr>
        <w:fldChar w:fldCharType="end"/>
      </w:r>
      <w:r>
        <w:rPr>
          <w:rFonts w:hint="eastAsia" w:ascii="仿宋_GB2312" w:hAnsi="宋体" w:eastAsia="仿宋_GB2312" w:cs="宋体"/>
          <w:bCs/>
          <w:sz w:val="32"/>
          <w:szCs w:val="32"/>
        </w:rPr>
        <w:t>、非典型性肺炎、新冠病毒感染的肺炎等。疫情防控物资包括学校在传染病疫情防控工作中，由上级调拨、学校采购、国内外社会各界和个人无偿捐赠等渠道取得的口罩、测温设备、消毒药品、手套、防护服、护目镜、防护面罩等防控物资，以及国家和省、市、上级主管部门拨付的疫情防控补助资金，社会各界和个人捐助的疫情防控资金等。</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hint="eastAsia" w:ascii="仿宋_GB2312" w:hAnsi="宋体" w:eastAsia="仿宋_GB2312" w:cs="宋体"/>
          <w:bCs/>
          <w:sz w:val="32"/>
          <w:szCs w:val="32"/>
        </w:rPr>
        <w:t xml:space="preserve">  后勤与资产管理处统一负责疫情防控物资的采购、接受捐赠、储存、分配、使用管理等相关工作。涉及上级拨付资金、接受捐赠资金业务的由财务处负责。</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第四条</w:t>
      </w:r>
      <w:r>
        <w:rPr>
          <w:rFonts w:hint="eastAsia" w:ascii="仿宋_GB2312" w:hAnsi="宋体" w:eastAsia="仿宋_GB2312" w:cs="宋体"/>
          <w:bCs/>
          <w:sz w:val="32"/>
          <w:szCs w:val="32"/>
        </w:rPr>
        <w:t xml:space="preserve">  学校对外捐赠防疫物品，可由部门提出需求，经部门分管领导、学校后勤与资产管理处、后勤分管领导、学校党政负责人审批后执行。涉及向国（境）外捐赠的，捐赠物品需符合国（境）外当地的医药卫生标准要求。</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第二章  防控物资采购</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sz w:val="32"/>
          <w:szCs w:val="32"/>
        </w:rPr>
      </w:pPr>
      <w:r>
        <w:rPr>
          <w:rFonts w:hint="eastAsia" w:ascii="仿宋_GB2312" w:hAnsi="宋体" w:eastAsia="仿宋_GB2312" w:cs="宋体"/>
          <w:b/>
          <w:bCs/>
          <w:sz w:val="32"/>
          <w:szCs w:val="32"/>
        </w:rPr>
        <w:t>第五条</w:t>
      </w:r>
      <w:r>
        <w:rPr>
          <w:rFonts w:hint="eastAsia" w:ascii="仿宋_GB2312" w:hAnsi="宋体" w:eastAsia="仿宋_GB2312"/>
          <w:b/>
          <w:sz w:val="32"/>
          <w:szCs w:val="32"/>
        </w:rPr>
        <w:t xml:space="preserve"> 根据疫情防控工作需要，由后勤与资产管理处制定防控物资储备标准、品名、数量、规格等采购计划报学校相关领导审批后执行。</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第六条 </w:t>
      </w:r>
      <w:r>
        <w:rPr>
          <w:rFonts w:hint="eastAsia" w:ascii="仿宋_GB2312" w:hAnsi="宋体" w:eastAsia="仿宋_GB2312" w:cs="宋体"/>
          <w:bCs/>
          <w:sz w:val="32"/>
          <w:szCs w:val="32"/>
        </w:rPr>
        <w:t xml:space="preserve"> 疫情物资采购要按照审批后的采购计划，根据学校内控制度、学校采购管理办法执行。涉及紧急采购的防控物资，报</w:t>
      </w:r>
      <w:r>
        <w:rPr>
          <w:rFonts w:hint="eastAsia" w:ascii="仿宋_GB2312" w:hAnsi="宋体" w:eastAsia="仿宋_GB2312"/>
          <w:b/>
          <w:sz w:val="32"/>
          <w:szCs w:val="32"/>
        </w:rPr>
        <w:t>学校相关领导</w:t>
      </w:r>
      <w:r>
        <w:rPr>
          <w:rFonts w:hint="eastAsia" w:ascii="仿宋_GB2312" w:hAnsi="宋体" w:eastAsia="仿宋_GB2312" w:cs="宋体"/>
          <w:bCs/>
          <w:sz w:val="32"/>
          <w:szCs w:val="32"/>
        </w:rPr>
        <w:t>审批后由后勤与资产处自行采购。疫情物资采购所需资金由财务处按规定纳入学校预算予以保障。</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第七条</w:t>
      </w:r>
      <w:r>
        <w:rPr>
          <w:rFonts w:hint="eastAsia" w:ascii="仿宋_GB2312" w:hAnsi="宋体" w:eastAsia="仿宋_GB2312" w:cs="宋体"/>
          <w:bCs/>
          <w:sz w:val="32"/>
          <w:szCs w:val="32"/>
        </w:rPr>
        <w:t xml:space="preserve">  社会各界给学校捐赠的各类防控物资，由后勤与资产管理处负责统一接收；接受的捐款由后勤与资产管理处负责接收并缴纳财务处指定银行账户，纳入学校疫情联防联控应急资金统筹使用。</w:t>
      </w:r>
    </w:p>
    <w:p>
      <w:pPr>
        <w:pageBreakBefore w:val="0"/>
        <w:kinsoku/>
        <w:wordWrap/>
        <w:overflowPunct/>
        <w:topLinePunct w:val="0"/>
        <w:autoSpaceDE/>
        <w:autoSpaceDN/>
        <w:bidi w:val="0"/>
        <w:spacing w:line="570" w:lineRule="exact"/>
        <w:ind w:firstLine="643"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第八条 </w:t>
      </w:r>
      <w:r>
        <w:rPr>
          <w:rFonts w:hint="eastAsia" w:ascii="仿宋_GB2312" w:hAnsi="宋体" w:eastAsia="仿宋_GB2312" w:cs="宋体"/>
          <w:bCs/>
          <w:sz w:val="32"/>
          <w:szCs w:val="32"/>
        </w:rPr>
        <w:t xml:space="preserve"> 带有指向性的捐赠物资，要尊重捐赠者的意愿，按其意愿进行配送，一般不得转作它用。无捐赠指向的防控物资纳入学校储备计划，统一安排。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第三章  防控物资存储</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 第九条</w:t>
      </w:r>
      <w:r>
        <w:rPr>
          <w:rFonts w:hint="eastAsia" w:ascii="仿宋_GB2312" w:hAnsi="宋体" w:eastAsia="仿宋_GB2312" w:cs="宋体"/>
          <w:bCs/>
          <w:sz w:val="32"/>
          <w:szCs w:val="32"/>
        </w:rPr>
        <w:t xml:space="preserve">  从各种渠道取得的防控物资统一由学校卫生所负责接受、存储、调拨、盘点等日常管理，严格交接手续，建立台账，造册登记，妥善保管。</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hint="eastAsia" w:ascii="仿宋_GB2312" w:hAnsi="宋体" w:eastAsia="仿宋_GB2312" w:cs="宋体"/>
          <w:bCs/>
          <w:sz w:val="32"/>
          <w:szCs w:val="32"/>
        </w:rPr>
        <w:t xml:space="preserve">  分类存放，确保安全。存储过程中要按照物资性质，分类安全存放，注意防火、防盗、防爆。消毒用品存放时要远离电源、火源、热源、办公设备等，应放置在通风阴凉处，安排专人负责。</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消杀用品管理要严格按照《柳州职业技术学院消毒消杀用品使用管理制度》的要求执行。</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第四章  防控物资分配使用管理</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第十一条</w:t>
      </w:r>
      <w:r>
        <w:rPr>
          <w:rFonts w:hint="eastAsia" w:ascii="仿宋_GB2312" w:hAnsi="宋体" w:eastAsia="仿宋_GB2312" w:cs="宋体"/>
          <w:bCs/>
          <w:sz w:val="32"/>
          <w:szCs w:val="32"/>
        </w:rPr>
        <w:t xml:space="preserve">  防控物资领用由后勤与资产管理处依据各部门申报实际需求，编制发放表经部门领导审核后统一分配发放。分配时必须遵循“先急后缓，突出重点”的原则，统筹安排，合理使用。紧缺物资按上级规定标准，无上级规定标准的按学校自定标准发放。对于消毒消杀物资，需按照《柳州职业技术学院消毒消杀用品使用管理制度》的要求，各部门在用完领用的物资后填写消毒消杀物资使用信息反馈表，报后勤与资产管理处备案。</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第十二条</w:t>
      </w:r>
      <w:r>
        <w:rPr>
          <w:rFonts w:hint="eastAsia" w:ascii="仿宋_GB2312" w:hAnsi="宋体" w:eastAsia="仿宋_GB2312" w:cs="宋体"/>
          <w:bCs/>
          <w:sz w:val="32"/>
          <w:szCs w:val="32"/>
        </w:rPr>
        <w:t xml:space="preserve">  防控物资一律实行无偿发放，不得附加任何条件，严禁变相收费、变卖、截留。</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第十三条 </w:t>
      </w:r>
      <w:r>
        <w:rPr>
          <w:rFonts w:hint="eastAsia" w:ascii="仿宋_GB2312" w:hAnsi="宋体" w:eastAsia="仿宋_GB2312" w:cs="宋体"/>
          <w:bCs/>
          <w:sz w:val="32"/>
          <w:szCs w:val="32"/>
        </w:rPr>
        <w:t xml:space="preserve"> 实行分级管理制度,防控物资发放至校内各部门，由各部门负责统筹安排辖区内的物资调度，优先保障医护人员及防控一线工作人员，下发的物资要合理、节约、安全使用。</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第十四条</w:t>
      </w:r>
      <w:r>
        <w:rPr>
          <w:rFonts w:hint="eastAsia" w:ascii="仿宋_GB2312" w:hAnsi="宋体" w:eastAsia="仿宋_GB2312" w:cs="宋体"/>
          <w:bCs/>
          <w:sz w:val="32"/>
          <w:szCs w:val="32"/>
        </w:rPr>
        <w:t xml:space="preserve">  防控物资严格按规定用途规范使用，对于消杀物资，按照国家及地方卫健委、疾控等部门发布的使用指南或规定执行。学校卫生所可依据相关的使用指南或规定，编制消杀用品使用学习培训材料，指导师生员工正确规范使用。</w:t>
      </w:r>
    </w:p>
    <w:p>
      <w:pPr>
        <w:pageBreakBefore w:val="0"/>
        <w:kinsoku/>
        <w:wordWrap/>
        <w:overflowPunct/>
        <w:topLinePunct w:val="0"/>
        <w:autoSpaceDE/>
        <w:autoSpaceDN/>
        <w:bidi w:val="0"/>
        <w:spacing w:line="570" w:lineRule="exact"/>
        <w:ind w:firstLine="643" w:firstLineChars="200"/>
        <w:outlineLvl w:val="9"/>
        <w:rPr>
          <w:rFonts w:hint="eastAsia" w:ascii="仿宋_GB2312" w:hAnsi="宋体" w:eastAsia="仿宋_GB2312" w:cs="宋体"/>
          <w:bCs/>
          <w:sz w:val="32"/>
          <w:szCs w:val="32"/>
        </w:rPr>
      </w:pPr>
      <w:r>
        <w:rPr>
          <w:rFonts w:hint="eastAsia" w:ascii="仿宋_GB2312" w:hAnsi="宋体" w:eastAsia="仿宋_GB2312" w:cs="宋体"/>
          <w:b/>
          <w:bCs/>
          <w:sz w:val="32"/>
          <w:szCs w:val="32"/>
        </w:rPr>
        <w:t xml:space="preserve">第十五条  </w:t>
      </w:r>
      <w:r>
        <w:rPr>
          <w:rFonts w:hint="eastAsia" w:ascii="仿宋_GB2312" w:hAnsi="宋体" w:eastAsia="仿宋_GB2312" w:cs="宋体"/>
          <w:bCs/>
          <w:sz w:val="32"/>
          <w:szCs w:val="32"/>
        </w:rPr>
        <w:t>建立防控物资定期盘点与报告制度。卫生所每周末盘点一次，经后勤与资产管理处资产科审核后，做到账实相符，并在下一周周三前编制防疫物资储备情况表、购进与领用明细表报学校防控办、学校分管领导、后勤与资产管理处资产管理科备查。</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第五章  检查与监督</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 xml:space="preserve">第十六条 </w:t>
      </w:r>
      <w:r>
        <w:rPr>
          <w:rFonts w:hint="eastAsia" w:ascii="仿宋_GB2312" w:hAnsi="宋体" w:eastAsia="仿宋_GB2312" w:cs="宋体"/>
          <w:bCs/>
          <w:sz w:val="32"/>
          <w:szCs w:val="32"/>
        </w:rPr>
        <w:t xml:space="preserve"> 防控物资和防控款项要严格规范使用。在采购、接收、分发、管理过程中，凡中饱私囊、贪污受贿、收受回扣、挪作它用，要严肃处理，触犯刑律的交由相关部门从严查办。</w:t>
      </w:r>
    </w:p>
    <w:p>
      <w:pPr>
        <w:pageBreakBefore w:val="0"/>
        <w:kinsoku/>
        <w:wordWrap/>
        <w:overflowPunct/>
        <w:topLinePunct w:val="0"/>
        <w:autoSpaceDE/>
        <w:autoSpaceDN/>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第十七条</w:t>
      </w:r>
      <w:r>
        <w:rPr>
          <w:rFonts w:hint="eastAsia" w:ascii="仿宋_GB2312" w:hAnsi="宋体" w:eastAsia="仿宋_GB2312" w:cs="宋体"/>
          <w:bCs/>
          <w:sz w:val="32"/>
          <w:szCs w:val="32"/>
        </w:rPr>
        <w:t xml:space="preserve">  存储物资因责任事故造成丢失或其它损失的，要追究当事人、负责人的责任。</w:t>
      </w:r>
    </w:p>
    <w:p>
      <w:pPr>
        <w:pageBreakBefore w:val="0"/>
        <w:kinsoku/>
        <w:wordWrap/>
        <w:overflowPunct/>
        <w:topLinePunct w:val="0"/>
        <w:autoSpaceDE/>
        <w:autoSpaceDN/>
        <w:bidi w:val="0"/>
        <w:spacing w:line="570" w:lineRule="exact"/>
        <w:ind w:firstLine="643" w:firstLineChars="200"/>
        <w:outlineLvl w:val="9"/>
        <w:rPr>
          <w:rFonts w:hint="eastAsia" w:ascii="仿宋_GB2312" w:hAnsi="宋体" w:eastAsia="仿宋_GB2312" w:cs="宋体"/>
          <w:bCs/>
          <w:sz w:val="32"/>
          <w:szCs w:val="32"/>
        </w:rPr>
        <w:sectPr>
          <w:pgSz w:w="11906" w:h="16838"/>
          <w:pgMar w:top="2098" w:right="1474" w:bottom="1985" w:left="1588" w:header="851" w:footer="992" w:gutter="0"/>
          <w:pgNumType w:fmt="decimal"/>
          <w:cols w:space="720" w:num="1"/>
          <w:docGrid w:linePitch="312" w:charSpace="0"/>
        </w:sectPr>
      </w:pPr>
      <w:r>
        <w:rPr>
          <w:rFonts w:hint="eastAsia" w:ascii="仿宋_GB2312" w:hAnsi="宋体" w:eastAsia="仿宋_GB2312" w:cs="宋体"/>
          <w:b/>
          <w:bCs/>
          <w:sz w:val="32"/>
          <w:szCs w:val="32"/>
        </w:rPr>
        <w:t>第十八条</w:t>
      </w:r>
      <w:r>
        <w:rPr>
          <w:rFonts w:hint="eastAsia" w:ascii="仿宋_GB2312" w:hAnsi="宋体" w:eastAsia="仿宋_GB2312" w:cs="宋体"/>
          <w:bCs/>
          <w:sz w:val="32"/>
          <w:szCs w:val="32"/>
        </w:rPr>
        <w:t xml:space="preserve">  本办法自发布之日起实施，由后勤与资产管理处负责解释。</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ascii="Calibri" w:hAnsi="Calibri"/>
          <w:b/>
          <w:color w:val="000000"/>
          <w:sz w:val="36"/>
          <w:szCs w:val="36"/>
        </w:rPr>
      </w:pPr>
      <w:bookmarkStart w:id="256" w:name="_Toc19374"/>
      <w:bookmarkStart w:id="257" w:name="_Toc31135"/>
      <w:bookmarkStart w:id="258" w:name="_Toc30456"/>
      <w:r>
        <w:rPr>
          <w:rFonts w:hint="eastAsia" w:ascii="Calibri" w:hAnsi="Calibri"/>
          <w:b/>
          <w:color w:val="000000"/>
          <w:sz w:val="36"/>
          <w:szCs w:val="36"/>
        </w:rPr>
        <w:t>柳州职业技术学院公务用车管理办法（试行）</w:t>
      </w:r>
      <w:bookmarkEnd w:id="256"/>
      <w:bookmarkEnd w:id="257"/>
      <w:bookmarkEnd w:id="258"/>
    </w:p>
    <w:p>
      <w:pPr>
        <w:pageBreakBefore w:val="0"/>
        <w:kinsoku/>
        <w:wordWrap/>
        <w:overflowPunct/>
        <w:topLinePunct w:val="0"/>
        <w:autoSpaceDE/>
        <w:autoSpaceDN/>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柳职院字〔2020〕59 号</w:t>
      </w: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第一章  总则</w:t>
      </w:r>
    </w:p>
    <w:p>
      <w:pPr>
        <w:pageBreakBefore w:val="0"/>
        <w:kinsoku/>
        <w:wordWrap/>
        <w:overflowPunct/>
        <w:topLinePunct w:val="0"/>
        <w:autoSpaceDE/>
        <w:autoSpaceDN/>
        <w:bidi w:val="0"/>
        <w:spacing w:line="596" w:lineRule="exact"/>
        <w:ind w:firstLine="643" w:firstLineChars="200"/>
        <w:jc w:val="left"/>
        <w:outlineLvl w:val="9"/>
        <w:rPr>
          <w:rFonts w:ascii="仿宋" w:hAnsi="仿宋" w:eastAsia="仿宋" w:cs="仿宋"/>
          <w:sz w:val="32"/>
          <w:szCs w:val="32"/>
        </w:rPr>
      </w:pPr>
      <w:r>
        <w:rPr>
          <w:rFonts w:hint="eastAsia" w:ascii="仿宋" w:hAnsi="仿宋" w:eastAsia="仿宋" w:cs="仿宋"/>
          <w:b/>
          <w:bCs/>
          <w:sz w:val="32"/>
          <w:szCs w:val="32"/>
        </w:rPr>
        <w:t xml:space="preserve">第一条 </w:t>
      </w:r>
      <w:r>
        <w:rPr>
          <w:rFonts w:hint="eastAsia" w:ascii="仿宋" w:hAnsi="仿宋" w:eastAsia="仿宋" w:cs="仿宋"/>
          <w:sz w:val="32"/>
          <w:szCs w:val="32"/>
        </w:rPr>
        <w:t>为贯彻落实中央八项规定精神，规范学校公务用车的配备使用管理，降低公务用车运行成本，根据《柳州市本级机关公务用车管理办法（暂行）》（柳发改体改〔2015〕42号）文件精神，结合学校实际，制定本办法。</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第二条 </w:t>
      </w:r>
      <w:r>
        <w:rPr>
          <w:rFonts w:hint="eastAsia" w:ascii="仿宋" w:hAnsi="仿宋" w:eastAsia="仿宋" w:cs="仿宋"/>
          <w:sz w:val="32"/>
          <w:szCs w:val="32"/>
        </w:rPr>
        <w:t>本办法所称公务车辆，是指事业单位公务用车制度改革后，按规定保留的车辆。</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第三条 </w:t>
      </w:r>
      <w:r>
        <w:rPr>
          <w:rFonts w:hint="eastAsia" w:ascii="仿宋" w:hAnsi="仿宋" w:eastAsia="仿宋" w:cs="仿宋"/>
          <w:sz w:val="32"/>
          <w:szCs w:val="32"/>
        </w:rPr>
        <w:t>学校现有车辆无法满足实际使用时，可采取社会化或公共交通方式出行（参见《柳州职业技术学院公务出行保障管理办法》）。</w:t>
      </w:r>
    </w:p>
    <w:p>
      <w:pPr>
        <w:pageBreakBefore w:val="0"/>
        <w:kinsoku/>
        <w:wordWrap/>
        <w:overflowPunct/>
        <w:topLinePunct w:val="0"/>
        <w:autoSpaceDE/>
        <w:autoSpaceDN/>
        <w:bidi w:val="0"/>
        <w:spacing w:line="596" w:lineRule="exact"/>
        <w:ind w:firstLine="640" w:firstLineChars="200"/>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第二章  公务用车使用</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第四条 </w:t>
      </w:r>
      <w:r>
        <w:rPr>
          <w:rFonts w:hint="eastAsia" w:ascii="仿宋" w:hAnsi="仿宋" w:eastAsia="仿宋" w:cs="仿宋"/>
          <w:sz w:val="32"/>
          <w:szCs w:val="32"/>
        </w:rPr>
        <w:t>学校公务用车使用范围：</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bookmarkStart w:id="259" w:name="OLE_LINK5"/>
      <w:bookmarkStart w:id="260" w:name="OLE_LINK3"/>
      <w:r>
        <w:rPr>
          <w:rFonts w:hint="eastAsia" w:ascii="仿宋" w:hAnsi="仿宋" w:eastAsia="仿宋" w:cs="仿宋"/>
          <w:sz w:val="32"/>
          <w:szCs w:val="32"/>
        </w:rPr>
        <w:t>（一）校领导公务用车；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（二）国内外专家、学者来校讲学、指导、评估等工作用车；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（三）相关人事档案办理工作用车；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（四）考试工作用车；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（五）财务部门到银行存取现金及办理重要支付业务用车；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（六）国际交流、外事接待用车；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（七）取送机要文件用车；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（八）离退休人员服务用车；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（九）各类突发、紧急事件的工作用车等。</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r>
        <w:rPr>
          <w:rFonts w:hint="eastAsia" w:ascii="仿宋" w:hAnsi="仿宋" w:eastAsia="仿宋" w:cs="仿宋"/>
          <w:sz w:val="32"/>
          <w:szCs w:val="32"/>
        </w:rPr>
        <w:t>因教学科研、实习实训、学生活动和招生宣传等其他工作事务出行，列入业务用车，不属于本规定管理范围。</w:t>
      </w:r>
    </w:p>
    <w:bookmarkEnd w:id="259"/>
    <w:bookmarkEnd w:id="260"/>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sz w:val="32"/>
          <w:szCs w:val="32"/>
        </w:rPr>
        <w:t xml:space="preserve">第五条 </w:t>
      </w:r>
      <w:r>
        <w:rPr>
          <w:rFonts w:hint="eastAsia" w:ascii="仿宋" w:hAnsi="仿宋" w:eastAsia="仿宋" w:cs="仿宋"/>
          <w:sz w:val="32"/>
          <w:szCs w:val="32"/>
        </w:rPr>
        <w:t>公务用车审批流程：</w:t>
      </w:r>
      <w:bookmarkStart w:id="261" w:name="OLE_LINK8"/>
      <w:r>
        <w:rPr>
          <w:rFonts w:hint="eastAsia" w:ascii="仿宋" w:hAnsi="仿宋" w:eastAsia="仿宋" w:cs="仿宋"/>
          <w:sz w:val="32"/>
          <w:szCs w:val="32"/>
        </w:rPr>
        <w:t>用车部门通过</w:t>
      </w:r>
      <w:r>
        <w:rPr>
          <w:rFonts w:ascii="仿宋" w:hAnsi="仿宋" w:eastAsia="仿宋" w:cs="仿宋"/>
          <w:sz w:val="32"/>
          <w:szCs w:val="32"/>
        </w:rPr>
        <w:t>办公</w:t>
      </w:r>
      <w:r>
        <w:rPr>
          <w:rFonts w:hint="eastAsia" w:ascii="仿宋" w:hAnsi="仿宋" w:eastAsia="仿宋" w:cs="仿宋"/>
          <w:sz w:val="32"/>
          <w:szCs w:val="32"/>
        </w:rPr>
        <w:t>系统提前填写用车申请，经本部门主要负责人签审后，由学校办公室领导审批后向车队下达出车派遣单。</w:t>
      </w:r>
      <w:bookmarkEnd w:id="261"/>
      <w:r>
        <w:rPr>
          <w:rFonts w:hint="eastAsia" w:ascii="仿宋" w:hAnsi="仿宋" w:eastAsia="仿宋" w:cs="仿宋"/>
          <w:sz w:val="32"/>
          <w:szCs w:val="32"/>
        </w:rPr>
        <w:t>未经学校办公室核准，任何部门不得使用车辆。</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sz w:val="32"/>
          <w:szCs w:val="32"/>
        </w:rPr>
        <w:t xml:space="preserve">第六条 </w:t>
      </w:r>
      <w:r>
        <w:rPr>
          <w:rFonts w:hint="eastAsia" w:ascii="仿宋" w:hAnsi="仿宋" w:eastAsia="仿宋" w:cs="仿宋"/>
          <w:sz w:val="32"/>
          <w:szCs w:val="32"/>
        </w:rPr>
        <w:t>申请用车部门原则上至少提前</w:t>
      </w:r>
      <w:r>
        <w:rPr>
          <w:rFonts w:ascii="仿宋" w:hAnsi="仿宋" w:eastAsia="仿宋" w:cs="仿宋"/>
          <w:sz w:val="32"/>
          <w:szCs w:val="32"/>
        </w:rPr>
        <w:t>2</w:t>
      </w:r>
      <w:r>
        <w:rPr>
          <w:rFonts w:hint="eastAsia" w:ascii="仿宋" w:hAnsi="仿宋" w:eastAsia="仿宋" w:cs="仿宋"/>
          <w:sz w:val="32"/>
          <w:szCs w:val="32"/>
        </w:rPr>
        <w:t>天提出申请，按学校</w:t>
      </w:r>
      <w:r>
        <w:rPr>
          <w:rFonts w:ascii="仿宋" w:hAnsi="仿宋" w:eastAsia="仿宋" w:cs="仿宋"/>
          <w:sz w:val="32"/>
          <w:szCs w:val="32"/>
        </w:rPr>
        <w:t>办公</w:t>
      </w:r>
      <w:r>
        <w:rPr>
          <w:rFonts w:hint="eastAsia" w:ascii="仿宋" w:hAnsi="仿宋" w:eastAsia="仿宋" w:cs="仿宋"/>
          <w:sz w:val="32"/>
          <w:szCs w:val="32"/>
        </w:rPr>
        <w:t>系统公务用车申请流程执行审批制度。若因紧急情况或突发事件用车，不能及时填写用车申请的，需经分管校领导同意。用车后1个工作日内补办申请流程。</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sz w:val="32"/>
          <w:szCs w:val="32"/>
        </w:rPr>
        <w:t xml:space="preserve">第七条 </w:t>
      </w:r>
      <w:r>
        <w:rPr>
          <w:rFonts w:hint="eastAsia" w:ascii="仿宋" w:hAnsi="仿宋" w:eastAsia="仿宋" w:cs="仿宋"/>
          <w:sz w:val="32"/>
          <w:szCs w:val="32"/>
        </w:rPr>
        <w:t>学校根据实际情况对用车进行统一调派，调派车辆遵循“重者为先、先者为先”原则，即当公务车辆不足或发生冲突时，优先考虑重大事项活动，优先考虑先申请部门。各部门应服从调派，不得随意指定用车车型和驾驶员，并严格按照规定用途使用公务车辆。</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sz w:val="32"/>
          <w:szCs w:val="32"/>
        </w:rPr>
        <w:t xml:space="preserve">第八条 </w:t>
      </w:r>
      <w:r>
        <w:rPr>
          <w:rFonts w:hint="eastAsia" w:ascii="仿宋" w:hAnsi="仿宋" w:eastAsia="仿宋" w:cs="仿宋"/>
          <w:sz w:val="32"/>
          <w:szCs w:val="32"/>
        </w:rPr>
        <w:t>公务用车原则上不跨市，尽量乘坐公共交通工具，减少公务用车长途行驶，因特殊情况需要跨市的，须经学校分管校领导审批。</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sz w:val="32"/>
          <w:szCs w:val="32"/>
        </w:rPr>
        <w:t xml:space="preserve">第九条 </w:t>
      </w:r>
      <w:r>
        <w:rPr>
          <w:rFonts w:hint="eastAsia" w:ascii="仿宋" w:hAnsi="仿宋" w:eastAsia="仿宋" w:cs="仿宋"/>
          <w:sz w:val="32"/>
          <w:szCs w:val="32"/>
        </w:rPr>
        <w:t>对于到偏远、边境地区开展考察、调研、培训、合作和扶贫等工作，受地理环境和当地条件限制必须要租车前往的，需报所在部门主要负责人核准，经学校分管领导审批，到学校定点租车公司租车。报销时须履行报批审核手续，并提供完整的租车合同（协议）、车辆租赁费票据等相关证明材料，根据实际若确需报销汽油费和过桥过路费的，原则上控制在城市间交通费最低标准内。</w:t>
      </w:r>
    </w:p>
    <w:p>
      <w:pPr>
        <w:pageBreakBefore w:val="0"/>
        <w:kinsoku/>
        <w:wordWrap/>
        <w:overflowPunct/>
        <w:topLinePunct w:val="0"/>
        <w:autoSpaceDE/>
        <w:autoSpaceDN/>
        <w:bidi w:val="0"/>
        <w:spacing w:line="596" w:lineRule="exact"/>
        <w:ind w:firstLine="643" w:firstLineChars="200"/>
        <w:jc w:val="left"/>
        <w:outlineLvl w:val="9"/>
        <w:rPr>
          <w:rFonts w:hint="eastAsia" w:ascii="仿宋" w:hAnsi="仿宋" w:eastAsia="仿宋" w:cs="仿宋"/>
          <w:sz w:val="32"/>
          <w:szCs w:val="32"/>
        </w:rPr>
      </w:pPr>
      <w:r>
        <w:rPr>
          <w:rFonts w:hint="eastAsia" w:ascii="仿宋" w:hAnsi="仿宋" w:eastAsia="仿宋" w:cs="仿宋"/>
          <w:b/>
          <w:sz w:val="32"/>
          <w:szCs w:val="32"/>
        </w:rPr>
        <w:t xml:space="preserve">第十条 </w:t>
      </w:r>
      <w:r>
        <w:rPr>
          <w:rFonts w:hint="eastAsia" w:ascii="仿宋" w:hAnsi="仿宋" w:eastAsia="仿宋" w:cs="仿宋"/>
          <w:sz w:val="32"/>
          <w:szCs w:val="32"/>
        </w:rPr>
        <w:t>公务租车费用结算应使用公务卡或银行转账结算，原则上不得使用现金结算。属于出差性质的公务租车，租车期间，个人不再领取差旅费的市内交通补贴。</w:t>
      </w:r>
    </w:p>
    <w:p>
      <w:pPr>
        <w:pageBreakBefore w:val="0"/>
        <w:kinsoku/>
        <w:wordWrap/>
        <w:overflowPunct/>
        <w:topLinePunct w:val="0"/>
        <w:autoSpaceDE/>
        <w:autoSpaceDN/>
        <w:bidi w:val="0"/>
        <w:spacing w:line="596" w:lineRule="exact"/>
        <w:ind w:firstLine="640" w:firstLineChars="200"/>
        <w:jc w:val="left"/>
        <w:outlineLvl w:val="9"/>
        <w:rPr>
          <w:rFonts w:hint="eastAsia"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第三章  公务用车管理</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bookmarkStart w:id="262" w:name="OLE_LINK4"/>
      <w:r>
        <w:rPr>
          <w:rFonts w:hint="eastAsia" w:ascii="仿宋" w:hAnsi="仿宋" w:eastAsia="仿宋" w:cs="仿宋"/>
          <w:b/>
          <w:bCs/>
          <w:sz w:val="32"/>
          <w:szCs w:val="32"/>
        </w:rPr>
        <w:t xml:space="preserve">第十一条 </w:t>
      </w:r>
      <w:r>
        <w:rPr>
          <w:rFonts w:hint="eastAsia" w:ascii="仿宋" w:hAnsi="仿宋" w:eastAsia="仿宋" w:cs="仿宋"/>
          <w:sz w:val="32"/>
          <w:szCs w:val="32"/>
        </w:rPr>
        <w:t>学校公务用车采取集中管理，统一调度，提高使用效率，避免浪费原则。</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第十二条</w:t>
      </w:r>
      <w:bookmarkEnd w:id="262"/>
      <w:r>
        <w:rPr>
          <w:rFonts w:hint="eastAsia" w:ascii="仿宋" w:hAnsi="仿宋" w:eastAsia="仿宋" w:cs="仿宋"/>
          <w:b/>
          <w:bCs/>
          <w:sz w:val="32"/>
          <w:szCs w:val="32"/>
        </w:rPr>
        <w:t xml:space="preserve"> </w:t>
      </w:r>
      <w:r>
        <w:rPr>
          <w:rFonts w:hint="eastAsia" w:ascii="仿宋" w:hAnsi="仿宋" w:eastAsia="仿宋" w:cs="仿宋"/>
          <w:sz w:val="32"/>
          <w:szCs w:val="32"/>
        </w:rPr>
        <w:t>学校办公室是学校公务用车的具体管理部门，负责学校公务用车的统筹调度，负责车辆登记、报废、年审、保险等各种费用的经费管理，车辆安全检查、证照档案的保管、车辆的保养维修等工作。</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b/>
          <w:bCs/>
          <w:sz w:val="32"/>
          <w:szCs w:val="32"/>
        </w:rPr>
      </w:pPr>
      <w:r>
        <w:rPr>
          <w:rFonts w:hint="eastAsia" w:ascii="仿宋" w:hAnsi="仿宋" w:eastAsia="仿宋" w:cs="仿宋"/>
          <w:b/>
          <w:bCs/>
          <w:sz w:val="32"/>
          <w:szCs w:val="32"/>
        </w:rPr>
        <w:t xml:space="preserve">第十三条 </w:t>
      </w:r>
      <w:r>
        <w:rPr>
          <w:rFonts w:hint="eastAsia" w:ascii="仿宋" w:hAnsi="仿宋" w:eastAsia="仿宋" w:cs="仿宋"/>
          <w:sz w:val="32"/>
          <w:szCs w:val="32"/>
        </w:rPr>
        <w:t>加强公务用车的日常维护和安全管理，建立公务用车档案、做到“一车一档”；公务车用油实行油卡充值办法，必须“一车一卡、定车定卡”。</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第十四条 </w:t>
      </w:r>
      <w:r>
        <w:rPr>
          <w:rFonts w:hint="eastAsia" w:ascii="仿宋" w:hAnsi="仿宋" w:eastAsia="仿宋" w:cs="仿宋"/>
          <w:sz w:val="32"/>
          <w:szCs w:val="32"/>
        </w:rPr>
        <w:t>驾驶员对车辆应当按时进行保养，确保车容整洁、车况良好，发现问题及时处理，严防事故发生。出长途车之前，须认真检查车辆，严禁车辆带故障行驶，严禁疲劳驾车。</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严格实行公务用车回校停放制度，各类公务车辆在完成公务任务后，应及时回校，并停放在校内公务车车位，不得随意在校外停放过夜；严格实行节假日封车停驶制度，节假日将公务车钥匙交车队保管。</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第十六条 </w:t>
      </w:r>
      <w:r>
        <w:rPr>
          <w:rFonts w:hint="eastAsia" w:ascii="仿宋" w:hAnsi="仿宋" w:eastAsia="仿宋" w:cs="仿宋"/>
          <w:sz w:val="32"/>
          <w:szCs w:val="32"/>
        </w:rPr>
        <w:t>不得对外出租、出借学校公务用车。</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第四章  经费管理</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第十七条 </w:t>
      </w:r>
      <w:r>
        <w:rPr>
          <w:rFonts w:hint="eastAsia" w:ascii="仿宋" w:hAnsi="仿宋" w:eastAsia="仿宋" w:cs="仿宋"/>
          <w:sz w:val="32"/>
          <w:szCs w:val="32"/>
        </w:rPr>
        <w:t>公务用车应遵循先有预算、后有支出的原则执行。严禁超预算安排公务用车支出。</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第十八条 </w:t>
      </w:r>
      <w:r>
        <w:rPr>
          <w:rFonts w:hint="eastAsia" w:ascii="仿宋" w:hAnsi="仿宋" w:eastAsia="仿宋" w:cs="仿宋"/>
          <w:sz w:val="32"/>
          <w:szCs w:val="32"/>
        </w:rPr>
        <w:t>学校公务车辆的保险、维修等日常需求严格按照相关规定定点采购，费用除进行银行转账外，应使用公务卡结算。报销时须提供有效财务票据和费用清单。</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sz w:val="32"/>
          <w:szCs w:val="32"/>
        </w:rPr>
        <w:t>第十九条</w:t>
      </w:r>
      <w:r>
        <w:rPr>
          <w:rFonts w:hint="eastAsia" w:ascii="仿宋" w:hAnsi="仿宋" w:eastAsia="仿宋" w:cs="仿宋"/>
          <w:sz w:val="32"/>
          <w:szCs w:val="32"/>
        </w:rPr>
        <w:t xml:space="preserve"> 使用公务用车作为公务出行方式的，不得报销公务交通费用。</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第五章  公务用车监督</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第二十条 </w:t>
      </w:r>
      <w:r>
        <w:rPr>
          <w:rFonts w:hint="eastAsia" w:ascii="仿宋" w:hAnsi="仿宋" w:eastAsia="仿宋" w:cs="仿宋"/>
          <w:sz w:val="32"/>
          <w:szCs w:val="32"/>
        </w:rPr>
        <w:t>公务用车实行标识化管理，按规定粘贴、保管和维护公车专用标识。学院纪委（监察室）、审计处负责公务车的使用管理进行监督，对公务车使用过程中的违纪行为进行查处。</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第二十一条 </w:t>
      </w:r>
      <w:r>
        <w:rPr>
          <w:rFonts w:hint="eastAsia" w:ascii="仿宋" w:hAnsi="仿宋" w:eastAsia="仿宋" w:cs="仿宋"/>
          <w:sz w:val="32"/>
          <w:szCs w:val="32"/>
        </w:rPr>
        <w:t>严格按照规定用途使用公务用车，严禁公车私用。禁止将公车用于婚丧喜庆、休闲度假、探亲访友等非公务活动。</w:t>
      </w:r>
    </w:p>
    <w:p>
      <w:pPr>
        <w:pageBreakBefore w:val="0"/>
        <w:kinsoku/>
        <w:wordWrap/>
        <w:overflowPunct/>
        <w:topLinePunct w:val="0"/>
        <w:autoSpaceDE/>
        <w:autoSpaceDN/>
        <w:bidi w:val="0"/>
        <w:spacing w:line="596" w:lineRule="exact"/>
        <w:ind w:firstLine="643" w:firstLineChars="200"/>
        <w:outlineLvl w:val="9"/>
        <w:rPr>
          <w:rFonts w:hint="eastAsia" w:ascii="仿宋" w:hAnsi="仿宋" w:eastAsia="仿宋" w:cs="仿宋"/>
          <w:sz w:val="32"/>
          <w:szCs w:val="32"/>
        </w:rPr>
      </w:pPr>
      <w:r>
        <w:rPr>
          <w:rFonts w:hint="eastAsia" w:ascii="仿宋" w:hAnsi="仿宋" w:eastAsia="仿宋" w:cs="仿宋"/>
          <w:b/>
          <w:bCs/>
          <w:sz w:val="32"/>
          <w:szCs w:val="32"/>
        </w:rPr>
        <w:t xml:space="preserve">第二十二条 </w:t>
      </w:r>
      <w:r>
        <w:rPr>
          <w:rFonts w:hint="eastAsia" w:ascii="仿宋" w:hAnsi="仿宋" w:eastAsia="仿宋" w:cs="仿宋"/>
          <w:sz w:val="32"/>
          <w:szCs w:val="32"/>
        </w:rPr>
        <w:t>对违反公务用车管理规定的部门和个人，学校将追究部门负责人及相关责任人的责任。</w:t>
      </w:r>
    </w:p>
    <w:p>
      <w:pPr>
        <w:pageBreakBefore w:val="0"/>
        <w:kinsoku/>
        <w:wordWrap/>
        <w:overflowPunct/>
        <w:topLinePunct w:val="0"/>
        <w:autoSpaceDE/>
        <w:autoSpaceDN/>
        <w:bidi w:val="0"/>
        <w:spacing w:line="596" w:lineRule="exact"/>
        <w:ind w:firstLine="640" w:firstLineChars="200"/>
        <w:outlineLvl w:val="9"/>
        <w:rPr>
          <w:rFonts w:ascii="仿宋" w:hAnsi="仿宋" w:eastAsia="仿宋" w:cs="仿宋"/>
          <w:sz w:val="32"/>
          <w:szCs w:val="32"/>
        </w:rPr>
      </w:pPr>
    </w:p>
    <w:p>
      <w:pPr>
        <w:pageBreakBefore w:val="0"/>
        <w:kinsoku/>
        <w:wordWrap/>
        <w:overflowPunct/>
        <w:topLinePunct w:val="0"/>
        <w:autoSpaceDE/>
        <w:autoSpaceDN/>
        <w:bidi w:val="0"/>
        <w:spacing w:line="596" w:lineRule="exact"/>
        <w:jc w:val="center"/>
        <w:outlineLvl w:val="9"/>
        <w:rPr>
          <w:rFonts w:ascii="黑体" w:hAnsi="黑体" w:eastAsia="黑体" w:cs="黑体"/>
          <w:sz w:val="32"/>
          <w:szCs w:val="32"/>
        </w:rPr>
      </w:pPr>
      <w:r>
        <w:rPr>
          <w:rFonts w:hint="eastAsia" w:ascii="黑体" w:hAnsi="黑体" w:eastAsia="黑体" w:cs="黑体"/>
          <w:sz w:val="32"/>
          <w:szCs w:val="32"/>
        </w:rPr>
        <w:t>第六章  附则</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第二十三条  </w:t>
      </w:r>
      <w:r>
        <w:rPr>
          <w:rFonts w:hint="eastAsia" w:ascii="仿宋" w:hAnsi="仿宋" w:eastAsia="仿宋" w:cs="仿宋"/>
          <w:sz w:val="32"/>
          <w:szCs w:val="32"/>
        </w:rPr>
        <w:t>本办法自印发之日起施行，此前有关公务用车管理规定与本办法不一致的，按本办法执行。</w:t>
      </w:r>
    </w:p>
    <w:p>
      <w:pPr>
        <w:pageBreakBefore w:val="0"/>
        <w:kinsoku/>
        <w:wordWrap/>
        <w:overflowPunct/>
        <w:topLinePunct w:val="0"/>
        <w:autoSpaceDE/>
        <w:autoSpaceDN/>
        <w:bidi w:val="0"/>
        <w:spacing w:line="596" w:lineRule="exact"/>
        <w:ind w:firstLine="643" w:firstLineChars="200"/>
        <w:outlineLvl w:val="9"/>
        <w:rPr>
          <w:rFonts w:ascii="仿宋" w:hAnsi="仿宋" w:eastAsia="仿宋" w:cs="仿宋"/>
          <w:sz w:val="32"/>
          <w:szCs w:val="32"/>
        </w:rPr>
      </w:pPr>
      <w:r>
        <w:rPr>
          <w:rFonts w:hint="eastAsia" w:ascii="仿宋" w:hAnsi="仿宋" w:eastAsia="仿宋" w:cs="仿宋"/>
          <w:b/>
          <w:bCs/>
          <w:sz w:val="32"/>
          <w:szCs w:val="32"/>
        </w:rPr>
        <w:t xml:space="preserve">第二十四条  </w:t>
      </w:r>
      <w:r>
        <w:rPr>
          <w:rFonts w:hint="eastAsia" w:ascii="仿宋" w:hAnsi="仿宋" w:eastAsia="仿宋" w:cs="仿宋"/>
          <w:sz w:val="32"/>
          <w:szCs w:val="32"/>
        </w:rPr>
        <w:t>本办法由学校办公室负责解释。</w:t>
      </w:r>
    </w:p>
    <w:p>
      <w:pPr>
        <w:pageBreakBefore w:val="0"/>
        <w:kinsoku/>
        <w:wordWrap/>
        <w:overflowPunct/>
        <w:topLinePunct w:val="0"/>
        <w:autoSpaceDE/>
        <w:autoSpaceDN/>
        <w:bidi w:val="0"/>
        <w:spacing w:line="596" w:lineRule="exact"/>
        <w:jc w:val="center"/>
        <w:outlineLvl w:val="9"/>
        <w:rPr>
          <w:rFonts w:ascii="Calibri" w:hAnsi="Calibri"/>
          <w:b/>
          <w:color w:val="000000"/>
          <w:sz w:val="36"/>
          <w:szCs w:val="36"/>
        </w:rPr>
      </w:pPr>
      <w:r>
        <w:rPr>
          <w:rFonts w:ascii="宋体" w:hAnsi="宋体"/>
          <w:sz w:val="24"/>
        </w:rPr>
        <w:br w:type="page"/>
      </w:r>
      <w:r>
        <w:rPr>
          <w:rFonts w:hint="eastAsia" w:ascii="Calibri" w:hAnsi="Calibri"/>
          <w:b/>
          <w:color w:val="000000"/>
          <w:sz w:val="36"/>
          <w:szCs w:val="36"/>
        </w:rPr>
        <w:t>柳州职业技术学院公务用车申请审批表</w:t>
      </w:r>
    </w:p>
    <w:p>
      <w:pPr>
        <w:pageBreakBefore w:val="0"/>
        <w:kinsoku/>
        <w:wordWrap/>
        <w:overflowPunct/>
        <w:topLinePunct w:val="0"/>
        <w:autoSpaceDE/>
        <w:autoSpaceDN/>
        <w:bidi w:val="0"/>
        <w:outlineLvl w:val="9"/>
        <w:rPr>
          <w:rFonts w:ascii="Calibri" w:hAnsi="Calibri"/>
        </w:rPr>
      </w:pPr>
    </w:p>
    <w:p>
      <w:pPr>
        <w:pageBreakBefore w:val="0"/>
        <w:kinsoku/>
        <w:wordWrap/>
        <w:overflowPunct/>
        <w:topLinePunct w:val="0"/>
        <w:autoSpaceDE/>
        <w:autoSpaceDN/>
        <w:bidi w:val="0"/>
        <w:outlineLvl w:val="9"/>
        <w:rPr>
          <w:rFonts w:ascii="Calibri" w:hAnsi="Calibri"/>
          <w:color w:val="FF0000"/>
          <w:sz w:val="24"/>
        </w:rPr>
      </w:pPr>
      <w:r>
        <w:rPr>
          <w:rFonts w:hint="eastAsia" w:ascii="Calibri" w:hAnsi="Calibri"/>
          <w:color w:val="FF0000"/>
          <w:sz w:val="24"/>
        </w:rPr>
        <w:t>用车申请人对经费报销的真实性、合规性、合法性负责</w:t>
      </w:r>
    </w:p>
    <w:p>
      <w:pPr>
        <w:pageBreakBefore w:val="0"/>
        <w:kinsoku/>
        <w:wordWrap/>
        <w:overflowPunct/>
        <w:topLinePunct w:val="0"/>
        <w:autoSpaceDE/>
        <w:autoSpaceDN/>
        <w:bidi w:val="0"/>
        <w:outlineLvl w:val="9"/>
        <w:rPr>
          <w:rFonts w:ascii="Calibri" w:hAnsi="Calibri"/>
          <w:color w:val="FF0000"/>
        </w:rPr>
      </w:pPr>
    </w:p>
    <w:tbl>
      <w:tblPr>
        <w:tblStyle w:val="17"/>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992"/>
        <w:gridCol w:w="709"/>
        <w:gridCol w:w="850"/>
        <w:gridCol w:w="1560"/>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color w:val="FF0000"/>
                <w:sz w:val="24"/>
              </w:rPr>
            </w:pPr>
            <w:r>
              <w:rPr>
                <w:rFonts w:hint="eastAsia" w:ascii="Calibri" w:hAnsi="Calibri"/>
                <w:sz w:val="24"/>
              </w:rPr>
              <w:t>部门</w:t>
            </w:r>
          </w:p>
        </w:tc>
        <w:tc>
          <w:tcPr>
            <w:tcW w:w="992" w:type="dxa"/>
            <w:noWrap w:val="0"/>
            <w:vAlign w:val="center"/>
          </w:tcPr>
          <w:p>
            <w:pPr>
              <w:pageBreakBefore w:val="0"/>
              <w:kinsoku/>
              <w:wordWrap/>
              <w:overflowPunct/>
              <w:topLinePunct w:val="0"/>
              <w:autoSpaceDE/>
              <w:autoSpaceDN/>
              <w:bidi w:val="0"/>
              <w:jc w:val="center"/>
              <w:outlineLvl w:val="9"/>
              <w:rPr>
                <w:rFonts w:ascii="Calibri" w:hAnsi="Calibri"/>
                <w:color w:val="FF0000"/>
                <w:sz w:val="24"/>
              </w:rPr>
            </w:pPr>
          </w:p>
        </w:tc>
        <w:tc>
          <w:tcPr>
            <w:tcW w:w="1559" w:type="dxa"/>
            <w:gridSpan w:val="2"/>
            <w:noWrap w:val="0"/>
            <w:vAlign w:val="center"/>
          </w:tcPr>
          <w:p>
            <w:pPr>
              <w:pageBreakBefore w:val="0"/>
              <w:kinsoku/>
              <w:wordWrap/>
              <w:overflowPunct/>
              <w:topLinePunct w:val="0"/>
              <w:autoSpaceDE/>
              <w:autoSpaceDN/>
              <w:bidi w:val="0"/>
              <w:jc w:val="center"/>
              <w:outlineLvl w:val="9"/>
              <w:rPr>
                <w:rFonts w:ascii="Calibri" w:hAnsi="Calibri"/>
                <w:color w:val="FF0000"/>
                <w:sz w:val="24"/>
              </w:rPr>
            </w:pPr>
            <w:r>
              <w:rPr>
                <w:rFonts w:hint="eastAsia" w:ascii="Calibri" w:hAnsi="Calibri"/>
                <w:sz w:val="24"/>
              </w:rPr>
              <w:t>申请人</w:t>
            </w:r>
          </w:p>
        </w:tc>
        <w:tc>
          <w:tcPr>
            <w:tcW w:w="1560" w:type="dxa"/>
            <w:noWrap w:val="0"/>
            <w:vAlign w:val="center"/>
          </w:tcPr>
          <w:p>
            <w:pPr>
              <w:pageBreakBefore w:val="0"/>
              <w:kinsoku/>
              <w:wordWrap/>
              <w:overflowPunct/>
              <w:topLinePunct w:val="0"/>
              <w:autoSpaceDE/>
              <w:autoSpaceDN/>
              <w:bidi w:val="0"/>
              <w:jc w:val="center"/>
              <w:outlineLvl w:val="9"/>
              <w:rPr>
                <w:rFonts w:ascii="Calibri" w:hAnsi="Calibri"/>
                <w:color w:val="FF0000"/>
                <w:sz w:val="24"/>
              </w:rPr>
            </w:pPr>
          </w:p>
        </w:tc>
        <w:tc>
          <w:tcPr>
            <w:tcW w:w="1417"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申请日期</w:t>
            </w:r>
          </w:p>
        </w:tc>
        <w:tc>
          <w:tcPr>
            <w:tcW w:w="1559" w:type="dxa"/>
            <w:noWrap w:val="0"/>
            <w:vAlign w:val="center"/>
          </w:tcPr>
          <w:p>
            <w:pPr>
              <w:pageBreakBefore w:val="0"/>
              <w:kinsoku/>
              <w:wordWrap/>
              <w:overflowPunct/>
              <w:topLinePunct w:val="0"/>
              <w:autoSpaceDE/>
              <w:autoSpaceDN/>
              <w:bidi w:val="0"/>
              <w:jc w:val="center"/>
              <w:outlineLvl w:val="9"/>
              <w:rPr>
                <w:rFonts w:ascii="Calibri" w:hAnsi="Calibri"/>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用车事由</w:t>
            </w:r>
          </w:p>
        </w:tc>
        <w:tc>
          <w:tcPr>
            <w:tcW w:w="4111" w:type="dxa"/>
            <w:gridSpan w:val="4"/>
            <w:noWrap w:val="0"/>
            <w:vAlign w:val="center"/>
          </w:tcPr>
          <w:p>
            <w:pPr>
              <w:pageBreakBefore w:val="0"/>
              <w:kinsoku/>
              <w:wordWrap/>
              <w:overflowPunct/>
              <w:topLinePunct w:val="0"/>
              <w:autoSpaceDE/>
              <w:autoSpaceDN/>
              <w:bidi w:val="0"/>
              <w:jc w:val="center"/>
              <w:outlineLvl w:val="9"/>
              <w:rPr>
                <w:rFonts w:ascii="Calibri" w:hAnsi="Calibri"/>
                <w:color w:val="FF0000"/>
                <w:sz w:val="24"/>
              </w:rPr>
            </w:pPr>
          </w:p>
        </w:tc>
        <w:tc>
          <w:tcPr>
            <w:tcW w:w="1417"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用车车型</w:t>
            </w:r>
          </w:p>
        </w:tc>
        <w:tc>
          <w:tcPr>
            <w:tcW w:w="1559" w:type="dxa"/>
            <w:noWrap w:val="0"/>
            <w:vAlign w:val="center"/>
          </w:tcPr>
          <w:p>
            <w:pPr>
              <w:pageBreakBefore w:val="0"/>
              <w:kinsoku/>
              <w:wordWrap/>
              <w:overflowPunct/>
              <w:topLinePunct w:val="0"/>
              <w:autoSpaceDE/>
              <w:autoSpaceDN/>
              <w:bidi w:val="0"/>
              <w:jc w:val="center"/>
              <w:outlineLvl w:val="9"/>
              <w:rPr>
                <w:rFonts w:ascii="Calibri" w:hAnsi="Calibri"/>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2269" w:type="dxa"/>
            <w:vMerge w:val="restart"/>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用车方式</w:t>
            </w:r>
          </w:p>
        </w:tc>
        <w:tc>
          <w:tcPr>
            <w:tcW w:w="4111" w:type="dxa"/>
            <w:gridSpan w:val="4"/>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社会化出行</w:t>
            </w:r>
            <w:r>
              <w:rPr>
                <w:rFonts w:hint="eastAsia" w:ascii="宋体" w:hAnsi="宋体"/>
                <w:sz w:val="24"/>
              </w:rPr>
              <w:t>□</w:t>
            </w:r>
          </w:p>
        </w:tc>
        <w:tc>
          <w:tcPr>
            <w:tcW w:w="2976" w:type="dxa"/>
            <w:gridSpan w:val="2"/>
            <w:vMerge w:val="restart"/>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宋体" w:hAnsi="宋体"/>
                <w:sz w:val="24"/>
              </w:rPr>
              <w:t>学校派车□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2269" w:type="dxa"/>
            <w:vMerge w:val="continue"/>
            <w:noWrap w:val="0"/>
            <w:vAlign w:val="center"/>
          </w:tcPr>
          <w:p>
            <w:pPr>
              <w:pageBreakBefore w:val="0"/>
              <w:kinsoku/>
              <w:wordWrap/>
              <w:overflowPunct/>
              <w:topLinePunct w:val="0"/>
              <w:autoSpaceDE/>
              <w:autoSpaceDN/>
              <w:bidi w:val="0"/>
              <w:jc w:val="center"/>
              <w:outlineLvl w:val="9"/>
              <w:rPr>
                <w:rFonts w:ascii="Calibri" w:hAnsi="Calibri"/>
                <w:sz w:val="24"/>
              </w:rPr>
            </w:pPr>
          </w:p>
        </w:tc>
        <w:tc>
          <w:tcPr>
            <w:tcW w:w="1701" w:type="dxa"/>
            <w:gridSpan w:val="2"/>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公共交通</w:t>
            </w:r>
            <w:r>
              <w:rPr>
                <w:rFonts w:hint="eastAsia" w:ascii="宋体" w:hAnsi="宋体"/>
                <w:sz w:val="24"/>
              </w:rPr>
              <w:t>□</w:t>
            </w:r>
          </w:p>
        </w:tc>
        <w:tc>
          <w:tcPr>
            <w:tcW w:w="2410" w:type="dxa"/>
            <w:gridSpan w:val="2"/>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非公共交通</w:t>
            </w:r>
            <w:r>
              <w:rPr>
                <w:rFonts w:hint="eastAsia" w:ascii="宋体" w:hAnsi="宋体"/>
                <w:sz w:val="24"/>
              </w:rPr>
              <w:t>□</w:t>
            </w:r>
          </w:p>
        </w:tc>
        <w:tc>
          <w:tcPr>
            <w:tcW w:w="2976" w:type="dxa"/>
            <w:gridSpan w:val="2"/>
            <w:vMerge w:val="continue"/>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用车日期</w:t>
            </w:r>
          </w:p>
        </w:tc>
        <w:tc>
          <w:tcPr>
            <w:tcW w:w="7087" w:type="dxa"/>
            <w:gridSpan w:val="6"/>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用车起止时间</w:t>
            </w:r>
          </w:p>
        </w:tc>
        <w:tc>
          <w:tcPr>
            <w:tcW w:w="7087" w:type="dxa"/>
            <w:gridSpan w:val="6"/>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用车起止地点</w:t>
            </w:r>
          </w:p>
        </w:tc>
        <w:tc>
          <w:tcPr>
            <w:tcW w:w="7087" w:type="dxa"/>
            <w:gridSpan w:val="6"/>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乘车人员名单</w:t>
            </w:r>
          </w:p>
        </w:tc>
        <w:tc>
          <w:tcPr>
            <w:tcW w:w="7087" w:type="dxa"/>
            <w:gridSpan w:val="6"/>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经费预算及</w:t>
            </w:r>
          </w:p>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经费项目名称</w:t>
            </w:r>
          </w:p>
          <w:p>
            <w:pPr>
              <w:pageBreakBefore w:val="0"/>
              <w:kinsoku/>
              <w:wordWrap/>
              <w:overflowPunct/>
              <w:topLinePunct w:val="0"/>
              <w:autoSpaceDE/>
              <w:autoSpaceDN/>
              <w:bidi w:val="0"/>
              <w:jc w:val="center"/>
              <w:outlineLvl w:val="9"/>
              <w:rPr>
                <w:rFonts w:ascii="Calibri" w:hAnsi="Calibri"/>
                <w:color w:val="FF0000"/>
                <w:sz w:val="24"/>
              </w:rPr>
            </w:pPr>
            <w:r>
              <w:rPr>
                <w:rFonts w:hint="eastAsia" w:ascii="Calibri" w:hAnsi="Calibri"/>
                <w:color w:val="FF0000"/>
                <w:sz w:val="24"/>
              </w:rPr>
              <w:t>（说明：选择学校派车无需填写此项）</w:t>
            </w:r>
          </w:p>
        </w:tc>
        <w:tc>
          <w:tcPr>
            <w:tcW w:w="7087" w:type="dxa"/>
            <w:gridSpan w:val="6"/>
            <w:noWrap w:val="0"/>
            <w:vAlign w:val="center"/>
          </w:tcPr>
          <w:p>
            <w:pPr>
              <w:pageBreakBefore w:val="0"/>
              <w:kinsoku/>
              <w:wordWrap/>
              <w:overflowPunct/>
              <w:topLinePunct w:val="0"/>
              <w:autoSpaceDE/>
              <w:autoSpaceDN/>
              <w:bidi w:val="0"/>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2269"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部门负责人</w:t>
            </w:r>
          </w:p>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意见</w:t>
            </w:r>
          </w:p>
        </w:tc>
        <w:tc>
          <w:tcPr>
            <w:tcW w:w="2551" w:type="dxa"/>
            <w:gridSpan w:val="3"/>
            <w:noWrap w:val="0"/>
            <w:vAlign w:val="center"/>
          </w:tcPr>
          <w:p>
            <w:pPr>
              <w:pageBreakBefore w:val="0"/>
              <w:kinsoku/>
              <w:wordWrap/>
              <w:overflowPunct/>
              <w:topLinePunct w:val="0"/>
              <w:autoSpaceDE/>
              <w:autoSpaceDN/>
              <w:bidi w:val="0"/>
              <w:jc w:val="center"/>
              <w:outlineLvl w:val="9"/>
              <w:rPr>
                <w:rFonts w:ascii="Calibri" w:hAnsi="Calibri"/>
                <w:sz w:val="24"/>
              </w:rPr>
            </w:pPr>
          </w:p>
        </w:tc>
        <w:tc>
          <w:tcPr>
            <w:tcW w:w="1560" w:type="dxa"/>
            <w:noWrap w:val="0"/>
            <w:vAlign w:val="center"/>
          </w:tcPr>
          <w:p>
            <w:pPr>
              <w:pageBreakBefore w:val="0"/>
              <w:kinsoku/>
              <w:wordWrap/>
              <w:overflowPunct/>
              <w:topLinePunct w:val="0"/>
              <w:autoSpaceDE/>
              <w:autoSpaceDN/>
              <w:bidi w:val="0"/>
              <w:jc w:val="center"/>
              <w:outlineLvl w:val="9"/>
              <w:rPr>
                <w:rFonts w:ascii="Calibri" w:hAnsi="Calibri"/>
                <w:sz w:val="24"/>
              </w:rPr>
            </w:pPr>
            <w:r>
              <w:rPr>
                <w:rFonts w:hint="eastAsia" w:ascii="Calibri" w:hAnsi="Calibri"/>
                <w:sz w:val="24"/>
              </w:rPr>
              <w:t>学校办公室意见</w:t>
            </w:r>
          </w:p>
        </w:tc>
        <w:tc>
          <w:tcPr>
            <w:tcW w:w="2976" w:type="dxa"/>
            <w:gridSpan w:val="2"/>
            <w:noWrap w:val="0"/>
            <w:vAlign w:val="center"/>
          </w:tcPr>
          <w:p>
            <w:pPr>
              <w:pageBreakBefore w:val="0"/>
              <w:kinsoku/>
              <w:wordWrap/>
              <w:overflowPunct/>
              <w:topLinePunct w:val="0"/>
              <w:autoSpaceDE/>
              <w:autoSpaceDN/>
              <w:bidi w:val="0"/>
              <w:jc w:val="center"/>
              <w:outlineLvl w:val="9"/>
              <w:rPr>
                <w:rFonts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269" w:type="dxa"/>
            <w:noWrap w:val="0"/>
            <w:vAlign w:val="center"/>
          </w:tcPr>
          <w:p>
            <w:pPr>
              <w:pageBreakBefore w:val="0"/>
              <w:kinsoku/>
              <w:wordWrap/>
              <w:overflowPunct/>
              <w:topLinePunct w:val="0"/>
              <w:autoSpaceDE/>
              <w:autoSpaceDN/>
              <w:bidi w:val="0"/>
              <w:jc w:val="left"/>
              <w:outlineLvl w:val="9"/>
              <w:rPr>
                <w:rFonts w:ascii="Calibri" w:hAnsi="Calibri"/>
                <w:sz w:val="24"/>
              </w:rPr>
            </w:pPr>
            <w:r>
              <w:rPr>
                <w:rFonts w:hint="eastAsia" w:ascii="Calibri" w:hAnsi="Calibri"/>
                <w:sz w:val="24"/>
              </w:rPr>
              <w:t>分管校领导意见</w:t>
            </w:r>
          </w:p>
        </w:tc>
        <w:tc>
          <w:tcPr>
            <w:tcW w:w="7087" w:type="dxa"/>
            <w:gridSpan w:val="6"/>
            <w:noWrap w:val="0"/>
            <w:vAlign w:val="center"/>
          </w:tcPr>
          <w:p>
            <w:pPr>
              <w:pageBreakBefore w:val="0"/>
              <w:kinsoku/>
              <w:wordWrap/>
              <w:overflowPunct/>
              <w:topLinePunct w:val="0"/>
              <w:autoSpaceDE/>
              <w:autoSpaceDN/>
              <w:bidi w:val="0"/>
              <w:jc w:val="left"/>
              <w:outlineLvl w:val="9"/>
              <w:rPr>
                <w:rFonts w:ascii="Calibri" w:hAnsi="Calibri"/>
                <w:sz w:val="24"/>
              </w:rPr>
            </w:pPr>
          </w:p>
        </w:tc>
      </w:tr>
    </w:tbl>
    <w:p>
      <w:pPr>
        <w:pageBreakBefore w:val="0"/>
        <w:kinsoku/>
        <w:wordWrap/>
        <w:overflowPunct/>
        <w:topLinePunct w:val="0"/>
        <w:autoSpaceDE/>
        <w:autoSpaceDN/>
        <w:bidi w:val="0"/>
        <w:outlineLvl w:val="9"/>
        <w:rPr>
          <w:rFonts w:ascii="Calibri" w:hAnsi="Calibri"/>
          <w:color w:val="FF0000"/>
        </w:rPr>
      </w:pPr>
    </w:p>
    <w:p>
      <w:pPr>
        <w:pageBreakBefore w:val="0"/>
        <w:kinsoku/>
        <w:wordWrap/>
        <w:overflowPunct/>
        <w:topLinePunct w:val="0"/>
        <w:autoSpaceDE/>
        <w:autoSpaceDN/>
        <w:bidi w:val="0"/>
        <w:spacing w:line="596" w:lineRule="exact"/>
        <w:ind w:firstLine="480" w:firstLineChars="200"/>
        <w:outlineLvl w:val="9"/>
        <w:rPr>
          <w:rFonts w:hint="eastAsia" w:ascii="宋体" w:hAnsi="宋体"/>
          <w:sz w:val="24"/>
        </w:rPr>
      </w:pPr>
    </w:p>
    <w:p>
      <w:pPr>
        <w:pageBreakBefore w:val="0"/>
        <w:kinsoku/>
        <w:wordWrap/>
        <w:overflowPunct/>
        <w:topLinePunct w:val="0"/>
        <w:autoSpaceDE/>
        <w:autoSpaceDN/>
        <w:bidi w:val="0"/>
        <w:spacing w:line="596" w:lineRule="exact"/>
        <w:ind w:firstLine="480" w:firstLineChars="200"/>
        <w:outlineLvl w:val="9"/>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263" w:name="_Toc21635"/>
      <w:bookmarkStart w:id="264" w:name="_Toc23972"/>
      <w:bookmarkStart w:id="265" w:name="_Toc20132"/>
      <w:r>
        <w:rPr>
          <w:rFonts w:hint="eastAsia" w:ascii="Calibri" w:hAnsi="Calibri"/>
          <w:b/>
          <w:color w:val="000000"/>
          <w:sz w:val="36"/>
          <w:szCs w:val="36"/>
        </w:rPr>
        <w:t>柳州职业技术学院公务出行保障管理办法(试行)</w:t>
      </w:r>
      <w:bookmarkEnd w:id="263"/>
      <w:bookmarkEnd w:id="264"/>
      <w:bookmarkEnd w:id="265"/>
    </w:p>
    <w:p>
      <w:pPr>
        <w:pageBreakBefore w:val="0"/>
        <w:kinsoku/>
        <w:wordWrap/>
        <w:overflowPunct/>
        <w:topLinePunct w:val="0"/>
        <w:autoSpaceDE/>
        <w:autoSpaceDN/>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柳职院字〔2020〕60号</w:t>
      </w:r>
    </w:p>
    <w:p>
      <w:pPr>
        <w:pageBreakBefore w:val="0"/>
        <w:kinsoku/>
        <w:wordWrap/>
        <w:overflowPunct/>
        <w:topLinePunct w:val="0"/>
        <w:autoSpaceDE/>
        <w:autoSpaceDN/>
        <w:bidi w:val="0"/>
        <w:spacing w:line="570" w:lineRule="exact"/>
        <w:jc w:val="center"/>
        <w:outlineLvl w:val="9"/>
        <w:rPr>
          <w:rFonts w:ascii="黑体" w:hAnsi="黑体" w:eastAsia="黑体" w:cs="黑体"/>
          <w:b/>
          <w:sz w:val="32"/>
          <w:szCs w:val="32"/>
        </w:rPr>
      </w:pPr>
      <w:r>
        <w:rPr>
          <w:rFonts w:hint="eastAsia" w:ascii="黑体" w:hAnsi="黑体" w:eastAsia="黑体" w:cs="黑体"/>
          <w:b/>
          <w:sz w:val="32"/>
          <w:szCs w:val="32"/>
        </w:rPr>
        <w:t>第一章  总则</w:t>
      </w:r>
    </w:p>
    <w:p>
      <w:pPr>
        <w:pageBreakBefore w:val="0"/>
        <w:kinsoku/>
        <w:wordWrap/>
        <w:overflowPunct/>
        <w:topLinePunct w:val="0"/>
        <w:autoSpaceDE/>
        <w:autoSpaceDN/>
        <w:bidi w:val="0"/>
        <w:spacing w:line="580" w:lineRule="exact"/>
        <w:ind w:firstLine="643" w:firstLineChars="200"/>
        <w:jc w:val="left"/>
        <w:outlineLvl w:val="9"/>
        <w:rPr>
          <w:rFonts w:ascii="仿宋_GB2312" w:hAnsi="Calibri" w:eastAsia="仿宋_GB2312"/>
          <w:sz w:val="32"/>
          <w:szCs w:val="32"/>
        </w:rPr>
      </w:pPr>
      <w:r>
        <w:rPr>
          <w:rFonts w:hint="eastAsia" w:ascii="仿宋_GB2312" w:hAnsi="Calibri" w:eastAsia="仿宋_GB2312"/>
          <w:b/>
          <w:sz w:val="32"/>
          <w:szCs w:val="32"/>
        </w:rPr>
        <w:t>第一条</w:t>
      </w:r>
      <w:r>
        <w:rPr>
          <w:rFonts w:hint="eastAsia" w:ascii="仿宋_GB2312" w:hAnsi="Calibri" w:eastAsia="仿宋_GB2312"/>
          <w:sz w:val="32"/>
          <w:szCs w:val="32"/>
        </w:rPr>
        <w:t xml:space="preserve"> 为贯彻落实中央八项规定精神，规范学院公务用车的配备使用管理，降低公务用车运行成本，根据《柳州市公务用车制度改革实施办案》（柳办发〔2015〕35号）、《关于印发柳州市本级非参公事业单位市内公务出行交通费管理办法（试行）的通知》（柳财教〔2019〕6号）、《柳州职业技术学院公务用车制度改革实施方案》，结合学校实际，制定本办法。</w:t>
      </w:r>
    </w:p>
    <w:p>
      <w:pPr>
        <w:pageBreakBefore w:val="0"/>
        <w:kinsoku/>
        <w:wordWrap/>
        <w:overflowPunct/>
        <w:topLinePunct w:val="0"/>
        <w:autoSpaceDE/>
        <w:autoSpaceDN/>
        <w:bidi w:val="0"/>
        <w:spacing w:line="580"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sz w:val="32"/>
          <w:szCs w:val="32"/>
        </w:rPr>
        <w:t>第二条</w:t>
      </w:r>
      <w:r>
        <w:rPr>
          <w:rFonts w:hint="eastAsia" w:ascii="仿宋_GB2312" w:hAnsi="Calibri" w:eastAsia="仿宋_GB2312"/>
          <w:sz w:val="32"/>
          <w:szCs w:val="32"/>
        </w:rPr>
        <w:t xml:space="preserve"> 本办法所称公务出行保障，是指参加公务用车制度改革后学院教职工</w:t>
      </w:r>
      <w:r>
        <w:rPr>
          <w:rFonts w:ascii="仿宋_GB2312" w:hAnsi="Calibri" w:eastAsia="仿宋_GB2312"/>
          <w:sz w:val="32"/>
          <w:szCs w:val="32"/>
        </w:rPr>
        <w:t>在柳州市城区划定范围内从事公务活动</w:t>
      </w:r>
      <w:r>
        <w:rPr>
          <w:rFonts w:hint="eastAsia" w:ascii="仿宋_GB2312" w:hAnsi="Calibri" w:eastAsia="仿宋_GB2312"/>
          <w:sz w:val="32"/>
          <w:szCs w:val="32"/>
        </w:rPr>
        <w:t>的交通保障，采用社会化出行和公务交通费用实报实销方式解决。在柳州市城区划定范围之外从事公务活动，按照现行差旅费管理办法执行。</w:t>
      </w:r>
    </w:p>
    <w:p>
      <w:pPr>
        <w:pageBreakBefore w:val="0"/>
        <w:kinsoku/>
        <w:wordWrap/>
        <w:overflowPunct/>
        <w:topLinePunct w:val="0"/>
        <w:autoSpaceDE/>
        <w:autoSpaceDN/>
        <w:bidi w:val="0"/>
        <w:spacing w:line="580"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sz w:val="32"/>
          <w:szCs w:val="32"/>
        </w:rPr>
        <w:t>第三条</w:t>
      </w:r>
      <w:r>
        <w:rPr>
          <w:rFonts w:hint="eastAsia" w:ascii="仿宋_GB2312" w:hAnsi="Calibri" w:eastAsia="仿宋_GB2312"/>
          <w:sz w:val="32"/>
          <w:szCs w:val="32"/>
        </w:rPr>
        <w:t xml:space="preserve"> 公务出行保障应当遵循厉行节约、科学规范、公开透明、安全高效的原则，实现公务出行便捷合理、交通费用节约可控、车辆管理规范透明、监管问责科学有效的目标。</w:t>
      </w:r>
    </w:p>
    <w:p>
      <w:pPr>
        <w:pageBreakBefore w:val="0"/>
        <w:kinsoku/>
        <w:wordWrap/>
        <w:overflowPunct/>
        <w:topLinePunct w:val="0"/>
        <w:autoSpaceDE/>
        <w:autoSpaceDN/>
        <w:bidi w:val="0"/>
        <w:spacing w:line="580" w:lineRule="exact"/>
        <w:jc w:val="center"/>
        <w:outlineLvl w:val="9"/>
        <w:rPr>
          <w:rFonts w:hint="eastAsia" w:ascii="仿宋_GB2312" w:hAnsi="黑体" w:eastAsia="仿宋_GB2312" w:cs="黑体"/>
          <w:b/>
          <w:bCs/>
          <w:sz w:val="32"/>
          <w:szCs w:val="32"/>
        </w:rPr>
      </w:pPr>
    </w:p>
    <w:p>
      <w:pPr>
        <w:pageBreakBefore w:val="0"/>
        <w:kinsoku/>
        <w:wordWrap/>
        <w:overflowPunct/>
        <w:topLinePunct w:val="0"/>
        <w:autoSpaceDE/>
        <w:autoSpaceDN/>
        <w:bidi w:val="0"/>
        <w:spacing w:line="580" w:lineRule="exact"/>
        <w:jc w:val="center"/>
        <w:outlineLvl w:val="9"/>
        <w:rPr>
          <w:rFonts w:ascii="仿宋_GB2312" w:hAnsi="黑体" w:eastAsia="仿宋_GB2312" w:cs="黑体"/>
          <w:b/>
          <w:bCs/>
          <w:sz w:val="32"/>
          <w:szCs w:val="32"/>
        </w:rPr>
      </w:pPr>
      <w:r>
        <w:rPr>
          <w:rFonts w:hint="eastAsia" w:ascii="仿宋_GB2312" w:hAnsi="黑体" w:eastAsia="仿宋_GB2312" w:cs="黑体"/>
          <w:b/>
          <w:bCs/>
          <w:sz w:val="32"/>
          <w:szCs w:val="32"/>
        </w:rPr>
        <w:t>第二章 公务车辆使用范围及审批</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仿宋" w:eastAsia="仿宋_GB2312" w:cs="仿宋"/>
          <w:b/>
          <w:bCs/>
          <w:sz w:val="32"/>
          <w:szCs w:val="32"/>
        </w:rPr>
        <w:t xml:space="preserve">第四条 </w:t>
      </w:r>
      <w:r>
        <w:rPr>
          <w:rFonts w:hint="eastAsia" w:ascii="仿宋_GB2312" w:hAnsi="仿宋" w:eastAsia="仿宋_GB2312" w:cs="仿宋"/>
          <w:sz w:val="32"/>
          <w:szCs w:val="32"/>
        </w:rPr>
        <w:t>学校公务车辆在柳州市城区划定范围内保障需要</w:t>
      </w:r>
      <w:r>
        <w:rPr>
          <w:rFonts w:hint="eastAsia" w:ascii="仿宋_GB2312" w:hAnsi="Calibri" w:eastAsia="仿宋_GB2312" w:cs="Calibri"/>
          <w:kern w:val="0"/>
          <w:sz w:val="32"/>
          <w:szCs w:val="32"/>
        </w:rPr>
        <w:t>。</w:t>
      </w:r>
      <w:r>
        <w:rPr>
          <w:rFonts w:hint="eastAsia" w:ascii="仿宋_GB2312" w:hAnsi="仿宋" w:eastAsia="仿宋_GB2312" w:cs="仿宋"/>
          <w:sz w:val="32"/>
          <w:szCs w:val="32"/>
        </w:rPr>
        <w:t>在柳州市划定城区范围外，主要保障学校领导业务活动需要。</w:t>
      </w:r>
    </w:p>
    <w:p>
      <w:pPr>
        <w:pageBreakBefore w:val="0"/>
        <w:kinsoku/>
        <w:wordWrap/>
        <w:overflowPunct/>
        <w:topLinePunct w:val="0"/>
        <w:autoSpaceDE/>
        <w:autoSpaceDN/>
        <w:bidi w:val="0"/>
        <w:spacing w:line="580" w:lineRule="exact"/>
        <w:ind w:firstLine="643" w:firstLineChars="200"/>
        <w:outlineLvl w:val="9"/>
        <w:rPr>
          <w:rFonts w:ascii="仿宋_GB2312" w:hAnsi="Calibri" w:eastAsia="仿宋_GB2312"/>
          <w:sz w:val="32"/>
          <w:szCs w:val="32"/>
        </w:rPr>
      </w:pPr>
      <w:r>
        <w:rPr>
          <w:rFonts w:hint="eastAsia" w:ascii="仿宋_GB2312" w:hAnsi="仿宋" w:eastAsia="仿宋_GB2312" w:cs="仿宋"/>
          <w:b/>
          <w:bCs/>
          <w:sz w:val="32"/>
          <w:szCs w:val="32"/>
        </w:rPr>
        <w:t xml:space="preserve">第五条  </w:t>
      </w:r>
      <w:r>
        <w:rPr>
          <w:rFonts w:hint="eastAsia" w:ascii="仿宋_GB2312" w:hAnsi="Calibri" w:eastAsia="仿宋_GB2312"/>
          <w:sz w:val="32"/>
          <w:szCs w:val="32"/>
        </w:rPr>
        <w:t xml:space="preserve">在柳州市城区划定范围内从事公务活动，采取以实报实销为主的社会化出行方式，一般不安排公务车辆，仅限于以下情况可使用公务车辆： </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（一）校领导公务用车；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（二）国内外专家、学者来校讲学、指导、评估等工作用车；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（三）相关人事档案办理工作用车；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（四）考试工作用车；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（五）财务部门到银行存取现金及办理重要支付业务用车；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（六）国际交流、外事接待用车；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（七）取送机要文件用车；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（八）离退休人员服务用车；</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（九）各类突发、紧急事件的工作用车等。</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r>
        <w:rPr>
          <w:rFonts w:hint="eastAsia" w:ascii="仿宋_GB2312" w:hAnsi="Calibri" w:eastAsia="仿宋_GB2312"/>
          <w:sz w:val="32"/>
          <w:szCs w:val="32"/>
        </w:rPr>
        <w:t>以上情形用车需通过CRP用车申请，经部门行政主要负责人同意后，提交由学校办公室审批。除以上规定派车情形外，原则上采用公共交通方式出行。</w:t>
      </w:r>
    </w:p>
    <w:p>
      <w:pPr>
        <w:pageBreakBefore w:val="0"/>
        <w:kinsoku/>
        <w:wordWrap/>
        <w:overflowPunct/>
        <w:topLinePunct w:val="0"/>
        <w:autoSpaceDE/>
        <w:autoSpaceDN/>
        <w:bidi w:val="0"/>
        <w:spacing w:line="580" w:lineRule="exact"/>
        <w:ind w:firstLine="480" w:firstLineChars="150"/>
        <w:outlineLvl w:val="9"/>
        <w:rPr>
          <w:rFonts w:hint="eastAsia" w:ascii="仿宋_GB2312" w:hAnsi="Calibri" w:eastAsia="仿宋_GB2312"/>
          <w:sz w:val="32"/>
          <w:szCs w:val="32"/>
        </w:rPr>
      </w:pPr>
    </w:p>
    <w:p>
      <w:pPr>
        <w:pageBreakBefore w:val="0"/>
        <w:kinsoku/>
        <w:wordWrap/>
        <w:overflowPunct/>
        <w:topLinePunct w:val="0"/>
        <w:autoSpaceDE/>
        <w:autoSpaceDN/>
        <w:bidi w:val="0"/>
        <w:spacing w:line="580" w:lineRule="exact"/>
        <w:jc w:val="center"/>
        <w:outlineLvl w:val="9"/>
        <w:rPr>
          <w:rFonts w:hint="eastAsia" w:ascii="仿宋_GB2312" w:hAnsi="黑体" w:eastAsia="仿宋_GB2312" w:cs="黑体"/>
          <w:b/>
          <w:bCs/>
          <w:sz w:val="32"/>
          <w:szCs w:val="32"/>
        </w:rPr>
      </w:pPr>
      <w:r>
        <w:rPr>
          <w:rFonts w:ascii="仿宋_GB2312" w:hAnsi="黑体" w:eastAsia="仿宋_GB2312" w:cs="黑体"/>
          <w:b/>
          <w:bCs/>
          <w:sz w:val="32"/>
          <w:szCs w:val="32"/>
        </w:rPr>
        <w:t xml:space="preserve">第三章 </w:t>
      </w:r>
      <w:r>
        <w:rPr>
          <w:rFonts w:hint="eastAsia" w:ascii="仿宋_GB2312" w:hAnsi="黑体" w:eastAsia="仿宋_GB2312" w:cs="黑体"/>
          <w:b/>
          <w:bCs/>
          <w:sz w:val="32"/>
          <w:szCs w:val="32"/>
        </w:rPr>
        <w:t xml:space="preserve"> 社会化方式出行</w:t>
      </w:r>
    </w:p>
    <w:p>
      <w:pPr>
        <w:pageBreakBefore w:val="0"/>
        <w:kinsoku/>
        <w:wordWrap/>
        <w:overflowPunct/>
        <w:topLinePunct w:val="0"/>
        <w:autoSpaceDE/>
        <w:autoSpaceDN/>
        <w:bidi w:val="0"/>
        <w:spacing w:line="580" w:lineRule="exact"/>
        <w:ind w:firstLine="643" w:firstLineChars="200"/>
        <w:outlineLvl w:val="9"/>
        <w:rPr>
          <w:rFonts w:hint="eastAsia" w:ascii="仿宋_GB2312" w:hAnsi="Calibri" w:eastAsia="仿宋_GB2312"/>
          <w:sz w:val="32"/>
          <w:szCs w:val="32"/>
        </w:rPr>
      </w:pPr>
      <w:r>
        <w:rPr>
          <w:rFonts w:ascii="仿宋_GB2312" w:hAnsi="Calibri" w:eastAsia="仿宋_GB2312"/>
          <w:b/>
          <w:sz w:val="32"/>
          <w:szCs w:val="32"/>
        </w:rPr>
        <w:t>第</w:t>
      </w:r>
      <w:r>
        <w:rPr>
          <w:rFonts w:hint="eastAsia" w:ascii="仿宋_GB2312" w:hAnsi="Calibri" w:eastAsia="仿宋_GB2312"/>
          <w:b/>
          <w:sz w:val="32"/>
          <w:szCs w:val="32"/>
        </w:rPr>
        <w:t>六</w:t>
      </w:r>
      <w:r>
        <w:rPr>
          <w:rFonts w:ascii="仿宋_GB2312" w:hAnsi="Calibri" w:eastAsia="仿宋_GB2312"/>
          <w:b/>
          <w:sz w:val="32"/>
          <w:szCs w:val="32"/>
        </w:rPr>
        <w:t>条</w:t>
      </w:r>
      <w:r>
        <w:rPr>
          <w:rFonts w:ascii="仿宋_GB2312" w:hAnsi="Calibri" w:eastAsia="仿宋_GB2312"/>
          <w:sz w:val="32"/>
          <w:szCs w:val="32"/>
        </w:rPr>
        <w:t xml:space="preserve"> 在柳州市城区划定范围内</w:t>
      </w:r>
      <w:r>
        <w:rPr>
          <w:rFonts w:hint="eastAsia" w:ascii="仿宋_GB2312" w:hAnsi="Calibri" w:eastAsia="仿宋_GB2312"/>
          <w:sz w:val="32"/>
          <w:szCs w:val="32"/>
        </w:rPr>
        <w:t>从事公务活动，尽可能采取以下方式出行：</w:t>
      </w:r>
    </w:p>
    <w:p>
      <w:pPr>
        <w:pageBreakBefore w:val="0"/>
        <w:kinsoku/>
        <w:wordWrap/>
        <w:overflowPunct/>
        <w:topLinePunct w:val="0"/>
        <w:autoSpaceDE/>
        <w:autoSpaceDN/>
        <w:bidi w:val="0"/>
        <w:spacing w:line="580" w:lineRule="exact"/>
        <w:ind w:firstLine="640" w:firstLineChars="200"/>
        <w:outlineLvl w:val="9"/>
        <w:rPr>
          <w:rFonts w:hint="eastAsia" w:ascii="仿宋_GB2312" w:hAnsi="Calibri" w:eastAsia="仿宋_GB2312"/>
          <w:sz w:val="32"/>
          <w:szCs w:val="32"/>
        </w:rPr>
      </w:pPr>
      <w:r>
        <w:rPr>
          <w:rFonts w:hint="eastAsia" w:ascii="仿宋_GB2312" w:hAnsi="Calibri" w:eastAsia="仿宋_GB2312"/>
          <w:sz w:val="32"/>
          <w:szCs w:val="32"/>
        </w:rPr>
        <w:t>（一）乘坐公共交通工具；</w:t>
      </w:r>
    </w:p>
    <w:p>
      <w:pPr>
        <w:pageBreakBefore w:val="0"/>
        <w:kinsoku/>
        <w:wordWrap/>
        <w:overflowPunct/>
        <w:topLinePunct w:val="0"/>
        <w:autoSpaceDE/>
        <w:autoSpaceDN/>
        <w:bidi w:val="0"/>
        <w:spacing w:line="580" w:lineRule="exact"/>
        <w:ind w:firstLine="640" w:firstLineChars="200"/>
        <w:outlineLvl w:val="9"/>
        <w:rPr>
          <w:rFonts w:hint="eastAsia" w:ascii="仿宋_GB2312" w:hAnsi="Calibri" w:eastAsia="仿宋_GB2312"/>
          <w:sz w:val="32"/>
          <w:szCs w:val="32"/>
        </w:rPr>
      </w:pPr>
      <w:r>
        <w:rPr>
          <w:rFonts w:hint="eastAsia" w:ascii="仿宋_GB2312" w:hAnsi="Calibri" w:eastAsia="仿宋_GB2312"/>
          <w:sz w:val="32"/>
          <w:szCs w:val="32"/>
        </w:rPr>
        <w:t>（二）租赁社会车辆，在经营资质合格的汽车租赁企业中选择；</w:t>
      </w:r>
    </w:p>
    <w:p>
      <w:pPr>
        <w:pageBreakBefore w:val="0"/>
        <w:kinsoku/>
        <w:wordWrap/>
        <w:overflowPunct/>
        <w:topLinePunct w:val="0"/>
        <w:autoSpaceDE/>
        <w:autoSpaceDN/>
        <w:bidi w:val="0"/>
        <w:spacing w:line="580" w:lineRule="exact"/>
        <w:ind w:firstLine="640" w:firstLineChars="200"/>
        <w:outlineLvl w:val="9"/>
        <w:rPr>
          <w:rFonts w:hint="eastAsia" w:ascii="仿宋_GB2312" w:hAnsi="Calibri" w:eastAsia="仿宋_GB2312"/>
          <w:sz w:val="32"/>
          <w:szCs w:val="32"/>
        </w:rPr>
      </w:pPr>
      <w:r>
        <w:rPr>
          <w:rFonts w:hint="eastAsia" w:ascii="仿宋_GB2312" w:hAnsi="Calibri" w:eastAsia="仿宋_GB2312"/>
          <w:sz w:val="32"/>
          <w:szCs w:val="32"/>
        </w:rPr>
        <w:t>（三）按次定额包干。</w:t>
      </w:r>
    </w:p>
    <w:p>
      <w:pPr>
        <w:pageBreakBefore w:val="0"/>
        <w:kinsoku/>
        <w:wordWrap/>
        <w:overflowPunct/>
        <w:topLinePunct w:val="0"/>
        <w:autoSpaceDE/>
        <w:autoSpaceDN/>
        <w:bidi w:val="0"/>
        <w:spacing w:line="580" w:lineRule="exact"/>
        <w:ind w:firstLine="643" w:firstLineChars="200"/>
        <w:outlineLvl w:val="9"/>
        <w:rPr>
          <w:rFonts w:hint="eastAsia" w:ascii="仿宋_GB2312" w:hAnsi="Calibri" w:eastAsia="仿宋_GB2312"/>
          <w:sz w:val="32"/>
          <w:szCs w:val="32"/>
        </w:rPr>
      </w:pPr>
      <w:r>
        <w:rPr>
          <w:rFonts w:hint="eastAsia" w:ascii="仿宋_GB2312" w:hAnsi="Calibri" w:eastAsia="仿宋_GB2312"/>
          <w:b/>
          <w:sz w:val="32"/>
          <w:szCs w:val="32"/>
        </w:rPr>
        <w:t>第七条</w:t>
      </w:r>
      <w:r>
        <w:rPr>
          <w:rFonts w:hint="eastAsia" w:ascii="仿宋_GB2312" w:hAnsi="Calibri" w:eastAsia="仿宋_GB2312"/>
          <w:sz w:val="32"/>
          <w:szCs w:val="32"/>
        </w:rPr>
        <w:t xml:space="preserve"> 采取社会化公务出行方式实行“严格审批、实报实销”办法。</w:t>
      </w:r>
      <w:r>
        <w:rPr>
          <w:rFonts w:ascii="仿宋_GB2312" w:hAnsi="Calibri" w:eastAsia="仿宋_GB2312"/>
          <w:sz w:val="32"/>
          <w:szCs w:val="32"/>
        </w:rPr>
        <w:t>各部门</w:t>
      </w:r>
      <w:r>
        <w:rPr>
          <w:rFonts w:hint="eastAsia" w:ascii="仿宋_GB2312" w:hAnsi="Calibri" w:eastAsia="仿宋_GB2312"/>
          <w:sz w:val="32"/>
          <w:szCs w:val="32"/>
        </w:rPr>
        <w:t>公务</w:t>
      </w:r>
      <w:r>
        <w:rPr>
          <w:rFonts w:ascii="仿宋_GB2312" w:hAnsi="Calibri" w:eastAsia="仿宋_GB2312"/>
          <w:sz w:val="32"/>
          <w:szCs w:val="32"/>
        </w:rPr>
        <w:t>出行要坚持节约环保、便捷高效</w:t>
      </w:r>
      <w:r>
        <w:rPr>
          <w:rFonts w:hint="eastAsia" w:ascii="仿宋_GB2312" w:hAnsi="Calibri" w:eastAsia="仿宋_GB2312"/>
          <w:sz w:val="32"/>
          <w:szCs w:val="32"/>
        </w:rPr>
        <w:t>、从严控制</w:t>
      </w:r>
      <w:r>
        <w:rPr>
          <w:rFonts w:ascii="仿宋_GB2312" w:hAnsi="Calibri" w:eastAsia="仿宋_GB2312"/>
          <w:sz w:val="32"/>
          <w:szCs w:val="32"/>
        </w:rPr>
        <w:t>的原则</w:t>
      </w:r>
      <w:r>
        <w:rPr>
          <w:rFonts w:hint="eastAsia" w:ascii="仿宋_GB2312" w:hAnsi="Calibri" w:eastAsia="仿宋_GB2312"/>
          <w:sz w:val="32"/>
          <w:szCs w:val="32"/>
        </w:rPr>
        <w:t>。</w:t>
      </w:r>
    </w:p>
    <w:p>
      <w:pPr>
        <w:pageBreakBefore w:val="0"/>
        <w:kinsoku/>
        <w:wordWrap/>
        <w:overflowPunct/>
        <w:topLinePunct w:val="0"/>
        <w:autoSpaceDE/>
        <w:autoSpaceDN/>
        <w:bidi w:val="0"/>
        <w:spacing w:line="580" w:lineRule="exact"/>
        <w:ind w:firstLine="643" w:firstLineChars="200"/>
        <w:outlineLvl w:val="9"/>
        <w:rPr>
          <w:rFonts w:hint="eastAsia" w:ascii="仿宋_GB2312" w:hAnsi="Calibri" w:eastAsia="仿宋_GB2312"/>
          <w:sz w:val="32"/>
          <w:szCs w:val="32"/>
        </w:rPr>
      </w:pPr>
      <w:r>
        <w:rPr>
          <w:rFonts w:ascii="仿宋_GB2312" w:hAnsi="Calibri" w:eastAsia="仿宋_GB2312"/>
          <w:b/>
          <w:sz w:val="32"/>
          <w:szCs w:val="32"/>
        </w:rPr>
        <w:t>第</w:t>
      </w:r>
      <w:r>
        <w:rPr>
          <w:rFonts w:hint="eastAsia" w:ascii="仿宋_GB2312" w:hAnsi="Calibri" w:eastAsia="仿宋_GB2312"/>
          <w:b/>
          <w:sz w:val="32"/>
          <w:szCs w:val="32"/>
        </w:rPr>
        <w:t>八</w:t>
      </w:r>
      <w:r>
        <w:rPr>
          <w:rFonts w:ascii="仿宋_GB2312" w:hAnsi="Calibri" w:eastAsia="仿宋_GB2312"/>
          <w:b/>
          <w:sz w:val="32"/>
          <w:szCs w:val="32"/>
        </w:rPr>
        <w:t>条</w:t>
      </w:r>
      <w:r>
        <w:rPr>
          <w:rFonts w:hint="eastAsia" w:ascii="仿宋_GB2312" w:hAnsi="Calibri" w:eastAsia="仿宋_GB2312"/>
          <w:sz w:val="32"/>
          <w:szCs w:val="32"/>
        </w:rPr>
        <w:t xml:space="preserve"> </w:t>
      </w:r>
      <w:r>
        <w:rPr>
          <w:rFonts w:ascii="仿宋_GB2312" w:hAnsi="Calibri" w:eastAsia="仿宋_GB2312"/>
          <w:sz w:val="32"/>
          <w:szCs w:val="32"/>
        </w:rPr>
        <w:t>租赁社会车辆</w:t>
      </w:r>
      <w:r>
        <w:rPr>
          <w:rFonts w:hint="eastAsia" w:ascii="仿宋_GB2312" w:hAnsi="Calibri" w:eastAsia="仿宋_GB2312"/>
          <w:sz w:val="32"/>
          <w:szCs w:val="32"/>
        </w:rPr>
        <w:t>的，应</w:t>
      </w:r>
      <w:r>
        <w:rPr>
          <w:rFonts w:ascii="仿宋_GB2312" w:hAnsi="Calibri" w:eastAsia="仿宋_GB2312"/>
          <w:sz w:val="32"/>
          <w:szCs w:val="32"/>
        </w:rPr>
        <w:t>实行“一事一</w:t>
      </w:r>
      <w:r>
        <w:rPr>
          <w:rFonts w:hint="eastAsia" w:ascii="仿宋_GB2312" w:hAnsi="Calibri" w:eastAsia="仿宋_GB2312"/>
          <w:sz w:val="32"/>
          <w:szCs w:val="32"/>
        </w:rPr>
        <w:t>租</w:t>
      </w:r>
      <w:r>
        <w:rPr>
          <w:rFonts w:ascii="仿宋_GB2312" w:hAnsi="Calibri" w:eastAsia="仿宋_GB2312"/>
          <w:sz w:val="32"/>
          <w:szCs w:val="32"/>
        </w:rPr>
        <w:t>”，以完成单次工作任务为租用时限</w:t>
      </w:r>
      <w:r>
        <w:rPr>
          <w:rFonts w:hint="eastAsia" w:ascii="仿宋_GB2312" w:hAnsi="Calibri" w:eastAsia="仿宋_GB2312"/>
          <w:sz w:val="32"/>
          <w:szCs w:val="32"/>
        </w:rPr>
        <w:t>。</w:t>
      </w:r>
    </w:p>
    <w:p>
      <w:pPr>
        <w:pageBreakBefore w:val="0"/>
        <w:kinsoku/>
        <w:wordWrap/>
        <w:overflowPunct/>
        <w:topLinePunct w:val="0"/>
        <w:autoSpaceDE/>
        <w:autoSpaceDN/>
        <w:bidi w:val="0"/>
        <w:spacing w:line="580" w:lineRule="exact"/>
        <w:ind w:firstLine="640" w:firstLineChars="200"/>
        <w:outlineLvl w:val="9"/>
        <w:rPr>
          <w:rFonts w:hint="eastAsia" w:ascii="仿宋_GB2312" w:hAnsi="Calibri" w:eastAsia="仿宋_GB2312"/>
          <w:sz w:val="32"/>
          <w:szCs w:val="32"/>
        </w:rPr>
      </w:pPr>
    </w:p>
    <w:p>
      <w:pPr>
        <w:pageBreakBefore w:val="0"/>
        <w:kinsoku/>
        <w:wordWrap/>
        <w:overflowPunct/>
        <w:topLinePunct w:val="0"/>
        <w:autoSpaceDE/>
        <w:autoSpaceDN/>
        <w:bidi w:val="0"/>
        <w:spacing w:line="580" w:lineRule="exact"/>
        <w:jc w:val="center"/>
        <w:outlineLvl w:val="9"/>
        <w:rPr>
          <w:rFonts w:ascii="仿宋_GB2312" w:hAnsi="黑体" w:eastAsia="仿宋_GB2312" w:cs="黑体"/>
          <w:b/>
          <w:bCs/>
          <w:sz w:val="32"/>
          <w:szCs w:val="32"/>
        </w:rPr>
      </w:pPr>
      <w:r>
        <w:rPr>
          <w:rFonts w:hint="eastAsia" w:ascii="仿宋_GB2312" w:hAnsi="黑体" w:eastAsia="仿宋_GB2312" w:cs="黑体"/>
          <w:b/>
          <w:bCs/>
          <w:sz w:val="32"/>
          <w:szCs w:val="32"/>
        </w:rPr>
        <w:t>第四章 用车经费管理</w:t>
      </w:r>
    </w:p>
    <w:p>
      <w:pPr>
        <w:pageBreakBefore w:val="0"/>
        <w:kinsoku/>
        <w:wordWrap/>
        <w:overflowPunct/>
        <w:topLinePunct w:val="0"/>
        <w:autoSpaceDE/>
        <w:autoSpaceDN/>
        <w:bidi w:val="0"/>
        <w:spacing w:line="580" w:lineRule="exact"/>
        <w:ind w:firstLine="630" w:firstLineChars="196"/>
        <w:outlineLvl w:val="9"/>
        <w:rPr>
          <w:rFonts w:ascii="仿宋_GB2312" w:hAnsi="仿宋" w:eastAsia="仿宋_GB2312" w:cs="仿宋"/>
          <w:sz w:val="32"/>
          <w:szCs w:val="32"/>
        </w:rPr>
      </w:pPr>
      <w:r>
        <w:rPr>
          <w:rFonts w:hint="eastAsia" w:ascii="仿宋_GB2312" w:hAnsi="仿宋" w:eastAsia="仿宋_GB2312" w:cs="仿宋"/>
          <w:b/>
          <w:bCs/>
          <w:sz w:val="32"/>
          <w:szCs w:val="32"/>
        </w:rPr>
        <w:t>第九条</w:t>
      </w:r>
      <w:r>
        <w:rPr>
          <w:rFonts w:hint="eastAsia" w:ascii="仿宋_GB2312" w:hAnsi="仿宋" w:eastAsia="仿宋_GB2312" w:cs="仿宋"/>
          <w:sz w:val="32"/>
          <w:szCs w:val="32"/>
        </w:rPr>
        <w:t xml:space="preserve">  采取社会化方式出行的，实行用车经费“定额分配、部门统筹、严格审批、实报实销”办法。</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仿宋" w:eastAsia="仿宋_GB2312" w:cs="仿宋"/>
          <w:b/>
          <w:bCs/>
          <w:sz w:val="32"/>
          <w:szCs w:val="32"/>
        </w:rPr>
        <w:t xml:space="preserve">第十条  </w:t>
      </w:r>
      <w:r>
        <w:rPr>
          <w:rFonts w:hint="eastAsia" w:ascii="仿宋_GB2312" w:hAnsi="仿宋" w:eastAsia="仿宋_GB2312" w:cs="仿宋"/>
          <w:sz w:val="32"/>
          <w:szCs w:val="32"/>
        </w:rPr>
        <w:t>学校将社会化公务出行经费纳入年度预算，实行</w:t>
      </w:r>
      <w:r>
        <w:rPr>
          <w:rFonts w:hint="eastAsia" w:ascii="仿宋_GB2312" w:hAnsi="Calibri" w:eastAsia="仿宋_GB2312" w:cs="Calibri"/>
          <w:kern w:val="0"/>
          <w:sz w:val="32"/>
          <w:szCs w:val="32"/>
        </w:rPr>
        <w:t>预算总额控制，</w:t>
      </w:r>
      <w:r>
        <w:rPr>
          <w:rFonts w:hint="eastAsia" w:ascii="仿宋_GB2312" w:hAnsi="仿宋" w:eastAsia="仿宋_GB2312" w:cs="仿宋"/>
          <w:sz w:val="32"/>
          <w:szCs w:val="32"/>
        </w:rPr>
        <w:t>核定各部门的社会化公务出行经费额度（见附件1），由各部门根据工作实际统筹、限额使用。</w:t>
      </w:r>
    </w:p>
    <w:p>
      <w:pPr>
        <w:pageBreakBefore w:val="0"/>
        <w:kinsoku/>
        <w:wordWrap/>
        <w:overflowPunct/>
        <w:topLinePunct w:val="0"/>
        <w:autoSpaceDE/>
        <w:autoSpaceDN/>
        <w:bidi w:val="0"/>
        <w:spacing w:line="580" w:lineRule="exact"/>
        <w:ind w:firstLine="630" w:firstLineChars="196"/>
        <w:outlineLvl w:val="9"/>
        <w:rPr>
          <w:rFonts w:ascii="仿宋_GB2312" w:hAnsi="仿宋" w:eastAsia="仿宋_GB2312" w:cs="仿宋"/>
          <w:sz w:val="32"/>
          <w:szCs w:val="32"/>
        </w:rPr>
      </w:pPr>
      <w:r>
        <w:rPr>
          <w:rFonts w:hint="eastAsia" w:ascii="仿宋_GB2312" w:hAnsi="仿宋" w:eastAsia="仿宋_GB2312" w:cs="仿宋"/>
          <w:b/>
          <w:sz w:val="32"/>
          <w:szCs w:val="32"/>
        </w:rPr>
        <w:t>第十一条</w:t>
      </w:r>
      <w:r>
        <w:rPr>
          <w:rFonts w:hint="eastAsia" w:ascii="仿宋_GB2312" w:hAnsi="仿宋" w:eastAsia="仿宋_GB2312" w:cs="仿宋"/>
          <w:sz w:val="32"/>
          <w:szCs w:val="32"/>
        </w:rPr>
        <w:t xml:space="preserve">  从年度预算的社会化公务出行经费中划出部分经费作为社会化公务出行机动经费，经分管校领导审批后使用。</w:t>
      </w:r>
    </w:p>
    <w:p>
      <w:pPr>
        <w:pageBreakBefore w:val="0"/>
        <w:kinsoku/>
        <w:wordWrap/>
        <w:overflowPunct/>
        <w:topLinePunct w:val="0"/>
        <w:autoSpaceDE/>
        <w:autoSpaceDN/>
        <w:bidi w:val="0"/>
        <w:spacing w:line="580" w:lineRule="exact"/>
        <w:ind w:firstLine="630" w:firstLineChars="196"/>
        <w:outlineLvl w:val="9"/>
        <w:rPr>
          <w:rFonts w:ascii="仿宋_GB2312" w:hAnsi="仿宋" w:eastAsia="仿宋_GB2312" w:cs="仿宋"/>
          <w:sz w:val="32"/>
          <w:szCs w:val="32"/>
        </w:rPr>
      </w:pPr>
      <w:r>
        <w:rPr>
          <w:rFonts w:hint="eastAsia" w:ascii="仿宋_GB2312" w:hAnsi="仿宋" w:eastAsia="仿宋_GB2312" w:cs="仿宋"/>
          <w:b/>
          <w:sz w:val="32"/>
          <w:szCs w:val="32"/>
        </w:rPr>
        <w:t>第十二条</w:t>
      </w:r>
      <w:r>
        <w:rPr>
          <w:rFonts w:hint="eastAsia" w:ascii="仿宋_GB2312" w:hAnsi="仿宋" w:eastAsia="仿宋_GB2312" w:cs="仿宋"/>
          <w:sz w:val="32"/>
          <w:szCs w:val="32"/>
        </w:rPr>
        <w:t xml:space="preserve">  因教学科研、实习实训、学生活动和招生宣传等其他工作事务出行，列入业务用车，相关费用在项目经费中列支。</w:t>
      </w:r>
    </w:p>
    <w:p>
      <w:pPr>
        <w:pageBreakBefore w:val="0"/>
        <w:kinsoku/>
        <w:wordWrap/>
        <w:overflowPunct/>
        <w:topLinePunct w:val="0"/>
        <w:autoSpaceDE/>
        <w:autoSpaceDN/>
        <w:bidi w:val="0"/>
        <w:spacing w:line="580" w:lineRule="exact"/>
        <w:ind w:firstLine="630" w:firstLineChars="196"/>
        <w:outlineLvl w:val="9"/>
        <w:rPr>
          <w:rFonts w:hint="eastAsia" w:ascii="仿宋_GB2312" w:hAnsi="仿宋" w:eastAsia="仿宋_GB2312" w:cs="仿宋"/>
          <w:sz w:val="32"/>
          <w:szCs w:val="32"/>
        </w:rPr>
      </w:pPr>
      <w:r>
        <w:rPr>
          <w:rFonts w:hint="eastAsia" w:ascii="仿宋_GB2312" w:hAnsi="仿宋" w:eastAsia="仿宋_GB2312" w:cs="仿宋"/>
          <w:b/>
          <w:sz w:val="32"/>
          <w:szCs w:val="32"/>
        </w:rPr>
        <w:t>第十三条</w:t>
      </w:r>
      <w:r>
        <w:rPr>
          <w:rFonts w:hint="eastAsia" w:ascii="仿宋_GB2312" w:hAnsi="仿宋" w:eastAsia="仿宋_GB2312" w:cs="仿宋"/>
          <w:sz w:val="32"/>
          <w:szCs w:val="32"/>
        </w:rPr>
        <w:t xml:space="preserve">  各部门行政主要负责人加强社会化公务出行经费管理，在核定额度范围内审批使用经费，严禁各部门超预算或无预算安排公务用车支出。财务部门做好各部门的社会化公务出行经费使用的统计工作。</w:t>
      </w:r>
    </w:p>
    <w:p>
      <w:pPr>
        <w:pageBreakBefore w:val="0"/>
        <w:kinsoku/>
        <w:wordWrap/>
        <w:overflowPunct/>
        <w:topLinePunct w:val="0"/>
        <w:autoSpaceDE/>
        <w:autoSpaceDN/>
        <w:bidi w:val="0"/>
        <w:spacing w:line="580" w:lineRule="exact"/>
        <w:ind w:firstLine="627" w:firstLineChars="196"/>
        <w:outlineLvl w:val="9"/>
        <w:rPr>
          <w:rFonts w:hint="eastAsia" w:ascii="仿宋_GB2312" w:hAnsi="仿宋" w:eastAsia="仿宋_GB2312" w:cs="仿宋"/>
          <w:sz w:val="32"/>
          <w:szCs w:val="32"/>
        </w:rPr>
      </w:pPr>
    </w:p>
    <w:p>
      <w:pPr>
        <w:pageBreakBefore w:val="0"/>
        <w:kinsoku/>
        <w:wordWrap/>
        <w:overflowPunct/>
        <w:topLinePunct w:val="0"/>
        <w:autoSpaceDE/>
        <w:autoSpaceDN/>
        <w:bidi w:val="0"/>
        <w:spacing w:line="580" w:lineRule="exact"/>
        <w:jc w:val="center"/>
        <w:outlineLvl w:val="9"/>
        <w:rPr>
          <w:rFonts w:ascii="仿宋_GB2312" w:hAnsi="黑体" w:eastAsia="仿宋_GB2312" w:cs="黑体"/>
          <w:b/>
          <w:bCs/>
          <w:sz w:val="32"/>
          <w:szCs w:val="32"/>
        </w:rPr>
      </w:pPr>
      <w:r>
        <w:rPr>
          <w:rFonts w:hint="eastAsia" w:ascii="仿宋_GB2312" w:hAnsi="黑体" w:eastAsia="仿宋_GB2312" w:cs="黑体"/>
          <w:b/>
          <w:bCs/>
          <w:sz w:val="32"/>
          <w:szCs w:val="32"/>
        </w:rPr>
        <w:t>第五章 报销方式及标准</w:t>
      </w:r>
    </w:p>
    <w:p>
      <w:pPr>
        <w:pageBreakBefore w:val="0"/>
        <w:kinsoku/>
        <w:wordWrap/>
        <w:overflowPunct/>
        <w:topLinePunct w:val="0"/>
        <w:autoSpaceDE/>
        <w:autoSpaceDN/>
        <w:bidi w:val="0"/>
        <w:spacing w:line="580" w:lineRule="exact"/>
        <w:ind w:firstLine="645"/>
        <w:outlineLvl w:val="9"/>
        <w:rPr>
          <w:rFonts w:hint="eastAsia" w:ascii="仿宋_GB2312" w:hAnsi="仿宋" w:eastAsia="仿宋_GB2312" w:cs="仿宋"/>
          <w:sz w:val="32"/>
          <w:szCs w:val="32"/>
        </w:rPr>
      </w:pPr>
      <w:r>
        <w:rPr>
          <w:rFonts w:hint="eastAsia" w:ascii="仿宋_GB2312" w:hAnsi="宋体" w:eastAsia="仿宋_GB2312"/>
          <w:b/>
          <w:sz w:val="32"/>
          <w:szCs w:val="32"/>
        </w:rPr>
        <w:t xml:space="preserve">第十四条  </w:t>
      </w:r>
      <w:r>
        <w:rPr>
          <w:rFonts w:hint="eastAsia" w:ascii="仿宋_GB2312" w:hAnsi="仿宋" w:eastAsia="仿宋_GB2312" w:cs="仿宋"/>
          <w:sz w:val="32"/>
          <w:szCs w:val="32"/>
        </w:rPr>
        <w:t>市内公务出行采用公共交通出行方式时，由部门行政主要负责人审批，按乘坐的市内公共交通取得的合法票据实报实销，费用在部门市内交通经费中列支。市内公共交通合法票据是指在规定区域内执行公务活动时，乘坐公交车、大巴车、出租车、网约车等社会化交通所取得的合法票据。</w:t>
      </w:r>
    </w:p>
    <w:p>
      <w:pPr>
        <w:pageBreakBefore w:val="0"/>
        <w:kinsoku/>
        <w:wordWrap/>
        <w:overflowPunct/>
        <w:topLinePunct w:val="0"/>
        <w:autoSpaceDE/>
        <w:autoSpaceDN/>
        <w:bidi w:val="0"/>
        <w:spacing w:line="580" w:lineRule="exact"/>
        <w:ind w:firstLine="645"/>
        <w:outlineLvl w:val="9"/>
        <w:rPr>
          <w:rFonts w:hint="eastAsia" w:ascii="仿宋_GB2312" w:hAnsi="仿宋" w:eastAsia="仿宋_GB2312" w:cs="仿宋"/>
          <w:sz w:val="32"/>
          <w:szCs w:val="32"/>
        </w:rPr>
      </w:pPr>
      <w:r>
        <w:rPr>
          <w:rFonts w:hint="eastAsia" w:ascii="仿宋_GB2312" w:hAnsi="仿宋" w:eastAsia="仿宋_GB2312" w:cs="仿宋"/>
          <w:b/>
          <w:sz w:val="32"/>
          <w:szCs w:val="32"/>
        </w:rPr>
        <w:t>第十五条</w:t>
      </w:r>
      <w:r>
        <w:rPr>
          <w:rFonts w:hint="eastAsia" w:ascii="仿宋_GB2312" w:hAnsi="仿宋" w:eastAsia="仿宋_GB2312" w:cs="仿宋"/>
          <w:sz w:val="32"/>
          <w:szCs w:val="32"/>
        </w:rPr>
        <w:t xml:space="preserve"> 如确因特殊情况需采用非公共交通方式出行的，个人通过申请，由部门行政主要负责人从严审批。按出行距离远近相应计发补助，补助标准为</w:t>
      </w:r>
      <w:r>
        <w:rPr>
          <w:rFonts w:ascii="仿宋_GB2312" w:hAnsi="仿宋" w:eastAsia="仿宋_GB2312" w:cs="仿宋"/>
          <w:sz w:val="32"/>
          <w:szCs w:val="32"/>
        </w:rPr>
        <w:t>1.3</w:t>
      </w:r>
      <w:r>
        <w:rPr>
          <w:rFonts w:hint="eastAsia" w:ascii="仿宋_GB2312" w:hAnsi="仿宋" w:eastAsia="仿宋_GB2312" w:cs="仿宋"/>
          <w:sz w:val="32"/>
          <w:szCs w:val="32"/>
        </w:rPr>
        <w:t>元</w:t>
      </w:r>
      <w:r>
        <w:rPr>
          <w:rFonts w:ascii="仿宋_GB2312" w:hAnsi="仿宋" w:eastAsia="仿宋_GB2312" w:cs="仿宋"/>
          <w:sz w:val="32"/>
          <w:szCs w:val="32"/>
        </w:rPr>
        <w:t>/</w:t>
      </w:r>
      <w:r>
        <w:rPr>
          <w:rFonts w:hint="eastAsia" w:ascii="仿宋_GB2312" w:hAnsi="仿宋" w:eastAsia="仿宋_GB2312" w:cs="仿宋"/>
          <w:sz w:val="32"/>
          <w:szCs w:val="32"/>
        </w:rPr>
        <w:t>公里，根据公务人员市内公务出行距离（往返总计）乘以定额标准计发补助金额，出行距离可通过科学技术信息工具（百度导航地图、高德导航地图）取得，并附上出行距离截图，作为财务报账依据，费用在部门市内交通经费中列支。</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仿宋" w:eastAsia="仿宋_GB2312" w:cs="仿宋"/>
          <w:b/>
          <w:sz w:val="32"/>
          <w:szCs w:val="32"/>
        </w:rPr>
        <w:t>第十六条</w:t>
      </w:r>
      <w:r>
        <w:rPr>
          <w:rFonts w:hint="eastAsia" w:ascii="仿宋_GB2312" w:hAnsi="仿宋" w:eastAsia="仿宋_GB2312" w:cs="仿宋"/>
          <w:sz w:val="32"/>
          <w:szCs w:val="32"/>
        </w:rPr>
        <w:t xml:space="preserve">  市内公务出行交通费用报销按照财务报账管理规定的经费支出审批权限及流程办理。</w:t>
      </w:r>
    </w:p>
    <w:p>
      <w:pPr>
        <w:pageBreakBefore w:val="0"/>
        <w:kinsoku/>
        <w:wordWrap/>
        <w:overflowPunct/>
        <w:topLinePunct w:val="0"/>
        <w:autoSpaceDE/>
        <w:autoSpaceDN/>
        <w:bidi w:val="0"/>
        <w:spacing w:line="580" w:lineRule="exact"/>
        <w:ind w:firstLine="643" w:firstLineChars="200"/>
        <w:outlineLvl w:val="9"/>
        <w:rPr>
          <w:rFonts w:hint="eastAsia" w:ascii="仿宋_GB2312" w:hAnsi="仿宋" w:eastAsia="仿宋_GB2312" w:cs="仿宋"/>
          <w:sz w:val="32"/>
          <w:szCs w:val="32"/>
        </w:rPr>
      </w:pPr>
      <w:r>
        <w:rPr>
          <w:rFonts w:hint="eastAsia" w:ascii="仿宋_GB2312" w:hAnsi="仿宋" w:eastAsia="仿宋_GB2312" w:cs="仿宋"/>
          <w:b/>
          <w:sz w:val="32"/>
          <w:szCs w:val="32"/>
        </w:rPr>
        <w:t>第十七条</w:t>
      </w:r>
      <w:r>
        <w:rPr>
          <w:rFonts w:hint="eastAsia" w:ascii="仿宋_GB2312" w:hAnsi="仿宋" w:eastAsia="仿宋_GB2312" w:cs="仿宋"/>
          <w:sz w:val="32"/>
          <w:szCs w:val="32"/>
        </w:rPr>
        <w:t xml:space="preserve">  各部门应当严格执行公务交通费用报销审批制度，严禁报销非公务活动所发生的交通费用，不得实行按月包干制。对于可以采用公共交通出行的，不能实行非公共交通出行；经批准实行非公共交通出行的，不能变相包干补助或巧立名目计发补助。</w:t>
      </w:r>
    </w:p>
    <w:p>
      <w:pPr>
        <w:pageBreakBefore w:val="0"/>
        <w:kinsoku/>
        <w:wordWrap/>
        <w:overflowPunct/>
        <w:topLinePunct w:val="0"/>
        <w:autoSpaceDE/>
        <w:autoSpaceDN/>
        <w:bidi w:val="0"/>
        <w:spacing w:line="580" w:lineRule="exact"/>
        <w:ind w:firstLine="482" w:firstLineChars="150"/>
        <w:outlineLvl w:val="9"/>
        <w:rPr>
          <w:rFonts w:hint="eastAsia" w:ascii="仿宋_GB2312" w:hAnsi="仿宋" w:eastAsia="仿宋_GB2312" w:cs="仿宋"/>
          <w:sz w:val="32"/>
          <w:szCs w:val="32"/>
        </w:rPr>
      </w:pPr>
      <w:r>
        <w:rPr>
          <w:rFonts w:hint="eastAsia" w:ascii="仿宋_GB2312" w:hAnsi="仿宋" w:eastAsia="仿宋_GB2312" w:cs="仿宋"/>
          <w:b/>
          <w:sz w:val="32"/>
          <w:szCs w:val="32"/>
        </w:rPr>
        <w:t>第十八条</w:t>
      </w:r>
      <w:r>
        <w:rPr>
          <w:rFonts w:hint="eastAsia" w:ascii="仿宋_GB2312" w:hAnsi="仿宋" w:eastAsia="仿宋_GB2312" w:cs="仿宋"/>
          <w:sz w:val="32"/>
          <w:szCs w:val="32"/>
        </w:rPr>
        <w:t xml:space="preserve">  按定额标准报销的工作人员同时出发到两个以上（含两个）不同办事地点，按各段距离之和（公里数）计算里程。多人同车到同一地点的，视同一人，一次出行，只能报销一次。</w:t>
      </w:r>
    </w:p>
    <w:p>
      <w:pPr>
        <w:pageBreakBefore w:val="0"/>
        <w:kinsoku/>
        <w:wordWrap/>
        <w:overflowPunct/>
        <w:topLinePunct w:val="0"/>
        <w:autoSpaceDE/>
        <w:autoSpaceDN/>
        <w:bidi w:val="0"/>
        <w:spacing w:line="580" w:lineRule="exact"/>
        <w:ind w:firstLine="482" w:firstLineChars="150"/>
        <w:outlineLvl w:val="9"/>
        <w:rPr>
          <w:rFonts w:hint="eastAsia" w:ascii="仿宋_GB2312" w:hAnsi="Calibri" w:eastAsia="仿宋_GB2312" w:cs="Calibri"/>
          <w:kern w:val="0"/>
          <w:sz w:val="32"/>
          <w:szCs w:val="32"/>
        </w:rPr>
      </w:pPr>
      <w:r>
        <w:rPr>
          <w:rFonts w:ascii="仿宋_GB2312" w:hAnsi="仿宋" w:eastAsia="仿宋_GB2312" w:cs="仿宋"/>
          <w:b/>
          <w:sz w:val="32"/>
          <w:szCs w:val="32"/>
        </w:rPr>
        <w:t>第十</w:t>
      </w:r>
      <w:r>
        <w:rPr>
          <w:rFonts w:hint="eastAsia" w:ascii="仿宋_GB2312" w:hAnsi="仿宋" w:eastAsia="仿宋_GB2312" w:cs="仿宋"/>
          <w:b/>
          <w:sz w:val="32"/>
          <w:szCs w:val="32"/>
        </w:rPr>
        <w:t>九</w:t>
      </w:r>
      <w:r>
        <w:rPr>
          <w:rFonts w:ascii="仿宋_GB2312" w:hAnsi="仿宋" w:eastAsia="仿宋_GB2312" w:cs="仿宋"/>
          <w:b/>
          <w:sz w:val="32"/>
          <w:szCs w:val="32"/>
        </w:rPr>
        <w:t>条</w:t>
      </w:r>
      <w:r>
        <w:rPr>
          <w:rFonts w:hint="eastAsia" w:ascii="仿宋_GB2312" w:hAnsi="仿宋" w:eastAsia="仿宋_GB2312" w:cs="仿宋"/>
          <w:b/>
          <w:sz w:val="32"/>
          <w:szCs w:val="32"/>
        </w:rPr>
        <w:t xml:space="preserve">  </w:t>
      </w:r>
      <w:r>
        <w:rPr>
          <w:rFonts w:hint="eastAsia" w:ascii="仿宋_GB2312" w:hAnsi="仿宋" w:eastAsia="仿宋_GB2312" w:cs="仿宋"/>
          <w:sz w:val="32"/>
          <w:szCs w:val="32"/>
        </w:rPr>
        <w:t>经批准使用学校公务车辆办理公务的（包括送机、送站），当事人应该按单价和路程扣减当次交通费用；其他领取了交通补助的领导，确需使用公务用车办理公务的，应按规定从其补助中扣除相应交通费用</w:t>
      </w:r>
      <w:r>
        <w:rPr>
          <w:rFonts w:hint="eastAsia" w:ascii="仿宋_GB2312" w:hAnsi="Calibri" w:eastAsia="仿宋_GB2312" w:cs="Calibri"/>
          <w:kern w:val="0"/>
          <w:sz w:val="32"/>
          <w:szCs w:val="32"/>
        </w:rPr>
        <w:t>。</w:t>
      </w:r>
    </w:p>
    <w:p>
      <w:pPr>
        <w:pageBreakBefore w:val="0"/>
        <w:kinsoku/>
        <w:wordWrap/>
        <w:overflowPunct/>
        <w:topLinePunct w:val="0"/>
        <w:autoSpaceDE/>
        <w:autoSpaceDN/>
        <w:bidi w:val="0"/>
        <w:spacing w:line="580" w:lineRule="exact"/>
        <w:ind w:firstLine="480" w:firstLineChars="150"/>
        <w:outlineLvl w:val="9"/>
        <w:rPr>
          <w:rFonts w:hint="eastAsia" w:ascii="仿宋_GB2312" w:hAnsi="仿宋" w:eastAsia="仿宋_GB2312" w:cs="仿宋"/>
          <w:sz w:val="32"/>
          <w:szCs w:val="32"/>
        </w:rPr>
      </w:pPr>
    </w:p>
    <w:p>
      <w:pPr>
        <w:pageBreakBefore w:val="0"/>
        <w:kinsoku/>
        <w:wordWrap/>
        <w:overflowPunct/>
        <w:topLinePunct w:val="0"/>
        <w:autoSpaceDE/>
        <w:autoSpaceDN/>
        <w:bidi w:val="0"/>
        <w:spacing w:line="580" w:lineRule="exact"/>
        <w:jc w:val="center"/>
        <w:outlineLvl w:val="9"/>
        <w:rPr>
          <w:rFonts w:ascii="仿宋_GB2312" w:hAnsi="黑体" w:eastAsia="仿宋_GB2312" w:cs="黑体"/>
          <w:b/>
          <w:bCs/>
          <w:sz w:val="32"/>
          <w:szCs w:val="32"/>
        </w:rPr>
      </w:pPr>
      <w:r>
        <w:rPr>
          <w:rFonts w:hint="eastAsia" w:ascii="仿宋_GB2312" w:hAnsi="黑体" w:eastAsia="仿宋_GB2312" w:cs="黑体"/>
          <w:b/>
          <w:bCs/>
          <w:sz w:val="32"/>
          <w:szCs w:val="32"/>
        </w:rPr>
        <w:t>第六章 监督检查</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宋体" w:eastAsia="仿宋_GB2312"/>
          <w:b/>
          <w:sz w:val="32"/>
          <w:szCs w:val="32"/>
        </w:rPr>
        <w:t>第二十条</w:t>
      </w:r>
      <w:r>
        <w:rPr>
          <w:rFonts w:hint="eastAsia" w:ascii="仿宋_GB2312" w:hAnsi="宋体" w:eastAsia="仿宋_GB2312"/>
          <w:sz w:val="32"/>
          <w:szCs w:val="32"/>
        </w:rPr>
        <w:t xml:space="preserve">  各部门应加强本部门工作人员公务交通费报销</w:t>
      </w:r>
      <w:r>
        <w:rPr>
          <w:rFonts w:hint="eastAsia" w:ascii="仿宋_GB2312" w:hAnsi="仿宋" w:eastAsia="仿宋_GB2312" w:cs="仿宋"/>
          <w:sz w:val="32"/>
          <w:szCs w:val="32"/>
        </w:rPr>
        <w:t>的内控管理，部门领导对公务交通费报销要进行认真审核，确保票据来源合法、内容真实完整。</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仿宋" w:eastAsia="仿宋_GB2312" w:cs="仿宋"/>
          <w:b/>
          <w:sz w:val="32"/>
          <w:szCs w:val="32"/>
        </w:rPr>
        <w:t>第二十一条</w:t>
      </w:r>
      <w:r>
        <w:rPr>
          <w:rFonts w:hint="eastAsia" w:ascii="仿宋_GB2312" w:hAnsi="仿宋" w:eastAsia="仿宋_GB2312" w:cs="仿宋"/>
          <w:sz w:val="32"/>
          <w:szCs w:val="32"/>
        </w:rPr>
        <w:t xml:space="preserve">  纪委会同审计处等相关部门对各部门公务交通费支出管理情况进行监督检查。</w:t>
      </w:r>
    </w:p>
    <w:p>
      <w:pPr>
        <w:pageBreakBefore w:val="0"/>
        <w:kinsoku/>
        <w:wordWrap/>
        <w:overflowPunct/>
        <w:topLinePunct w:val="0"/>
        <w:autoSpaceDE/>
        <w:autoSpaceDN/>
        <w:bidi w:val="0"/>
        <w:spacing w:line="580" w:lineRule="exact"/>
        <w:ind w:firstLine="643" w:firstLineChars="200"/>
        <w:outlineLvl w:val="9"/>
        <w:rPr>
          <w:rFonts w:hint="eastAsia" w:ascii="仿宋_GB2312" w:hAnsi="仿宋" w:eastAsia="仿宋_GB2312" w:cs="仿宋"/>
          <w:sz w:val="32"/>
          <w:szCs w:val="32"/>
        </w:rPr>
      </w:pPr>
      <w:r>
        <w:rPr>
          <w:rFonts w:hint="eastAsia" w:ascii="仿宋_GB2312" w:hAnsi="仿宋" w:eastAsia="仿宋_GB2312" w:cs="仿宋"/>
          <w:b/>
          <w:sz w:val="32"/>
          <w:szCs w:val="32"/>
        </w:rPr>
        <w:t>第二十二条</w:t>
      </w:r>
      <w:r>
        <w:rPr>
          <w:rFonts w:hint="eastAsia" w:ascii="仿宋_GB2312" w:hAnsi="仿宋" w:eastAsia="仿宋_GB2312" w:cs="仿宋"/>
          <w:sz w:val="32"/>
          <w:szCs w:val="32"/>
        </w:rPr>
        <w:t xml:space="preserve">  违反本管理规定的，学校将责令其改正，追回违规报销的经费，由纪检监察部门追究责任。涉嫌违法的，移交司法机关处理。</w:t>
      </w:r>
    </w:p>
    <w:p>
      <w:pPr>
        <w:pageBreakBefore w:val="0"/>
        <w:kinsoku/>
        <w:wordWrap/>
        <w:overflowPunct/>
        <w:topLinePunct w:val="0"/>
        <w:autoSpaceDE/>
        <w:autoSpaceDN/>
        <w:bidi w:val="0"/>
        <w:spacing w:line="580" w:lineRule="exact"/>
        <w:jc w:val="center"/>
        <w:outlineLvl w:val="9"/>
        <w:rPr>
          <w:rFonts w:hint="eastAsia" w:ascii="仿宋_GB2312" w:hAnsi="黑体" w:eastAsia="仿宋_GB2312" w:cs="黑体"/>
          <w:b/>
          <w:bCs/>
          <w:sz w:val="32"/>
          <w:szCs w:val="32"/>
        </w:rPr>
      </w:pPr>
    </w:p>
    <w:p>
      <w:pPr>
        <w:pageBreakBefore w:val="0"/>
        <w:kinsoku/>
        <w:wordWrap/>
        <w:overflowPunct/>
        <w:topLinePunct w:val="0"/>
        <w:autoSpaceDE/>
        <w:autoSpaceDN/>
        <w:bidi w:val="0"/>
        <w:spacing w:line="580" w:lineRule="exact"/>
        <w:jc w:val="center"/>
        <w:outlineLvl w:val="9"/>
        <w:rPr>
          <w:rFonts w:ascii="仿宋_GB2312" w:hAnsi="黑体" w:eastAsia="仿宋_GB2312" w:cs="黑体"/>
          <w:b/>
          <w:bCs/>
          <w:sz w:val="32"/>
          <w:szCs w:val="32"/>
        </w:rPr>
      </w:pPr>
      <w:r>
        <w:rPr>
          <w:rFonts w:hint="eastAsia" w:ascii="仿宋_GB2312" w:hAnsi="黑体" w:eastAsia="仿宋_GB2312" w:cs="黑体"/>
          <w:b/>
          <w:bCs/>
          <w:sz w:val="32"/>
          <w:szCs w:val="32"/>
        </w:rPr>
        <w:t>第七章 附 则</w:t>
      </w:r>
    </w:p>
    <w:p>
      <w:pPr>
        <w:pageBreakBefore w:val="0"/>
        <w:kinsoku/>
        <w:wordWrap/>
        <w:overflowPunct/>
        <w:topLinePunct w:val="0"/>
        <w:autoSpaceDE/>
        <w:autoSpaceDN/>
        <w:bidi w:val="0"/>
        <w:spacing w:line="580" w:lineRule="exact"/>
        <w:ind w:firstLine="643" w:firstLineChars="200"/>
        <w:outlineLvl w:val="9"/>
        <w:rPr>
          <w:rFonts w:ascii="仿宋_GB2312" w:hAnsi="仿宋" w:eastAsia="仿宋_GB2312" w:cs="仿宋"/>
          <w:sz w:val="32"/>
          <w:szCs w:val="32"/>
        </w:rPr>
      </w:pPr>
      <w:r>
        <w:rPr>
          <w:rFonts w:hint="eastAsia" w:ascii="仿宋_GB2312" w:hAnsi="仿宋" w:eastAsia="仿宋_GB2312" w:cs="仿宋"/>
          <w:b/>
          <w:sz w:val="32"/>
          <w:szCs w:val="32"/>
        </w:rPr>
        <w:t>第二十三条</w:t>
      </w:r>
      <w:r>
        <w:rPr>
          <w:rFonts w:hint="eastAsia" w:ascii="仿宋_GB2312" w:hAnsi="仿宋" w:eastAsia="仿宋_GB2312" w:cs="仿宋"/>
          <w:sz w:val="32"/>
          <w:szCs w:val="32"/>
        </w:rPr>
        <w:t xml:space="preserve">  采用非公共交通驾车出行人员，必须按交通法律法规行车，本人及车上人员的人身安全、风险防范，由本人负全部责任。</w:t>
      </w:r>
    </w:p>
    <w:p>
      <w:pPr>
        <w:pageBreakBefore w:val="0"/>
        <w:kinsoku/>
        <w:wordWrap/>
        <w:overflowPunct/>
        <w:topLinePunct w:val="0"/>
        <w:autoSpaceDE/>
        <w:autoSpaceDN/>
        <w:bidi w:val="0"/>
        <w:spacing w:line="580" w:lineRule="exact"/>
        <w:ind w:firstLine="643" w:firstLineChars="200"/>
        <w:outlineLvl w:val="9"/>
        <w:rPr>
          <w:rFonts w:hint="eastAsia" w:ascii="仿宋_GB2312" w:hAnsi="仿宋" w:eastAsia="仿宋_GB2312" w:cs="仿宋"/>
          <w:sz w:val="32"/>
          <w:szCs w:val="32"/>
        </w:rPr>
      </w:pPr>
      <w:r>
        <w:rPr>
          <w:rFonts w:hint="eastAsia" w:ascii="仿宋_GB2312" w:hAnsi="仿宋" w:eastAsia="仿宋_GB2312" w:cs="仿宋"/>
          <w:b/>
          <w:sz w:val="32"/>
          <w:szCs w:val="32"/>
        </w:rPr>
        <w:t>第二十四条</w:t>
      </w:r>
      <w:r>
        <w:rPr>
          <w:rFonts w:hint="eastAsia" w:ascii="仿宋_GB2312" w:hAnsi="仿宋" w:eastAsia="仿宋_GB2312" w:cs="仿宋"/>
          <w:sz w:val="32"/>
          <w:szCs w:val="32"/>
        </w:rPr>
        <w:t xml:space="preserve">  本办法自印发之日起实施。</w:t>
      </w:r>
    </w:p>
    <w:p>
      <w:pPr>
        <w:pageBreakBefore w:val="0"/>
        <w:kinsoku/>
        <w:wordWrap/>
        <w:overflowPunct/>
        <w:topLinePunct w:val="0"/>
        <w:autoSpaceDE/>
        <w:autoSpaceDN/>
        <w:bidi w:val="0"/>
        <w:spacing w:line="580" w:lineRule="exact"/>
        <w:ind w:firstLine="643" w:firstLineChars="200"/>
        <w:outlineLvl w:val="9"/>
        <w:rPr>
          <w:rFonts w:hint="eastAsia" w:ascii="仿宋_GB2312" w:hAnsi="仿宋" w:eastAsia="仿宋_GB2312" w:cs="仿宋"/>
          <w:sz w:val="32"/>
          <w:szCs w:val="32"/>
        </w:rPr>
      </w:pPr>
      <w:r>
        <w:rPr>
          <w:rFonts w:hint="eastAsia" w:ascii="仿宋_GB2312" w:hAnsi="仿宋" w:eastAsia="仿宋_GB2312" w:cs="仿宋"/>
          <w:b/>
          <w:sz w:val="32"/>
          <w:szCs w:val="32"/>
        </w:rPr>
        <w:t>第二十五条</w:t>
      </w:r>
      <w:r>
        <w:rPr>
          <w:rFonts w:hint="eastAsia" w:ascii="仿宋_GB2312" w:hAnsi="仿宋" w:eastAsia="仿宋_GB2312" w:cs="仿宋"/>
          <w:sz w:val="32"/>
          <w:szCs w:val="32"/>
        </w:rPr>
        <w:t xml:space="preserve">  本办法由学校办公室负责解释。</w:t>
      </w:r>
    </w:p>
    <w:p>
      <w:pPr>
        <w:pageBreakBefore w:val="0"/>
        <w:kinsoku/>
        <w:wordWrap/>
        <w:overflowPunct/>
        <w:topLinePunct w:val="0"/>
        <w:autoSpaceDE/>
        <w:autoSpaceDN/>
        <w:bidi w:val="0"/>
        <w:spacing w:line="580" w:lineRule="exact"/>
        <w:ind w:firstLine="640" w:firstLineChars="200"/>
        <w:outlineLvl w:val="9"/>
        <w:rPr>
          <w:rFonts w:hint="eastAsia" w:ascii="仿宋_GB2312" w:hAnsi="仿宋" w:eastAsia="仿宋_GB2312" w:cs="仿宋"/>
          <w:sz w:val="32"/>
          <w:szCs w:val="32"/>
        </w:rPr>
      </w:pPr>
    </w:p>
    <w:p>
      <w:pPr>
        <w:pageBreakBefore w:val="0"/>
        <w:kinsoku/>
        <w:wordWrap/>
        <w:overflowPunct/>
        <w:topLinePunct w:val="0"/>
        <w:autoSpaceDE/>
        <w:autoSpaceDN/>
        <w:bidi w:val="0"/>
        <w:spacing w:line="580" w:lineRule="exact"/>
        <w:ind w:firstLine="640" w:firstLineChars="200"/>
        <w:outlineLvl w:val="9"/>
        <w:rPr>
          <w:rFonts w:hint="eastAsia" w:ascii="仿宋_GB2312" w:hAnsi="仿宋" w:eastAsia="仿宋_GB2312" w:cs="仿宋"/>
          <w:sz w:val="32"/>
          <w:szCs w:val="32"/>
        </w:rPr>
      </w:pPr>
      <w:r>
        <w:rPr>
          <w:rFonts w:hint="eastAsia" w:ascii="仿宋_GB2312" w:hAnsi="仿宋" w:eastAsia="仿宋_GB2312" w:cs="仿宋"/>
          <w:sz w:val="32"/>
          <w:szCs w:val="32"/>
        </w:rPr>
        <w:t>附件：1.市内公务出行交通费划拨额度</w:t>
      </w:r>
    </w:p>
    <w:p>
      <w:pPr>
        <w:pageBreakBefore w:val="0"/>
        <w:kinsoku/>
        <w:wordWrap/>
        <w:overflowPunct/>
        <w:topLinePunct w:val="0"/>
        <w:autoSpaceDE/>
        <w:autoSpaceDN/>
        <w:bidi w:val="0"/>
        <w:spacing w:line="580" w:lineRule="exact"/>
        <w:ind w:left="1475" w:leftChars="550" w:hanging="320" w:hangingChars="100"/>
        <w:outlineLvl w:val="9"/>
        <w:rPr>
          <w:rFonts w:ascii="仿宋_GB2312" w:hAnsi="仿宋" w:eastAsia="仿宋_GB2312" w:cs="仿宋"/>
          <w:sz w:val="32"/>
          <w:szCs w:val="32"/>
        </w:rPr>
      </w:pPr>
      <w:r>
        <w:rPr>
          <w:rFonts w:hint="eastAsia" w:ascii="仿宋_GB2312" w:hAnsi="仿宋" w:eastAsia="仿宋_GB2312" w:cs="仿宋"/>
          <w:sz w:val="32"/>
          <w:szCs w:val="32"/>
        </w:rPr>
        <w:t>2.柳州职业技术学院市内公务非公共交通出行补助计算表</w:t>
      </w:r>
    </w:p>
    <w:p>
      <w:pPr>
        <w:pageBreakBefore w:val="0"/>
        <w:kinsoku/>
        <w:wordWrap/>
        <w:overflowPunct/>
        <w:topLinePunct w:val="0"/>
        <w:autoSpaceDE/>
        <w:autoSpaceDN/>
        <w:bidi w:val="0"/>
        <w:spacing w:line="580" w:lineRule="exact"/>
        <w:outlineLvl w:val="9"/>
        <w:rPr>
          <w:rFonts w:hint="eastAsia" w:ascii="仿宋_GB2312" w:hAnsi="仿宋" w:eastAsia="仿宋_GB2312" w:cs="仿宋"/>
          <w:sz w:val="32"/>
          <w:szCs w:val="32"/>
        </w:rPr>
      </w:pPr>
      <w:r>
        <w:rPr>
          <w:rFonts w:ascii="仿宋_GB2312" w:hAnsi="仿宋" w:eastAsia="仿宋_GB2312" w:cs="仿宋"/>
          <w:sz w:val="32"/>
          <w:szCs w:val="32"/>
        </w:rPr>
        <w:br w:type="page"/>
      </w:r>
      <w:r>
        <w:rPr>
          <w:rFonts w:hint="eastAsia" w:ascii="黑体" w:hAnsi="黑体" w:eastAsia="黑体"/>
          <w:color w:val="000000"/>
          <w:sz w:val="30"/>
          <w:szCs w:val="30"/>
        </w:rPr>
        <w:t>附件1：</w:t>
      </w:r>
    </w:p>
    <w:tbl>
      <w:tblPr>
        <w:tblStyle w:val="17"/>
        <w:tblW w:w="8934" w:type="dxa"/>
        <w:jc w:val="center"/>
        <w:tblInd w:w="0" w:type="dxa"/>
        <w:tblLayout w:type="fixed"/>
        <w:tblCellMar>
          <w:top w:w="0" w:type="dxa"/>
          <w:left w:w="0" w:type="dxa"/>
          <w:bottom w:w="0" w:type="dxa"/>
          <w:right w:w="0" w:type="dxa"/>
        </w:tblCellMar>
      </w:tblPr>
      <w:tblGrid>
        <w:gridCol w:w="722"/>
        <w:gridCol w:w="4255"/>
        <w:gridCol w:w="3261"/>
        <w:gridCol w:w="696"/>
      </w:tblGrid>
      <w:tr>
        <w:tblPrEx>
          <w:tblLayout w:type="fixed"/>
          <w:tblCellMar>
            <w:top w:w="0" w:type="dxa"/>
            <w:left w:w="0" w:type="dxa"/>
            <w:bottom w:w="0" w:type="dxa"/>
            <w:right w:w="0" w:type="dxa"/>
          </w:tblCellMar>
        </w:tblPrEx>
        <w:trPr>
          <w:trHeight w:val="624" w:hRule="atLeast"/>
          <w:jc w:val="center"/>
        </w:trPr>
        <w:tc>
          <w:tcPr>
            <w:tcW w:w="8934" w:type="dxa"/>
            <w:gridSpan w:val="4"/>
            <w:tcBorders>
              <w:top w:val="nil"/>
              <w:left w:val="nil"/>
              <w:bottom w:val="single" w:color="000000" w:sz="8" w:space="0"/>
              <w:right w:val="nil"/>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 w:val="32"/>
                <w:szCs w:val="32"/>
              </w:rPr>
            </w:pPr>
            <w:r>
              <w:rPr>
                <w:rFonts w:hint="eastAsia" w:ascii="宋体" w:hAnsi="宋体"/>
                <w:b/>
                <w:color w:val="000000"/>
                <w:kern w:val="0"/>
                <w:sz w:val="32"/>
                <w:szCs w:val="32"/>
                <w:lang w:bidi="ar"/>
              </w:rPr>
              <w:t>柳州职业技术学院市内公务出行交通费划拨额度</w:t>
            </w:r>
          </w:p>
        </w:tc>
      </w:tr>
      <w:tr>
        <w:tblPrEx>
          <w:tblLayout w:type="fixed"/>
          <w:tblCellMar>
            <w:top w:w="0" w:type="dxa"/>
            <w:left w:w="0" w:type="dxa"/>
            <w:bottom w:w="0" w:type="dxa"/>
            <w:right w:w="0" w:type="dxa"/>
          </w:tblCellMar>
        </w:tblPrEx>
        <w:trPr>
          <w:trHeight w:val="552" w:hRule="atLeast"/>
          <w:jc w:val="center"/>
        </w:trPr>
        <w:tc>
          <w:tcPr>
            <w:tcW w:w="722"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 w:val="20"/>
                <w:szCs w:val="20"/>
              </w:rPr>
            </w:pPr>
            <w:r>
              <w:rPr>
                <w:rFonts w:hint="eastAsia" w:ascii="宋体" w:hAnsi="宋体"/>
                <w:b/>
                <w:color w:val="000000"/>
                <w:kern w:val="0"/>
                <w:sz w:val="20"/>
                <w:szCs w:val="20"/>
                <w:lang w:bidi="ar"/>
              </w:rPr>
              <w:t>序号</w:t>
            </w: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 w:val="20"/>
                <w:szCs w:val="20"/>
              </w:rPr>
            </w:pPr>
            <w:r>
              <w:rPr>
                <w:rFonts w:ascii="宋体" w:hAnsi="宋体" w:cs="宋体"/>
                <w:b/>
                <w:color w:val="000000"/>
                <w:sz w:val="20"/>
                <w:szCs w:val="20"/>
                <w:lang w:bidi="ar"/>
              </w:rPr>
              <w:t>部</w:t>
            </w:r>
            <w:r>
              <w:rPr>
                <w:rFonts w:ascii="Courier New" w:hAnsi="Courier New" w:cs="Courier New"/>
                <w:b/>
                <w:color w:val="000000"/>
                <w:sz w:val="20"/>
                <w:szCs w:val="20"/>
                <w:lang w:bidi="ar"/>
              </w:rPr>
              <w:t xml:space="preserve">  </w:t>
            </w:r>
            <w:r>
              <w:rPr>
                <w:rFonts w:ascii="宋体" w:hAnsi="宋体" w:cs="宋体"/>
                <w:b/>
                <w:color w:val="000000"/>
                <w:sz w:val="20"/>
                <w:szCs w:val="20"/>
                <w:lang w:bidi="ar"/>
              </w:rPr>
              <w:t>门</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 w:val="20"/>
                <w:szCs w:val="20"/>
              </w:rPr>
            </w:pPr>
            <w:r>
              <w:rPr>
                <w:rFonts w:ascii="宋体" w:hAnsi="宋体" w:cs="宋体"/>
                <w:b/>
                <w:color w:val="000000"/>
                <w:sz w:val="20"/>
                <w:szCs w:val="20"/>
                <w:lang w:bidi="ar"/>
              </w:rPr>
              <w:t>划拨额度</w:t>
            </w:r>
            <w:r>
              <w:rPr>
                <w:rFonts w:ascii="Courier New" w:hAnsi="Courier New" w:cs="Courier New"/>
                <w:b/>
                <w:color w:val="000000"/>
                <w:sz w:val="20"/>
                <w:szCs w:val="20"/>
                <w:lang w:bidi="ar"/>
              </w:rPr>
              <w:t>(</w:t>
            </w:r>
            <w:r>
              <w:rPr>
                <w:rFonts w:ascii="宋体" w:hAnsi="宋体" w:cs="宋体"/>
                <w:b/>
                <w:color w:val="000000"/>
                <w:sz w:val="20"/>
                <w:szCs w:val="20"/>
                <w:lang w:bidi="ar"/>
              </w:rPr>
              <w:t>元</w:t>
            </w:r>
            <w:r>
              <w:rPr>
                <w:rFonts w:ascii="Courier New" w:hAnsi="Courier New" w:cs="Courier New"/>
                <w:b/>
                <w:color w:val="000000"/>
                <w:sz w:val="20"/>
                <w:szCs w:val="20"/>
                <w:lang w:bidi="ar"/>
              </w:rPr>
              <w:t>)/</w:t>
            </w:r>
            <w:r>
              <w:rPr>
                <w:rFonts w:ascii="宋体" w:hAnsi="宋体" w:cs="宋体"/>
                <w:b/>
                <w:color w:val="000000"/>
                <w:sz w:val="20"/>
                <w:szCs w:val="20"/>
                <w:lang w:bidi="ar"/>
              </w:rPr>
              <w:t>年</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 w:val="20"/>
                <w:szCs w:val="20"/>
              </w:rPr>
            </w:pPr>
            <w:r>
              <w:rPr>
                <w:rFonts w:hint="eastAsia" w:ascii="宋体" w:hAnsi="宋体"/>
                <w:b/>
                <w:color w:val="000000"/>
                <w:sz w:val="20"/>
                <w:szCs w:val="20"/>
              </w:rPr>
              <w:t>备注</w:t>
            </w:r>
          </w:p>
        </w:tc>
      </w:tr>
      <w:tr>
        <w:tblPrEx>
          <w:tblLayout w:type="fixed"/>
          <w:tblCellMar>
            <w:top w:w="0" w:type="dxa"/>
            <w:left w:w="0" w:type="dxa"/>
            <w:bottom w:w="0" w:type="dxa"/>
            <w:right w:w="0" w:type="dxa"/>
          </w:tblCellMar>
        </w:tblPrEx>
        <w:trPr>
          <w:trHeight w:val="162" w:hRule="atLeast"/>
          <w:jc w:val="center"/>
        </w:trPr>
        <w:tc>
          <w:tcPr>
            <w:tcW w:w="722"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kern w:val="0"/>
                <w:szCs w:val="21"/>
                <w:lang w:bidi="ar"/>
              </w:rPr>
            </w:pPr>
          </w:p>
          <w:p>
            <w:pPr>
              <w:pageBreakBefore w:val="0"/>
              <w:widowControl/>
              <w:kinsoku/>
              <w:wordWrap/>
              <w:overflowPunct/>
              <w:topLinePunct w:val="0"/>
              <w:autoSpaceDE/>
              <w:autoSpaceDN/>
              <w:bidi w:val="0"/>
              <w:jc w:val="center"/>
              <w:textAlignment w:val="center"/>
              <w:outlineLvl w:val="9"/>
              <w:rPr>
                <w:rFonts w:hint="eastAsia" w:ascii="宋体" w:hAnsi="宋体"/>
                <w:b/>
                <w:color w:val="000000"/>
                <w:szCs w:val="21"/>
              </w:rPr>
            </w:pPr>
            <w:r>
              <w:rPr>
                <w:rFonts w:hint="eastAsia" w:ascii="宋体" w:hAnsi="宋体"/>
                <w:b/>
                <w:color w:val="000000"/>
                <w:kern w:val="0"/>
                <w:szCs w:val="21"/>
                <w:lang w:bidi="ar"/>
              </w:rPr>
              <w:t>行政管理部门</w:t>
            </w: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hint="eastAsia" w:ascii="宋体" w:hAnsi="宋体"/>
                <w:b/>
                <w:color w:val="000000"/>
                <w:szCs w:val="21"/>
              </w:rPr>
            </w:pPr>
            <w:r>
              <w:rPr>
                <w:rFonts w:ascii="宋体" w:hAnsi="宋体" w:cs="宋体"/>
                <w:b/>
                <w:color w:val="000000"/>
                <w:sz w:val="21"/>
                <w:szCs w:val="21"/>
                <w:lang w:bidi="ar"/>
              </w:rPr>
              <w:t>党委办公室（学校办公室）</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5000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181"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kern w:val="0"/>
                <w:szCs w:val="21"/>
                <w:lang w:bidi="ar"/>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党委组织部（党委统战部）</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Courier New" w:hAnsi="Courier New" w:cs="Courier New"/>
                <w:b/>
                <w:bCs/>
                <w:color w:val="000000"/>
                <w:szCs w:val="21"/>
              </w:rPr>
            </w:pPr>
            <w:r>
              <w:rPr>
                <w:rFonts w:hint="eastAsia" w:ascii="Courier New" w:hAnsi="Courier New" w:cs="Courier New"/>
                <w:b/>
                <w:bCs/>
                <w:color w:val="000000"/>
                <w:szCs w:val="21"/>
              </w:rPr>
              <w:t>4000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党委宣传部</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rPr>
            </w:pPr>
            <w:r>
              <w:rPr>
                <w:rFonts w:ascii="宋体" w:hAnsi="宋体" w:cs="宋体"/>
                <w:b/>
                <w:color w:val="000000"/>
                <w:sz w:val="21"/>
                <w:szCs w:val="21"/>
              </w:rPr>
              <w:t>发展规划与质量管理处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Courier New" w:hAnsi="Courier New" w:cs="Courier New"/>
                <w:b/>
                <w:bCs/>
                <w:color w:val="000000"/>
                <w:szCs w:val="21"/>
              </w:rPr>
            </w:pPr>
            <w:r>
              <w:rPr>
                <w:rFonts w:hint="eastAsia"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党委学生工作部（学生工作处）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63"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教务与实训管理处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Courier New" w:hAnsi="Courier New" w:cs="Courier New"/>
                <w:b/>
                <w:bCs/>
                <w:color w:val="000000"/>
                <w:szCs w:val="21"/>
              </w:rPr>
            </w:pPr>
            <w:r>
              <w:rPr>
                <w:rFonts w:hint="eastAsia"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rPr>
            </w:pPr>
            <w:r>
              <w:rPr>
                <w:rFonts w:ascii="宋体" w:hAnsi="宋体" w:cs="宋体"/>
                <w:b/>
                <w:color w:val="000000"/>
                <w:sz w:val="21"/>
                <w:szCs w:val="21"/>
              </w:rPr>
              <w:t>招生就业处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Courier New" w:hAnsi="Courier New" w:cs="Courier New"/>
                <w:b/>
                <w:bCs/>
                <w:color w:val="000000"/>
                <w:szCs w:val="21"/>
              </w:rPr>
            </w:pPr>
            <w:r>
              <w:rPr>
                <w:rFonts w:hint="eastAsia" w:ascii="Courier New" w:hAnsi="Courier New" w:cs="Courier New"/>
                <w:b/>
                <w:bCs/>
                <w:color w:val="000000"/>
                <w:szCs w:val="21"/>
              </w:rPr>
              <w:t>3500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科技开发与校企合作处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5000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后勤保障处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bCs/>
                <w:color w:val="00000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财务处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人事处（党委教师工作部、教职工发展中心）</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40</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国际交流处（国际教育学院）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35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保卫处（党委武装部）</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35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资产管理处</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F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审计处（督导室）</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2</w:t>
            </w:r>
            <w:r>
              <w:rPr>
                <w:rFonts w:ascii="Courier New" w:hAnsi="Courier New" w:cs="Courier New"/>
                <w:b/>
                <w:bCs/>
                <w:color w:val="000000"/>
                <w:szCs w:val="21"/>
              </w:rPr>
              <w:t>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70C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纪委办公室（监察室）</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25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工会</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7030A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团委</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25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70C0"/>
                <w:sz w:val="20"/>
                <w:szCs w:val="20"/>
              </w:rPr>
            </w:pPr>
          </w:p>
        </w:tc>
      </w:tr>
      <w:tr>
        <w:tblPrEx>
          <w:tblLayout w:type="fixed"/>
          <w:tblCellMar>
            <w:top w:w="0" w:type="dxa"/>
            <w:left w:w="0" w:type="dxa"/>
            <w:bottom w:w="0" w:type="dxa"/>
            <w:right w:w="0" w:type="dxa"/>
          </w:tblCellMar>
        </w:tblPrEx>
        <w:trPr>
          <w:trHeight w:val="52"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lang w:bidi="ar"/>
              </w:rPr>
              <w:t>继续教育学院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50</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70C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信息技术服务中心</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2500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70C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图书馆</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2500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7030A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Cs w:val="21"/>
              </w:rPr>
            </w:pPr>
            <w:r>
              <w:rPr>
                <w:rFonts w:hint="eastAsia" w:ascii="宋体" w:hAnsi="宋体"/>
                <w:b/>
                <w:color w:val="000000"/>
                <w:kern w:val="0"/>
                <w:szCs w:val="21"/>
                <w:lang w:bidi="ar"/>
              </w:rPr>
              <w:t>二级学院</w:t>
            </w: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机电工程学院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FF000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汽车工程学院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FF000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财经与物流学院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45</w:t>
            </w:r>
            <w:r>
              <w:rPr>
                <w:rFonts w:ascii="Courier New" w:hAnsi="Courier New" w:cs="Courier New"/>
                <w:b/>
                <w:bCs/>
                <w:color w:val="000000"/>
                <w:szCs w:val="21"/>
              </w:rPr>
              <w:t>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FF000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电子信息工程学院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环境与食品工程学院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贸易与旅游管理学院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艺术学院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3000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通识教育学院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2500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lang w:bidi="ar"/>
              </w:rPr>
            </w:pPr>
            <w:r>
              <w:rPr>
                <w:rFonts w:ascii="宋体" w:hAnsi="宋体" w:cs="宋体"/>
                <w:b/>
                <w:color w:val="000000"/>
                <w:sz w:val="21"/>
                <w:szCs w:val="21"/>
              </w:rPr>
              <w:t>马克思主义学院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ascii="Courier New" w:hAnsi="Courier New" w:cs="Courier New"/>
                <w:b/>
                <w:bCs/>
                <w:color w:val="000000"/>
                <w:szCs w:val="21"/>
              </w:rPr>
              <w:t>2500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722"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hint="eastAsia" w:ascii="宋体" w:hAnsi="宋体"/>
                <w:b/>
                <w:color w:val="000000"/>
                <w:szCs w:val="21"/>
              </w:rPr>
            </w:pPr>
          </w:p>
        </w:tc>
        <w:tc>
          <w:tcPr>
            <w:tcW w:w="4255"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left"/>
              <w:textAlignment w:val="center"/>
              <w:outlineLvl w:val="9"/>
              <w:rPr>
                <w:rFonts w:ascii="宋体" w:hAnsi="宋体" w:cs="宋体"/>
                <w:b/>
                <w:color w:val="000000"/>
                <w:sz w:val="21"/>
                <w:szCs w:val="21"/>
              </w:rPr>
            </w:pPr>
            <w:r>
              <w:rPr>
                <w:rFonts w:ascii="宋体" w:hAnsi="宋体" w:cs="宋体"/>
                <w:b/>
                <w:color w:val="000000"/>
                <w:sz w:val="21"/>
                <w:szCs w:val="21"/>
              </w:rPr>
              <w:t>柳州螺蛳粉产业学院</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kinsoku/>
              <w:wordWrap/>
              <w:overflowPunct/>
              <w:topLinePunct w:val="0"/>
              <w:autoSpaceDE/>
              <w:autoSpaceDN/>
              <w:bidi w:val="0"/>
              <w:jc w:val="center"/>
              <w:outlineLvl w:val="9"/>
              <w:rPr>
                <w:rFonts w:ascii="Courier New" w:hAnsi="Courier New" w:cs="Courier New"/>
                <w:b/>
                <w:bCs/>
                <w:color w:val="000000"/>
                <w:szCs w:val="21"/>
              </w:rPr>
            </w:pPr>
            <w:r>
              <w:rPr>
                <w:rFonts w:hint="eastAsia" w:ascii="Courier New" w:hAnsi="Courier New" w:cs="Courier New"/>
                <w:b/>
                <w:bCs/>
                <w:color w:val="000000"/>
                <w:szCs w:val="21"/>
              </w:rPr>
              <w:t>4500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B050"/>
                <w:sz w:val="20"/>
                <w:szCs w:val="20"/>
              </w:rPr>
            </w:pPr>
          </w:p>
        </w:tc>
      </w:tr>
      <w:tr>
        <w:tblPrEx>
          <w:tblLayout w:type="fixed"/>
          <w:tblCellMar>
            <w:top w:w="0" w:type="dxa"/>
            <w:left w:w="0" w:type="dxa"/>
            <w:bottom w:w="0" w:type="dxa"/>
            <w:right w:w="0" w:type="dxa"/>
          </w:tblCellMar>
        </w:tblPrEx>
        <w:trPr>
          <w:trHeight w:val="399" w:hRule="atLeast"/>
          <w:jc w:val="center"/>
        </w:trPr>
        <w:tc>
          <w:tcPr>
            <w:tcW w:w="4977" w:type="dxa"/>
            <w:gridSpan w:val="2"/>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hint="eastAsia" w:ascii="宋体" w:hAnsi="宋体"/>
                <w:b/>
                <w:color w:val="000000"/>
                <w:szCs w:val="21"/>
              </w:rPr>
            </w:pPr>
            <w:r>
              <w:rPr>
                <w:rFonts w:ascii="宋体" w:hAnsi="宋体" w:cs="宋体"/>
                <w:b/>
                <w:color w:val="000000"/>
                <w:sz w:val="21"/>
                <w:szCs w:val="21"/>
                <w:lang w:bidi="ar"/>
              </w:rPr>
              <w:t>合</w:t>
            </w:r>
            <w:r>
              <w:rPr>
                <w:rFonts w:ascii="Courier New" w:hAnsi="Courier New" w:cs="Courier New"/>
                <w:color w:val="000000"/>
                <w:sz w:val="24"/>
                <w:lang w:bidi="ar"/>
              </w:rPr>
              <w:t xml:space="preserve">    </w:t>
            </w:r>
            <w:r>
              <w:rPr>
                <w:rFonts w:ascii="宋体" w:hAnsi="宋体" w:cs="宋体"/>
                <w:b/>
                <w:color w:val="000000"/>
                <w:sz w:val="21"/>
                <w:szCs w:val="21"/>
                <w:lang w:bidi="ar"/>
              </w:rPr>
              <w:t>计</w:t>
            </w:r>
          </w:p>
        </w:tc>
        <w:tc>
          <w:tcPr>
            <w:tcW w:w="3261"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0000"/>
                <w:szCs w:val="21"/>
              </w:rPr>
            </w:pPr>
            <w:r>
              <w:rPr>
                <w:rFonts w:hint="eastAsia" w:ascii="Courier New" w:hAnsi="Courier New" w:cs="Courier New"/>
                <w:b/>
                <w:color w:val="000000"/>
                <w:szCs w:val="21"/>
              </w:rPr>
              <w:t>110000</w:t>
            </w:r>
          </w:p>
        </w:tc>
        <w:tc>
          <w:tcPr>
            <w:tcW w:w="696" w:type="dxa"/>
            <w:tcBorders>
              <w:top w:val="nil"/>
              <w:left w:val="nil"/>
              <w:bottom w:val="single" w:color="000000" w:sz="8" w:space="0"/>
              <w:right w:val="single" w:color="000000" w:sz="8" w:space="0"/>
            </w:tcBorders>
            <w:noWrap w:val="0"/>
            <w:tcMar>
              <w:top w:w="15" w:type="dxa"/>
              <w:left w:w="15" w:type="dxa"/>
              <w:right w:w="15" w:type="dxa"/>
            </w:tcMar>
            <w:vAlign w:val="center"/>
          </w:tcPr>
          <w:p>
            <w:pPr>
              <w:pageBreakBefore w:val="0"/>
              <w:widowControl/>
              <w:kinsoku/>
              <w:wordWrap/>
              <w:overflowPunct/>
              <w:topLinePunct w:val="0"/>
              <w:autoSpaceDE/>
              <w:autoSpaceDN/>
              <w:bidi w:val="0"/>
              <w:jc w:val="center"/>
              <w:textAlignment w:val="center"/>
              <w:outlineLvl w:val="9"/>
              <w:rPr>
                <w:rFonts w:ascii="Courier New" w:hAnsi="Courier New" w:cs="Courier New"/>
                <w:b/>
                <w:color w:val="000000"/>
                <w:sz w:val="24"/>
              </w:rPr>
            </w:pPr>
          </w:p>
        </w:tc>
      </w:tr>
    </w:tbl>
    <w:p>
      <w:pPr>
        <w:pageBreakBefore w:val="0"/>
        <w:kinsoku/>
        <w:wordWrap/>
        <w:overflowPunct/>
        <w:topLinePunct w:val="0"/>
        <w:autoSpaceDE/>
        <w:autoSpaceDN/>
        <w:bidi w:val="0"/>
        <w:jc w:val="left"/>
        <w:outlineLvl w:val="9"/>
        <w:rPr>
          <w:rFonts w:hint="eastAsia" w:ascii="黑体" w:hAnsi="黑体" w:eastAsia="黑体"/>
          <w:color w:val="000000"/>
          <w:sz w:val="30"/>
          <w:szCs w:val="30"/>
        </w:rPr>
      </w:pPr>
      <w:r>
        <w:rPr>
          <w:rFonts w:ascii="黑体" w:hAnsi="黑体" w:eastAsia="黑体"/>
          <w:color w:val="000000"/>
          <w:sz w:val="30"/>
          <w:szCs w:val="30"/>
        </w:rPr>
        <w:br w:type="page"/>
      </w:r>
      <w:r>
        <w:rPr>
          <w:rFonts w:hint="eastAsia" w:ascii="黑体" w:hAnsi="黑体" w:eastAsia="黑体"/>
          <w:color w:val="000000"/>
          <w:sz w:val="30"/>
          <w:szCs w:val="30"/>
        </w:rPr>
        <w:t>附件2：</w:t>
      </w:r>
    </w:p>
    <w:p>
      <w:pPr>
        <w:pageBreakBefore w:val="0"/>
        <w:widowControl/>
        <w:kinsoku/>
        <w:wordWrap/>
        <w:overflowPunct/>
        <w:topLinePunct w:val="0"/>
        <w:autoSpaceDE/>
        <w:autoSpaceDN/>
        <w:bidi w:val="0"/>
        <w:jc w:val="center"/>
        <w:textAlignment w:val="center"/>
        <w:outlineLvl w:val="9"/>
        <w:rPr>
          <w:rFonts w:ascii="宋体" w:hAnsi="宋体"/>
          <w:b/>
          <w:color w:val="000000"/>
          <w:kern w:val="0"/>
          <w:sz w:val="32"/>
          <w:szCs w:val="32"/>
          <w:lang w:bidi="ar"/>
        </w:rPr>
      </w:pPr>
      <w:r>
        <w:rPr>
          <w:rFonts w:hint="eastAsia" w:ascii="宋体" w:hAnsi="宋体"/>
          <w:b/>
          <w:color w:val="000000"/>
          <w:kern w:val="0"/>
          <w:sz w:val="32"/>
          <w:szCs w:val="32"/>
          <w:lang w:bidi="ar"/>
        </w:rPr>
        <w:t>柳州职业技术学院市内公务非公共交通出行补助计算表</w:t>
      </w:r>
    </w:p>
    <w:p>
      <w:pPr>
        <w:pageBreakBefore w:val="0"/>
        <w:kinsoku/>
        <w:wordWrap/>
        <w:overflowPunct/>
        <w:topLinePunct w:val="0"/>
        <w:autoSpaceDE/>
        <w:autoSpaceDN/>
        <w:bidi w:val="0"/>
        <w:spacing w:line="400" w:lineRule="exact"/>
        <w:outlineLvl w:val="9"/>
        <w:rPr>
          <w:rFonts w:hint="eastAsia" w:ascii="宋体" w:hAnsi="宋体"/>
          <w:color w:val="000000"/>
          <w:szCs w:val="28"/>
        </w:rPr>
      </w:pPr>
      <w:r>
        <w:rPr>
          <w:rFonts w:hint="eastAsia" w:ascii="宋体" w:hAnsi="宋体"/>
          <w:color w:val="000000"/>
          <w:szCs w:val="28"/>
        </w:rPr>
        <w:t xml:space="preserve">                     </w:t>
      </w:r>
    </w:p>
    <w:p>
      <w:pPr>
        <w:pageBreakBefore w:val="0"/>
        <w:kinsoku/>
        <w:wordWrap/>
        <w:overflowPunct/>
        <w:topLinePunct w:val="0"/>
        <w:autoSpaceDE/>
        <w:autoSpaceDN/>
        <w:bidi w:val="0"/>
        <w:spacing w:line="400" w:lineRule="exact"/>
        <w:outlineLvl w:val="9"/>
        <w:rPr>
          <w:rFonts w:ascii="宋体" w:hAnsi="宋体"/>
          <w:color w:val="000000"/>
          <w:szCs w:val="28"/>
        </w:rPr>
      </w:pPr>
      <w:r>
        <w:rPr>
          <w:rFonts w:hint="eastAsia" w:ascii="宋体" w:hAnsi="宋体"/>
          <w:color w:val="000000"/>
          <w:szCs w:val="28"/>
        </w:rPr>
        <w:t>部门：                                      经办</w:t>
      </w:r>
      <w:r>
        <w:rPr>
          <w:rFonts w:hint="eastAsia" w:ascii="宋体" w:hAnsi="Calibri"/>
          <w:color w:val="000000"/>
          <w:szCs w:val="28"/>
        </w:rPr>
        <w:t>人：</w:t>
      </w:r>
    </w:p>
    <w:tbl>
      <w:tblPr>
        <w:tblStyle w:val="17"/>
        <w:tblW w:w="9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289"/>
        <w:gridCol w:w="1907"/>
        <w:gridCol w:w="1612"/>
        <w:gridCol w:w="993"/>
        <w:gridCol w:w="1522"/>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 w:type="dxa"/>
            <w:noWrap w:val="0"/>
            <w:vAlign w:val="top"/>
          </w:tcPr>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宋体"/>
                <w:color w:val="000000"/>
                <w:szCs w:val="28"/>
              </w:rPr>
              <w:t>时间</w:t>
            </w:r>
          </w:p>
        </w:tc>
        <w:tc>
          <w:tcPr>
            <w:tcW w:w="1289" w:type="dxa"/>
            <w:noWrap w:val="0"/>
            <w:vAlign w:val="top"/>
          </w:tcPr>
          <w:p>
            <w:pPr>
              <w:pageBreakBefore w:val="0"/>
              <w:kinsoku/>
              <w:wordWrap/>
              <w:overflowPunct/>
              <w:topLinePunct w:val="0"/>
              <w:autoSpaceDE/>
              <w:autoSpaceDN/>
              <w:bidi w:val="0"/>
              <w:jc w:val="center"/>
              <w:outlineLvl w:val="9"/>
              <w:rPr>
                <w:rFonts w:hint="eastAsia" w:ascii="宋体" w:hAnsi="Calibri"/>
                <w:color w:val="000000"/>
                <w:szCs w:val="28"/>
              </w:rPr>
            </w:pPr>
            <w:r>
              <w:rPr>
                <w:rFonts w:hint="eastAsia" w:ascii="宋体" w:hAnsi="Calibri"/>
                <w:color w:val="000000"/>
                <w:szCs w:val="28"/>
              </w:rPr>
              <w:t>办事人员（CRP）</w:t>
            </w:r>
          </w:p>
        </w:tc>
        <w:tc>
          <w:tcPr>
            <w:tcW w:w="1907" w:type="dxa"/>
            <w:noWrap w:val="0"/>
            <w:vAlign w:val="top"/>
          </w:tcPr>
          <w:p>
            <w:pPr>
              <w:pageBreakBefore w:val="0"/>
              <w:kinsoku/>
              <w:wordWrap/>
              <w:overflowPunct/>
              <w:topLinePunct w:val="0"/>
              <w:autoSpaceDE/>
              <w:autoSpaceDN/>
              <w:bidi w:val="0"/>
              <w:jc w:val="center"/>
              <w:outlineLvl w:val="9"/>
              <w:rPr>
                <w:rFonts w:hint="eastAsia" w:ascii="宋体" w:hAnsi="宋体"/>
                <w:color w:val="000000"/>
                <w:szCs w:val="28"/>
              </w:rPr>
            </w:pPr>
            <w:r>
              <w:rPr>
                <w:rFonts w:hint="eastAsia" w:ascii="宋体" w:hAnsi="宋体"/>
                <w:color w:val="000000"/>
                <w:szCs w:val="28"/>
              </w:rPr>
              <w:t>出发地点、</w:t>
            </w:r>
          </w:p>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宋体"/>
                <w:color w:val="000000"/>
                <w:szCs w:val="28"/>
              </w:rPr>
              <w:t>到达地点</w:t>
            </w:r>
          </w:p>
        </w:tc>
        <w:tc>
          <w:tcPr>
            <w:tcW w:w="1612" w:type="dxa"/>
            <w:noWrap w:val="0"/>
            <w:vAlign w:val="top"/>
          </w:tcPr>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宋体"/>
                <w:color w:val="000000"/>
                <w:szCs w:val="28"/>
              </w:rPr>
              <w:t>事由</w:t>
            </w:r>
          </w:p>
        </w:tc>
        <w:tc>
          <w:tcPr>
            <w:tcW w:w="993" w:type="dxa"/>
            <w:noWrap w:val="0"/>
            <w:vAlign w:val="top"/>
          </w:tcPr>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Calibri"/>
                <w:color w:val="000000"/>
                <w:szCs w:val="28"/>
              </w:rPr>
              <w:t>里程</w:t>
            </w:r>
          </w:p>
        </w:tc>
        <w:tc>
          <w:tcPr>
            <w:tcW w:w="1522" w:type="dxa"/>
            <w:noWrap w:val="0"/>
            <w:vAlign w:val="top"/>
          </w:tcPr>
          <w:p>
            <w:pPr>
              <w:pageBreakBefore w:val="0"/>
              <w:kinsoku/>
              <w:wordWrap/>
              <w:overflowPunct/>
              <w:topLinePunct w:val="0"/>
              <w:autoSpaceDE/>
              <w:autoSpaceDN/>
              <w:bidi w:val="0"/>
              <w:jc w:val="center"/>
              <w:outlineLvl w:val="9"/>
              <w:rPr>
                <w:rFonts w:hint="eastAsia" w:ascii="宋体" w:hAnsi="宋体"/>
                <w:color w:val="000000"/>
                <w:szCs w:val="28"/>
              </w:rPr>
            </w:pPr>
            <w:r>
              <w:rPr>
                <w:rFonts w:hint="eastAsia" w:ascii="宋体" w:hAnsi="Calibri"/>
                <w:color w:val="000000"/>
                <w:szCs w:val="28"/>
              </w:rPr>
              <w:t>补助</w:t>
            </w:r>
            <w:r>
              <w:rPr>
                <w:rFonts w:hint="eastAsia" w:ascii="宋体" w:hAnsi="宋体"/>
                <w:color w:val="000000"/>
                <w:szCs w:val="28"/>
              </w:rPr>
              <w:t>金额</w:t>
            </w:r>
          </w:p>
        </w:tc>
        <w:tc>
          <w:tcPr>
            <w:tcW w:w="1383" w:type="dxa"/>
            <w:noWrap w:val="0"/>
            <w:vAlign w:val="top"/>
          </w:tcPr>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宋体"/>
                <w:color w:val="000000"/>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289"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907"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61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99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52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38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289"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907"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61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99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52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38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289"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907"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61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99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52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38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0"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289"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907"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61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99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522"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c>
          <w:tcPr>
            <w:tcW w:w="1383" w:type="dxa"/>
            <w:noWrap w:val="0"/>
            <w:vAlign w:val="top"/>
          </w:tcPr>
          <w:p>
            <w:pPr>
              <w:pageBreakBefore w:val="0"/>
              <w:kinsoku/>
              <w:wordWrap/>
              <w:overflowPunct/>
              <w:topLinePunct w:val="0"/>
              <w:autoSpaceDE/>
              <w:autoSpaceDN/>
              <w:bidi w:val="0"/>
              <w:jc w:val="center"/>
              <w:outlineLvl w:val="9"/>
              <w:rPr>
                <w:rFonts w:ascii="方正小标宋简体" w:hAnsi="Calibri" w:eastAsia="方正小标宋简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9" w:type="dxa"/>
            <w:gridSpan w:val="2"/>
            <w:noWrap w:val="0"/>
            <w:vAlign w:val="top"/>
          </w:tcPr>
          <w:p>
            <w:pPr>
              <w:pageBreakBefore w:val="0"/>
              <w:kinsoku/>
              <w:wordWrap/>
              <w:overflowPunct/>
              <w:topLinePunct w:val="0"/>
              <w:autoSpaceDE/>
              <w:autoSpaceDN/>
              <w:bidi w:val="0"/>
              <w:jc w:val="center"/>
              <w:outlineLvl w:val="9"/>
              <w:rPr>
                <w:rFonts w:ascii="宋体" w:hAnsi="Calibri"/>
                <w:color w:val="000000"/>
                <w:szCs w:val="28"/>
              </w:rPr>
            </w:pPr>
            <w:r>
              <w:rPr>
                <w:rFonts w:hint="eastAsia" w:ascii="宋体" w:hAnsi="宋体"/>
                <w:color w:val="000000"/>
                <w:szCs w:val="28"/>
              </w:rPr>
              <w:t>金额合计</w:t>
            </w:r>
          </w:p>
        </w:tc>
        <w:tc>
          <w:tcPr>
            <w:tcW w:w="7417" w:type="dxa"/>
            <w:gridSpan w:val="5"/>
            <w:noWrap w:val="0"/>
            <w:vAlign w:val="top"/>
          </w:tcPr>
          <w:p>
            <w:pPr>
              <w:pageBreakBefore w:val="0"/>
              <w:kinsoku/>
              <w:wordWrap/>
              <w:overflowPunct/>
              <w:topLinePunct w:val="0"/>
              <w:autoSpaceDE/>
              <w:autoSpaceDN/>
              <w:bidi w:val="0"/>
              <w:outlineLvl w:val="9"/>
              <w:rPr>
                <w:rFonts w:ascii="方正小标宋简体" w:hAnsi="Calibri" w:eastAsia="方正小标宋简体"/>
                <w:color w:val="000000"/>
                <w:sz w:val="32"/>
                <w:szCs w:val="32"/>
              </w:rPr>
            </w:pPr>
            <w:r>
              <w:rPr>
                <w:rFonts w:hint="eastAsia" w:ascii="方正小标宋简体" w:hAnsi="Calibri" w:eastAsia="方正小标宋简体"/>
                <w:color w:val="000000"/>
                <w:sz w:val="32"/>
                <w:szCs w:val="32"/>
              </w:rPr>
              <w:t>（大写）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76" w:type="dxa"/>
            <w:gridSpan w:val="7"/>
            <w:noWrap w:val="0"/>
            <w:vAlign w:val="top"/>
          </w:tcPr>
          <w:p>
            <w:pPr>
              <w:pageBreakBefore w:val="0"/>
              <w:kinsoku/>
              <w:wordWrap/>
              <w:overflowPunct/>
              <w:topLinePunct w:val="0"/>
              <w:autoSpaceDE/>
              <w:autoSpaceDN/>
              <w:bidi w:val="0"/>
              <w:outlineLvl w:val="9"/>
              <w:rPr>
                <w:rFonts w:hint="eastAsia" w:ascii="宋体" w:hAnsi="宋体"/>
                <w:b/>
                <w:color w:val="000000"/>
                <w:szCs w:val="28"/>
              </w:rPr>
            </w:pPr>
            <w:r>
              <w:rPr>
                <w:rFonts w:hint="eastAsia" w:ascii="宋体" w:hAnsi="宋体"/>
                <w:b/>
                <w:color w:val="000000"/>
                <w:szCs w:val="28"/>
              </w:rPr>
              <w:t>部门复核：</w:t>
            </w:r>
          </w:p>
          <w:p>
            <w:pPr>
              <w:pageBreakBefore w:val="0"/>
              <w:kinsoku/>
              <w:wordWrap/>
              <w:overflowPunct/>
              <w:topLinePunct w:val="0"/>
              <w:autoSpaceDE/>
              <w:autoSpaceDN/>
              <w:bidi w:val="0"/>
              <w:outlineLvl w:val="9"/>
              <w:rPr>
                <w:rFonts w:ascii="宋体" w:hAnsi="Calibri"/>
                <w:b/>
                <w:color w:val="000000"/>
                <w:szCs w:val="28"/>
              </w:rPr>
            </w:pPr>
          </w:p>
          <w:p>
            <w:pPr>
              <w:pageBreakBefore w:val="0"/>
              <w:kinsoku/>
              <w:wordWrap/>
              <w:overflowPunct/>
              <w:topLinePunct w:val="0"/>
              <w:autoSpaceDE/>
              <w:autoSpaceDN/>
              <w:bidi w:val="0"/>
              <w:outlineLvl w:val="9"/>
              <w:rPr>
                <w:rFonts w:ascii="宋体" w:hAnsi="Calibri"/>
                <w:b/>
                <w:color w:val="000000"/>
                <w:szCs w:val="28"/>
              </w:rPr>
            </w:pPr>
            <w:r>
              <w:rPr>
                <w:rFonts w:hint="eastAsia" w:ascii="宋体" w:hAnsi="宋体"/>
                <w:b/>
                <w:color w:val="000000"/>
                <w:szCs w:val="28"/>
              </w:rPr>
              <w:t>部门负责人审批意见：</w:t>
            </w:r>
          </w:p>
          <w:p>
            <w:pPr>
              <w:pageBreakBefore w:val="0"/>
              <w:kinsoku/>
              <w:wordWrap/>
              <w:overflowPunct/>
              <w:topLinePunct w:val="0"/>
              <w:autoSpaceDE/>
              <w:autoSpaceDN/>
              <w:bidi w:val="0"/>
              <w:jc w:val="right"/>
              <w:outlineLvl w:val="9"/>
              <w:rPr>
                <w:rFonts w:ascii="宋体" w:hAnsi="Calibri"/>
                <w:color w:val="000000"/>
                <w:szCs w:val="28"/>
              </w:rPr>
            </w:pPr>
            <w:r>
              <w:rPr>
                <w:rFonts w:ascii="仿宋" w:hAnsi="仿宋" w:eastAsia="仿宋"/>
                <w:sz w:val="32"/>
                <w:szCs w:val="32"/>
              </w:rPr>
              <w:t xml:space="preserve">  </w:t>
            </w:r>
            <w:r>
              <w:rPr>
                <w:rFonts w:hint="eastAsia" w:ascii="仿宋_GB2312" w:hAnsi="仿宋" w:eastAsia="仿宋_GB2312"/>
                <w:b/>
                <w:szCs w:val="28"/>
              </w:rPr>
              <w:t>年</w:t>
            </w:r>
            <w:r>
              <w:rPr>
                <w:rFonts w:ascii="仿宋_GB2312" w:hAnsi="仿宋" w:eastAsia="仿宋_GB2312"/>
                <w:b/>
                <w:szCs w:val="28"/>
              </w:rPr>
              <w:t xml:space="preserve">   </w:t>
            </w:r>
            <w:r>
              <w:rPr>
                <w:rFonts w:hint="eastAsia" w:ascii="仿宋_GB2312" w:hAnsi="仿宋" w:eastAsia="仿宋_GB2312"/>
                <w:b/>
                <w:szCs w:val="28"/>
              </w:rPr>
              <w:t>月</w:t>
            </w:r>
            <w:r>
              <w:rPr>
                <w:rFonts w:ascii="仿宋_GB2312" w:hAnsi="仿宋" w:eastAsia="仿宋_GB2312"/>
                <w:b/>
                <w:szCs w:val="28"/>
              </w:rPr>
              <w:t xml:space="preserve">   </w:t>
            </w:r>
            <w:r>
              <w:rPr>
                <w:rFonts w:hint="eastAsia" w:ascii="仿宋_GB2312" w:hAnsi="仿宋" w:eastAsia="仿宋_GB2312"/>
                <w:b/>
                <w:szCs w:val="28"/>
              </w:rPr>
              <w:t>日</w:t>
            </w:r>
          </w:p>
        </w:tc>
      </w:tr>
    </w:tbl>
    <w:p>
      <w:pPr>
        <w:pageBreakBefore w:val="0"/>
        <w:kinsoku/>
        <w:wordWrap/>
        <w:overflowPunct/>
        <w:topLinePunct w:val="0"/>
        <w:autoSpaceDE/>
        <w:autoSpaceDN/>
        <w:bidi w:val="0"/>
        <w:outlineLvl w:val="9"/>
        <w:rPr>
          <w:rFonts w:hint="eastAsia" w:ascii="宋体" w:hAnsi="Calibri"/>
          <w:color w:val="000000"/>
          <w:szCs w:val="28"/>
        </w:rPr>
      </w:pPr>
      <w:r>
        <w:rPr>
          <w:rFonts w:hint="eastAsia" w:ascii="宋体" w:hAnsi="Calibri"/>
          <w:color w:val="000000"/>
          <w:szCs w:val="28"/>
        </w:rPr>
        <w:t xml:space="preserve">备注：补助标准：1.3元/公里   </w:t>
      </w:r>
    </w:p>
    <w:p>
      <w:pPr>
        <w:pageBreakBefore w:val="0"/>
        <w:kinsoku/>
        <w:wordWrap/>
        <w:overflowPunct/>
        <w:topLinePunct w:val="0"/>
        <w:autoSpaceDE/>
        <w:autoSpaceDN/>
        <w:bidi w:val="0"/>
        <w:outlineLvl w:val="9"/>
        <w:rPr>
          <w:rFonts w:hint="eastAsia" w:ascii="宋体" w:hAnsi="Calibri"/>
          <w:color w:val="000000"/>
          <w:szCs w:val="28"/>
        </w:rPr>
      </w:pPr>
    </w:p>
    <w:p>
      <w:pPr>
        <w:pageBreakBefore w:val="0"/>
        <w:kinsoku/>
        <w:wordWrap/>
        <w:overflowPunct/>
        <w:topLinePunct w:val="0"/>
        <w:autoSpaceDE/>
        <w:autoSpaceDN/>
        <w:bidi w:val="0"/>
        <w:outlineLvl w:val="9"/>
        <w:rPr>
          <w:rFonts w:hint="eastAsia" w:ascii="宋体" w:hAnsi="Calibri"/>
          <w:color w:val="000000"/>
          <w:szCs w:val="28"/>
        </w:rPr>
      </w:pPr>
    </w:p>
    <w:p>
      <w:pPr>
        <w:pageBreakBefore w:val="0"/>
        <w:kinsoku/>
        <w:wordWrap/>
        <w:overflowPunct/>
        <w:topLinePunct w:val="0"/>
        <w:autoSpaceDE/>
        <w:autoSpaceDN/>
        <w:bidi w:val="0"/>
        <w:outlineLvl w:val="9"/>
        <w:rPr>
          <w:rFonts w:hint="eastAsia" w:ascii="宋体" w:hAnsi="Calibri"/>
          <w:color w:val="000000"/>
          <w:szCs w:val="28"/>
        </w:rPr>
      </w:pP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sectPr>
          <w:pgSz w:w="11906" w:h="16838"/>
          <w:pgMar w:top="2098" w:right="1474" w:bottom="1985" w:left="1588"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266" w:name="_Toc1473"/>
      <w:bookmarkStart w:id="267" w:name="_Toc23484"/>
      <w:bookmarkStart w:id="268" w:name="_Toc31192"/>
      <w:bookmarkStart w:id="269" w:name="_Toc28624"/>
      <w:r>
        <w:rPr>
          <w:rFonts w:hint="eastAsia"/>
          <w:b/>
          <w:color w:val="000000"/>
          <w:sz w:val="36"/>
          <w:szCs w:val="36"/>
        </w:rPr>
        <w:t>柳州职业技术学院领导干部回避规定（试行）</w:t>
      </w:r>
      <w:bookmarkEnd w:id="266"/>
      <w:bookmarkEnd w:id="267"/>
      <w:bookmarkEnd w:id="268"/>
      <w:bookmarkEnd w:id="269"/>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r>
        <w:rPr>
          <w:rFonts w:hint="eastAsia" w:ascii="仿宋_GB2312" w:eastAsia="仿宋_GB2312"/>
          <w:bCs/>
          <w:sz w:val="32"/>
          <w:szCs w:val="32"/>
        </w:rPr>
        <w:t>（柳职院党字〔2021〕33 号）</w:t>
      </w:r>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p>
    <w:p>
      <w:pPr>
        <w:pStyle w:val="20"/>
        <w:pageBreakBefore w:val="0"/>
        <w:kinsoku/>
        <w:wordWrap/>
        <w:overflowPunct/>
        <w:topLinePunct w:val="0"/>
        <w:autoSpaceDE/>
        <w:autoSpaceDN/>
        <w:bidi w:val="0"/>
        <w:spacing w:line="596" w:lineRule="exact"/>
        <w:ind w:firstLine="643" w:firstLineChars="200"/>
        <w:jc w:val="left"/>
        <w:outlineLvl w:val="9"/>
        <w:rPr>
          <w:rFonts w:ascii="仿宋_GB2312" w:hAnsi="宋体" w:eastAsia="仿宋_GB2312" w:cs="宋体"/>
          <w:sz w:val="32"/>
          <w:szCs w:val="32"/>
        </w:rPr>
      </w:pPr>
      <w:r>
        <w:rPr>
          <w:rFonts w:hint="eastAsia" w:ascii="仿宋_GB2312" w:hAnsi="宋体" w:eastAsia="仿宋_GB2312" w:cs="宋体"/>
          <w:b/>
          <w:sz w:val="32"/>
          <w:szCs w:val="32"/>
        </w:rPr>
        <w:t xml:space="preserve">第一条  </w:t>
      </w:r>
      <w:r>
        <w:rPr>
          <w:rFonts w:hint="eastAsia" w:ascii="仿宋_GB2312" w:hAnsi="宋体" w:eastAsia="仿宋_GB2312" w:cs="宋体"/>
          <w:sz w:val="32"/>
          <w:szCs w:val="32"/>
        </w:rPr>
        <w:t>为进一步推进我校党风廉政建设，加强对学校领导干部的监督</w:t>
      </w:r>
      <w:r>
        <w:rPr>
          <w:rFonts w:hint="eastAsia" w:ascii="仿宋_GB2312" w:hAnsi="Times New Roman" w:eastAsia="仿宋_GB2312"/>
          <w:sz w:val="32"/>
          <w:szCs w:val="32"/>
        </w:rPr>
        <w:t>管理</w:t>
      </w:r>
      <w:r>
        <w:rPr>
          <w:rFonts w:hint="eastAsia" w:ascii="仿宋_GB2312" w:hAnsi="宋体" w:eastAsia="仿宋_GB2312" w:cs="宋体"/>
          <w:sz w:val="32"/>
          <w:szCs w:val="32"/>
        </w:rPr>
        <w:t>，增强领导干部的政治意识、纪律意识和规矩意识，保证领导干部公正履责，根据《党政领导干部任职回避暂行规定》《事业单位领导人员管理暂行规定》和《事业单位人事管理回避规定》，结合学校实际情况，制定本规定。</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第二条</w:t>
      </w:r>
      <w:r>
        <w:rPr>
          <w:rFonts w:hint="eastAsia" w:ascii="宋体" w:hAnsi="宋体" w:eastAsia="仿宋_GB2312" w:cs="宋体"/>
          <w:sz w:val="32"/>
          <w:szCs w:val="32"/>
        </w:rPr>
        <w:t> </w:t>
      </w:r>
      <w:r>
        <w:rPr>
          <w:rFonts w:hint="eastAsia" w:ascii="仿宋_GB2312" w:hAnsi="宋体" w:eastAsia="仿宋_GB2312" w:cs="宋体"/>
          <w:sz w:val="32"/>
          <w:szCs w:val="32"/>
        </w:rPr>
        <w:t>坚持以习近平新时代中国特色社会主义思想为指导，认真贯彻落实全面从严治党要求，坚持党管干部、党管人才原则，以公正廉洁、高效履职为准则，加强学校领导干部回避工作，加强对任职岗位和履职情况的监督约束，全面促进学校事业健康发展。</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第三条</w:t>
      </w:r>
      <w:r>
        <w:rPr>
          <w:rFonts w:hint="eastAsia" w:ascii="仿宋_GB2312" w:hAnsi="宋体" w:eastAsia="仿宋_GB2312" w:cs="宋体"/>
          <w:sz w:val="32"/>
          <w:szCs w:val="32"/>
        </w:rPr>
        <w:t xml:space="preserve">  本规定适用于全校中层及以上领导干部。</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第四条</w:t>
      </w:r>
      <w:r>
        <w:rPr>
          <w:rFonts w:hint="eastAsia" w:ascii="宋体" w:hAnsi="宋体" w:eastAsia="仿宋_GB2312" w:cs="宋体"/>
          <w:sz w:val="32"/>
          <w:szCs w:val="32"/>
        </w:rPr>
        <w:t> </w:t>
      </w:r>
      <w:r>
        <w:rPr>
          <w:rFonts w:hint="eastAsia" w:ascii="仿宋_GB2312" w:hAnsi="宋体" w:eastAsia="仿宋_GB2312" w:cs="宋体"/>
          <w:sz w:val="32"/>
          <w:szCs w:val="32"/>
        </w:rPr>
        <w:t>本规定回避的关系为：</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1.夫妻关系；</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2.直系血亲关系，包括祖父母、外祖父母、父母、子女、孙子女、外孙子女；</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3.三代以内旁系血亲关系，包括叔伯姑舅姨、兄弟姐妹、堂兄弟姐妹、表兄弟姐妹、侄子女、甥子女；</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4.近姻亲关系，包括配偶的父母、配偶的兄弟姐妹及其配偶、子女的配偶及子女配偶的父母；</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5.其他亲属关系，包括养父母子女、形成抚养关系的继父母子女及由此形成的直系血亲关系。</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第五条</w:t>
      </w:r>
      <w:r>
        <w:rPr>
          <w:rFonts w:hint="eastAsia" w:ascii="宋体" w:hAnsi="宋体" w:eastAsia="仿宋_GB2312" w:cs="宋体"/>
          <w:sz w:val="32"/>
          <w:szCs w:val="32"/>
        </w:rPr>
        <w:t> </w:t>
      </w:r>
      <w:r>
        <w:rPr>
          <w:rFonts w:hint="eastAsia" w:ascii="仿宋_GB2312" w:hAnsi="宋体" w:eastAsia="仿宋_GB2312" w:cs="宋体"/>
          <w:sz w:val="32"/>
          <w:szCs w:val="32"/>
        </w:rPr>
        <w:t>在以下方面有涉及领导干部本人或近亲属关系的，应主动回避。</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1.干部职务回避</w:t>
      </w:r>
      <w:r>
        <w:rPr>
          <w:rFonts w:hint="eastAsia" w:ascii="宋体" w:hAnsi="宋体" w:eastAsia="仿宋_GB2312" w:cs="宋体"/>
          <w:sz w:val="32"/>
          <w:szCs w:val="32"/>
        </w:rPr>
        <w:t>  </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凡具有上述亲属关系的领导干部应实行下列职务回避。</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（1）不能在同一领导班子中任职，不能在同一部门工作；</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（2）不能担任双方有直接上下级关系的职务；</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（3）与学校主要领导有回避关系的，不能从事组织、人事、纪检监察、审计、办公室的工作，不能担任财务部门的负责人以及现金会计工作；</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（4）其它需要回避的情形。</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2.履职回避</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（1）干部选拔任用；</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（2）人员招聘与人才引进；</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（3）职称评聘；</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（4）招生考试、项目评审、成果评选、奖助学金评定、评奖评优、处分处理以及申诉工作；</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（5）基建工程、修缮工程、重要设备、大宗物资、教材图书及仪器设备采购等方面的招投标；</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（6）学校重大资产的管理和处置、重大基建项目的管理和运营；</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（7）监督执纪过程中的线索处置、谈话函询、初步核实、立案审查、案件审理、处置执行；</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（8）在领导干部管辖的业务范围内，配偶、子女从事的需要回避的活动；</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（9）其他需要回避的情形。</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第六条</w:t>
      </w:r>
      <w:r>
        <w:rPr>
          <w:rFonts w:hint="eastAsia" w:ascii="宋体" w:hAnsi="宋体" w:eastAsia="仿宋_GB2312" w:cs="宋体"/>
          <w:sz w:val="32"/>
          <w:szCs w:val="32"/>
        </w:rPr>
        <w:t> </w:t>
      </w:r>
      <w:r>
        <w:rPr>
          <w:rFonts w:hint="eastAsia" w:ascii="仿宋_GB2312" w:hAnsi="宋体" w:eastAsia="仿宋_GB2312" w:cs="宋体"/>
          <w:sz w:val="32"/>
          <w:szCs w:val="32"/>
        </w:rPr>
        <w:t>实行回避规定的程序：</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1.本人向党委组织部、人事处或工作组织部门提出回避申请，或者有关部门、人员提出回避要求。</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2.党委组织部、人事处或工作组织部门作出回避决定。其中，成立职称评审工作组织、岗位聘用工作组织、考核工作组织、教学工作委员会、学术委员会等专项工作组织的，工作组织负责人的回避由学校党委研究决定，工作组织其他工作人员的回避可授权工作组织负责人决定。作出回避决定前，应当听取需要回避人员及相关人员的意见。</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3.根据回避决定需要回避的，自回避决定之日起退出相关工作。回避决定应当及时作出。回避决定作出前，涉及人员可视情况先行退出相关履职活动。</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第七条</w:t>
      </w:r>
      <w:r>
        <w:rPr>
          <w:rFonts w:hint="eastAsia" w:ascii="宋体" w:hAnsi="宋体" w:eastAsia="仿宋_GB2312" w:cs="宋体"/>
          <w:sz w:val="32"/>
          <w:szCs w:val="32"/>
        </w:rPr>
        <w:t> </w:t>
      </w:r>
      <w:r>
        <w:rPr>
          <w:rFonts w:hint="eastAsia" w:ascii="仿宋_GB2312" w:hAnsi="宋体" w:eastAsia="仿宋_GB2312" w:cs="宋体"/>
          <w:sz w:val="32"/>
          <w:szCs w:val="32"/>
        </w:rPr>
        <w:t>个人、部门可向党委组织部、人事处或者纪委办公室（监察室）反映领导干部需要回避的情况，接到反映的部门应当及时作出回避决定或提出回避建议。</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第八条</w:t>
      </w:r>
      <w:r>
        <w:rPr>
          <w:rFonts w:hint="eastAsia" w:ascii="宋体" w:hAnsi="宋体" w:eastAsia="仿宋_GB2312" w:cs="宋体"/>
          <w:sz w:val="32"/>
          <w:szCs w:val="32"/>
        </w:rPr>
        <w:t> </w:t>
      </w:r>
      <w:r>
        <w:rPr>
          <w:rFonts w:hint="eastAsia" w:ascii="仿宋_GB2312" w:hAnsi="宋体" w:eastAsia="仿宋_GB2312" w:cs="宋体"/>
          <w:sz w:val="32"/>
          <w:szCs w:val="32"/>
        </w:rPr>
        <w:t>领导干部有需要回避的情况不及时报告或者有意隐瞒的，应当予以批评，情节严重的进行党纪政纪处分。</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sz w:val="32"/>
          <w:szCs w:val="32"/>
        </w:rPr>
      </w:pPr>
      <w:r>
        <w:rPr>
          <w:rFonts w:hint="eastAsia" w:ascii="仿宋_GB2312" w:hAnsi="宋体" w:eastAsia="仿宋_GB2312" w:cs="宋体"/>
          <w:b/>
          <w:sz w:val="32"/>
          <w:szCs w:val="32"/>
        </w:rPr>
        <w:t>第九条</w:t>
      </w:r>
      <w:r>
        <w:rPr>
          <w:rFonts w:hint="eastAsia" w:ascii="宋体" w:hAnsi="宋体" w:eastAsia="仿宋_GB2312" w:cs="宋体"/>
          <w:sz w:val="32"/>
          <w:szCs w:val="32"/>
        </w:rPr>
        <w:t> </w:t>
      </w:r>
      <w:r>
        <w:rPr>
          <w:rFonts w:hint="eastAsia" w:ascii="仿宋_GB2312" w:hAnsi="宋体" w:eastAsia="仿宋_GB2312" w:cs="宋体"/>
          <w:sz w:val="32"/>
          <w:szCs w:val="32"/>
        </w:rPr>
        <w:t>领导干部必须服从回避决定。无正当理由拒不服从的，严格按照相关规定予以党纪政纪处分。</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Cs w:val="28"/>
        </w:rPr>
      </w:pPr>
      <w:r>
        <w:rPr>
          <w:rFonts w:hint="eastAsia" w:ascii="仿宋_GB2312" w:hAnsi="宋体" w:eastAsia="仿宋_GB2312" w:cs="宋体"/>
          <w:b/>
          <w:sz w:val="32"/>
          <w:szCs w:val="32"/>
        </w:rPr>
        <w:t>第十条</w:t>
      </w:r>
      <w:r>
        <w:rPr>
          <w:rFonts w:hint="eastAsia" w:ascii="宋体" w:hAnsi="宋体" w:eastAsia="仿宋_GB2312" w:cs="宋体"/>
          <w:sz w:val="32"/>
          <w:szCs w:val="32"/>
        </w:rPr>
        <w:t> </w:t>
      </w:r>
      <w:r>
        <w:rPr>
          <w:rFonts w:hint="eastAsia" w:ascii="仿宋_GB2312" w:hAnsi="宋体" w:eastAsia="仿宋_GB2312" w:cs="宋体"/>
          <w:sz w:val="32"/>
          <w:szCs w:val="32"/>
        </w:rPr>
        <w:t>本规定自公布之日起施行。由党委组织部、人事处负责具体落实。</w:t>
      </w:r>
    </w:p>
    <w:p>
      <w:pPr>
        <w:pageBreakBefore w:val="0"/>
        <w:widowControl/>
        <w:kinsoku/>
        <w:wordWrap/>
        <w:overflowPunct/>
        <w:topLinePunct w:val="0"/>
        <w:autoSpaceDE/>
        <w:autoSpaceDN/>
        <w:bidi w:val="0"/>
        <w:jc w:val="left"/>
        <w:outlineLvl w:val="9"/>
        <w:rPr>
          <w:rFonts w:ascii="仿宋_GB2312" w:eastAsia="仿宋_GB2312"/>
          <w:bCs/>
          <w:sz w:val="32"/>
          <w:szCs w:val="32"/>
        </w:rPr>
      </w:pPr>
    </w:p>
    <w:p>
      <w:pPr>
        <w:pStyle w:val="3"/>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270" w:name="_Toc16465"/>
      <w:bookmarkStart w:id="271" w:name="_Toc12622"/>
      <w:bookmarkStart w:id="272" w:name="_Toc24586"/>
      <w:bookmarkStart w:id="273" w:name="_Toc22708"/>
      <w:r>
        <w:rPr>
          <w:rFonts w:hint="eastAsia"/>
          <w:b/>
          <w:color w:val="000000"/>
          <w:sz w:val="36"/>
          <w:szCs w:val="36"/>
        </w:rPr>
        <w:t>柳州职业技术学院论坛、讲坛、讲座、年会、报告会</w:t>
      </w:r>
      <w:r>
        <w:rPr>
          <w:rFonts w:hint="eastAsia"/>
          <w:b/>
          <w:color w:val="000000"/>
          <w:sz w:val="36"/>
          <w:szCs w:val="36"/>
          <w:lang w:eastAsia="zh-CN"/>
        </w:rPr>
        <w:t>、</w:t>
      </w:r>
      <w:r>
        <w:rPr>
          <w:rFonts w:hint="eastAsia"/>
          <w:b/>
          <w:color w:val="000000"/>
          <w:sz w:val="36"/>
          <w:szCs w:val="36"/>
        </w:rPr>
        <w:t>研讨会等阵地管理办法（2021年修订稿）</w:t>
      </w:r>
      <w:bookmarkEnd w:id="270"/>
      <w:bookmarkEnd w:id="271"/>
      <w:bookmarkEnd w:id="272"/>
      <w:bookmarkEnd w:id="273"/>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r>
        <w:rPr>
          <w:rFonts w:hint="eastAsia" w:ascii="仿宋_GB2312" w:eastAsia="仿宋_GB2312"/>
          <w:bCs/>
          <w:sz w:val="32"/>
          <w:szCs w:val="32"/>
        </w:rPr>
        <w:t>（柳职院党字〔2021〕34 号）</w:t>
      </w:r>
    </w:p>
    <w:p>
      <w:pPr>
        <w:pageBreakBefore w:val="0"/>
        <w:kinsoku/>
        <w:wordWrap/>
        <w:overflowPunct/>
        <w:topLinePunct w:val="0"/>
        <w:autoSpaceDE/>
        <w:autoSpaceDN/>
        <w:bidi w:val="0"/>
        <w:spacing w:line="596" w:lineRule="exact"/>
        <w:jc w:val="center"/>
        <w:outlineLvl w:val="9"/>
        <w:rPr>
          <w:rFonts w:hint="eastAsia" w:ascii="黑体" w:hAnsi="黑体" w:eastAsia="黑体"/>
          <w:sz w:val="30"/>
          <w:szCs w:val="30"/>
        </w:rPr>
      </w:pP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第一章  总则</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第一条  </w:t>
      </w:r>
      <w:r>
        <w:rPr>
          <w:rFonts w:hint="eastAsia" w:ascii="仿宋_GB2312" w:hAnsi="黑体" w:eastAsia="仿宋_GB2312"/>
          <w:sz w:val="30"/>
          <w:szCs w:val="30"/>
        </w:rPr>
        <w:t>为深入学习贯彻习近平新时代中国特色社会主义思想，落实党委（党组）意识形态工作责任制，进一步加强对论坛、讲坛、年会、报告会、研讨会等阵地的管理，根据《自治区党委宣传部印发&lt;关于进一步加强对论坛、讲坛、讲座、年会、报告会、研讨会等阵地管理的实施办法&gt;的通知》（桂宣发〔2019〕7号）精神，结合我校实际，制定本管理办法。</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第二条</w:t>
      </w:r>
      <w:r>
        <w:rPr>
          <w:rFonts w:hint="eastAsia" w:ascii="仿宋_GB2312" w:hAnsi="黑体" w:eastAsia="仿宋_GB2312"/>
          <w:sz w:val="30"/>
          <w:szCs w:val="30"/>
        </w:rPr>
        <w:t xml:space="preserve">  本管理办法所指是以加强理论学习研究和宣传阐释、形势政策教育、学术研讨、教学交流、教学研究、教学管理等为目的的论坛、讲坛、讲座、年会、报告会、研讨会等。</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第三条  </w:t>
      </w:r>
      <w:r>
        <w:rPr>
          <w:rFonts w:hint="eastAsia" w:ascii="仿宋_GB2312" w:hAnsi="黑体" w:eastAsia="仿宋_GB2312"/>
          <w:sz w:val="30"/>
          <w:szCs w:val="30"/>
        </w:rPr>
        <w:t>本管理办法适用于我校各部门、二级学院等举办或支持的各类论坛、讲坛、讲座、年会、报告会、研讨会等活动。</w:t>
      </w: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第二章  基本原则</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第四条 </w:t>
      </w:r>
      <w:r>
        <w:rPr>
          <w:rFonts w:hint="eastAsia" w:ascii="仿宋_GB2312" w:hAnsi="黑体" w:eastAsia="仿宋_GB2312"/>
          <w:sz w:val="30"/>
          <w:szCs w:val="30"/>
        </w:rPr>
        <w:t xml:space="preserve"> 举办论坛、讲坛、讲座、年会、报告会、研讨会等活动，要遵循以下基本原则：</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一）必须坚持以习近平新时代中国特色社会主义思想为指导，深入贯彻落实习近平总书记关于教育的重要论述以及习近平总书记对广西工作的重要指示批示和重要题词精神，凝聚建设中国特色高水平高职院校的磅礴力量，为建设壮美广西、共圆复兴梦想提供有力支撑。</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（二）必须坚持党的基本理论、基本路线、基本方略，遵守党的纪律和国家法律法规，践行社会主义核心价值观。</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（三）必须坚持社会主义办学方向，坚持和加强党对教育工作的全面领导，落实立德树人根本任务，弘扬主旋律，传播时代正能量。</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（四）必须坚持守正创新，强化质量意识，精心策划设计，抵制粗制滥造，打造高品质、高品位、高规格的品牌，让活动更加有思想、有品质、有温度。</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（五）必须坚持贯彻落实谁主管谁负责、谁主办谁负责和属地管理原则。</w:t>
      </w: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第三章  管理内容</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第五条  </w:t>
      </w:r>
      <w:r>
        <w:rPr>
          <w:rFonts w:hint="eastAsia" w:ascii="仿宋_GB2312" w:hAnsi="黑体" w:eastAsia="仿宋_GB2312"/>
          <w:sz w:val="30"/>
          <w:szCs w:val="30"/>
        </w:rPr>
        <w:t>加强对入口关的管理。各部门、二级学院举办论坛、讲坛、讲座、年会、报告会、研讨会等活动，必须严格履行审批手续，内容包括活动时间、地点、名称、内容、规模、举办单位、报告人基本情况等。</w:t>
      </w:r>
    </w:p>
    <w:p>
      <w:pPr>
        <w:pageBreakBefore w:val="0"/>
        <w:kinsoku/>
        <w:wordWrap/>
        <w:overflowPunct/>
        <w:topLinePunct w:val="0"/>
        <w:autoSpaceDE/>
        <w:autoSpaceDN/>
        <w:bidi w:val="0"/>
        <w:spacing w:line="596" w:lineRule="exact"/>
        <w:ind w:firstLine="600" w:firstLineChars="200"/>
        <w:outlineLvl w:val="9"/>
        <w:rPr>
          <w:rFonts w:hint="eastAsia" w:ascii="仿宋_GB2312" w:hAnsi="黑体" w:eastAsia="仿宋_GB2312"/>
          <w:sz w:val="30"/>
          <w:szCs w:val="30"/>
        </w:rPr>
      </w:pPr>
      <w:r>
        <w:rPr>
          <w:rFonts w:hint="eastAsia" w:ascii="仿宋_GB2312" w:hAnsi="黑体" w:eastAsia="仿宋_GB2312"/>
          <w:sz w:val="30"/>
          <w:szCs w:val="30"/>
        </w:rPr>
        <w:t>（一）各部门、二级学院举办或者承办上述活动，须经部门、二级学院正职领导同意并报党委宣传部备案；学生组织举办或承办上述活动，须报所在二级学院党总支或校团委同意并报分管学生工作的校领导审批后，再送党委宣传部备案。</w:t>
      </w:r>
    </w:p>
    <w:p>
      <w:pPr>
        <w:pageBreakBefore w:val="0"/>
        <w:kinsoku/>
        <w:wordWrap/>
        <w:overflowPunct/>
        <w:topLinePunct w:val="0"/>
        <w:autoSpaceDE/>
        <w:autoSpaceDN/>
        <w:bidi w:val="0"/>
        <w:spacing w:line="596" w:lineRule="exact"/>
        <w:ind w:firstLine="600" w:firstLineChars="200"/>
        <w:outlineLvl w:val="9"/>
        <w:rPr>
          <w:rFonts w:hint="eastAsia" w:ascii="仿宋_GB2312" w:hAnsi="黑体" w:eastAsia="仿宋_GB2312"/>
          <w:sz w:val="30"/>
          <w:szCs w:val="30"/>
        </w:rPr>
      </w:pPr>
      <w:r>
        <w:rPr>
          <w:rFonts w:hint="eastAsia" w:ascii="仿宋_GB2312" w:hAnsi="黑体" w:eastAsia="仿宋_GB2312"/>
          <w:sz w:val="30"/>
          <w:szCs w:val="30"/>
        </w:rPr>
        <w:t>（二）如上述活动涉及重大主题、敏感事件和重点人物，须报柳州市教育局审批。多个部门（包括党政部门、二级学院、学生组织）联合举办的活动，由排序第一的单位履行报批手续。</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（三）严禁举办或参与举办营利性的论坛、讲坛、讲座、年会、报告会、研讨会等活动，或为这些活动提供便利条件。</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四）有境外人员参加上述活动的，要严格按照《中共中央办公厅、国务院办公厅印发&lt;关于在华举办国际会议的管理办法&gt;的通知》（中办发〔2006〕10号）、《自治区党委办公厅、自治区人民政府办公室&lt;关于在我区举办国际会议管理工作的实施细则&gt;的通知》（桂办发〔2007〕23号）的有关规定，报相关部门审核批准后，并报柳州国家安全局备案。</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五）在互联网上举办上述活动的，要根据《互联网信息服务管理办法》《互联网新闻信息服务管理规定》和《关于加强网络安全和信息化工作的实施意见》（桂发〔2018〕2号）、《广西贯彻落实&lt;网络强国战略实施纲要&gt;实施方案》（桂办发〔2018〕24号）等相关规定，报柳州市网信办审核批准。</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六）主办、承办部门、二级学院应对拟邀请报告人的有关情况、报告内容进行深入了解，发现报告人有思想政治倾向问题，报告内容有错误思想观点或有其他不适合作报告等情况，应及时更换或停止举办，并将有关情况报告学校党委宣传部，由学校报告柳州市教育局并同时报送自治区党委教育工委。</w:t>
      </w:r>
    </w:p>
    <w:p>
      <w:pPr>
        <w:pageBreakBefore w:val="0"/>
        <w:kinsoku/>
        <w:wordWrap/>
        <w:overflowPunct/>
        <w:topLinePunct w:val="0"/>
        <w:autoSpaceDE/>
        <w:autoSpaceDN/>
        <w:bidi w:val="0"/>
        <w:spacing w:line="596" w:lineRule="exact"/>
        <w:ind w:firstLine="600" w:firstLineChars="200"/>
        <w:outlineLvl w:val="9"/>
        <w:rPr>
          <w:rFonts w:hint="eastAsia" w:ascii="仿宋_GB2312" w:hAnsi="黑体" w:eastAsia="仿宋_GB2312"/>
          <w:sz w:val="30"/>
          <w:szCs w:val="30"/>
        </w:rPr>
      </w:pPr>
      <w:r>
        <w:rPr>
          <w:rFonts w:hint="eastAsia" w:ascii="仿宋_GB2312" w:hAnsi="黑体" w:eastAsia="仿宋_GB2312"/>
          <w:sz w:val="30"/>
          <w:szCs w:val="30"/>
        </w:rPr>
        <w:t>（七）邀请高校、党校（行政学院）、社会科学院的专家学者和党政机关、企事业单位、人民团体的工作人员担任上述活动的报告人，须经本人所在单位批准。未经所在单位批准的，主办部门、二级学院不得邀请担任报告人。</w:t>
      </w:r>
    </w:p>
    <w:p>
      <w:pPr>
        <w:pageBreakBefore w:val="0"/>
        <w:kinsoku/>
        <w:wordWrap/>
        <w:overflowPunct/>
        <w:topLinePunct w:val="0"/>
        <w:autoSpaceDE/>
        <w:autoSpaceDN/>
        <w:bidi w:val="0"/>
        <w:spacing w:line="596" w:lineRule="exact"/>
        <w:ind w:firstLine="600" w:firstLineChars="200"/>
        <w:outlineLvl w:val="9"/>
        <w:rPr>
          <w:rFonts w:hint="eastAsia" w:ascii="仿宋_GB2312" w:hAnsi="黑体" w:eastAsia="仿宋_GB2312"/>
          <w:color w:val="000000"/>
          <w:sz w:val="30"/>
          <w:szCs w:val="30"/>
        </w:rPr>
      </w:pPr>
      <w:r>
        <w:rPr>
          <w:rFonts w:hint="eastAsia" w:ascii="黑体" w:hAnsi="黑体" w:eastAsia="黑体"/>
          <w:sz w:val="30"/>
          <w:szCs w:val="30"/>
        </w:rPr>
        <w:t>第六条</w:t>
      </w:r>
      <w:r>
        <w:rPr>
          <w:rFonts w:hint="eastAsia" w:ascii="仿宋_GB2312" w:hAnsi="黑体" w:eastAsia="仿宋_GB2312"/>
          <w:color w:val="000000"/>
          <w:sz w:val="30"/>
          <w:szCs w:val="30"/>
        </w:rPr>
        <w:t xml:space="preserve">  加强对出口关的管理，各部门、二级学院及教师个人到校外举办论坛、讲坛、讲座、年会、报告会、研讨会等活动，必须严格履行审批手续，内容包括活动时间、地点、名称、内容、规模、举办单位、申请人基本情况等。各部门、二级学院及教师个人到校外举办或者承办上述活动，须经部门、二级学院正职领导同意并报党委宣传部备案。</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第七条</w:t>
      </w:r>
      <w:r>
        <w:rPr>
          <w:rFonts w:hint="eastAsia" w:ascii="仿宋_GB2312" w:hAnsi="黑体" w:eastAsia="仿宋_GB2312"/>
          <w:sz w:val="30"/>
          <w:szCs w:val="30"/>
        </w:rPr>
        <w:t xml:space="preserve">  加强对活动过程的管理。在举办论坛、讲坛、讲座、年会、报告会、研讨会等活动中，主办、承办部门、二级学院要加强对活动过程的组织、管理和把控，确保活动全程不出现政治导向问题。</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（一）坚持内外有别，对不适合公开的内容，要及时提醒参会媒体和与会者不得报道和传播。</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（二）在活动中发现报告人发表不当言论、传播错误思想观点，必须当场予以制止，立即消除负面影响，并及时将有关情况通报校党委宣传部。</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第八条</w:t>
      </w:r>
      <w:r>
        <w:rPr>
          <w:rFonts w:hint="eastAsia" w:ascii="仿宋_GB2312" w:hAnsi="黑体" w:eastAsia="仿宋_GB2312"/>
          <w:sz w:val="30"/>
          <w:szCs w:val="30"/>
        </w:rPr>
        <w:t xml:space="preserve">  加强对宣传的管理。举办上述活动，主办、承办部门、二级学院正职领导要对媒体稿件进行审核把关，确需校外媒体公开宣传报道的，须提前报校党委宣传部同意。</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（一）坚持正确的舆论导向，严格遵守宣传纪律，稳妥把握可能涉及的热点敏感话题。</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（二）主办、承办部门、二级学院不得邀请或允许不具备新闻采访资质的媒体或个人进行采访报道和网络直播。</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（三）需要进行网上图文或视频直播，按属地管理原则，必须征求柳州市网信办的意见。</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第九条</w:t>
      </w:r>
      <w:r>
        <w:rPr>
          <w:rFonts w:hint="eastAsia" w:ascii="仿宋_GB2312" w:hAnsi="黑体" w:eastAsia="仿宋_GB2312"/>
          <w:sz w:val="30"/>
          <w:szCs w:val="30"/>
        </w:rPr>
        <w:t xml:space="preserve">  加强问题处置。对论坛、讲坛、讲座、年会、报告会、研讨会等活动中出现思想倾向和意识形态的问题，要积极主动予以处置，阻断错误言论传播，避免负面舆情持续发酵。主办、承办部门、二级学院要及时向校党委上报有关情况,同时配合校党委宣传部、信息技术服务中心积极采取有效措施，妥善做好应对和补救工作，最大程度减少不良影响，并及时将有关情况通报柳州市教育局。</w:t>
      </w: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第四章  检查考核</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第十条 </w:t>
      </w:r>
      <w:r>
        <w:rPr>
          <w:rFonts w:hint="eastAsia" w:ascii="仿宋_GB2312" w:hAnsi="黑体" w:eastAsia="仿宋_GB2312"/>
          <w:sz w:val="30"/>
          <w:szCs w:val="30"/>
        </w:rPr>
        <w:t xml:space="preserve"> 各部门、二级学院要认真落实意识形态工作责任制，每半年向校党委汇报意识形态工作时，应将对论坛、讲坛、讲座、年会、报告会、研讨会等阵地管理的情况作为汇报的重要内容。</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第十一条</w:t>
      </w:r>
      <w:r>
        <w:rPr>
          <w:rFonts w:hint="eastAsia" w:ascii="仿宋_GB2312" w:hAnsi="黑体" w:eastAsia="仿宋_GB2312"/>
          <w:sz w:val="30"/>
          <w:szCs w:val="30"/>
        </w:rPr>
        <w:t xml:space="preserve">  各部门、二级学院应将对论坛、讲坛、讲座、年会、报告会、研讨会等阵地管理的情况，纳入意识形态工作自查范围，自查结果向校党委报告。</w:t>
      </w: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第五章  责任追究</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第十二条  </w:t>
      </w:r>
      <w:r>
        <w:rPr>
          <w:rFonts w:hint="eastAsia" w:ascii="仿宋_GB2312" w:hAnsi="黑体" w:eastAsia="仿宋_GB2312"/>
          <w:sz w:val="30"/>
          <w:szCs w:val="30"/>
        </w:rPr>
        <w:t>举办论坛、讲坛、讲座、年会、报告会、研讨会等活动出现问题，按照属地管理、分级管理、谁主管谁负责的原则，加强对上述活动的严格把关和规范管理，对违反上述规定造成不良社会影响的，要严肃追究问责。</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第十三条  </w:t>
      </w:r>
      <w:r>
        <w:rPr>
          <w:rFonts w:hint="eastAsia" w:ascii="仿宋_GB2312" w:hAnsi="黑体" w:eastAsia="仿宋_GB2312"/>
          <w:sz w:val="30"/>
          <w:szCs w:val="30"/>
        </w:rPr>
        <w:t>对领导班子、领导干部进行问责，应当按照干部管理权限，由上一级党组织依据有关规定实施。</w:t>
      </w:r>
    </w:p>
    <w:p>
      <w:pPr>
        <w:pageBreakBefore w:val="0"/>
        <w:kinsoku/>
        <w:wordWrap/>
        <w:overflowPunct/>
        <w:topLinePunct w:val="0"/>
        <w:autoSpaceDE/>
        <w:autoSpaceDN/>
        <w:bidi w:val="0"/>
        <w:spacing w:line="596" w:lineRule="exact"/>
        <w:ind w:firstLine="600" w:firstLineChars="200"/>
        <w:outlineLvl w:val="9"/>
        <w:rPr>
          <w:rFonts w:ascii="黑体" w:hAnsi="黑体" w:eastAsia="黑体"/>
          <w:sz w:val="30"/>
          <w:szCs w:val="30"/>
        </w:rPr>
      </w:pPr>
      <w:r>
        <w:rPr>
          <w:rFonts w:hint="eastAsia" w:ascii="黑体" w:hAnsi="黑体" w:eastAsia="黑体"/>
          <w:sz w:val="30"/>
          <w:szCs w:val="30"/>
        </w:rPr>
        <w:t xml:space="preserve">第十四条 </w:t>
      </w:r>
      <w:r>
        <w:rPr>
          <w:rFonts w:hint="eastAsia" w:ascii="仿宋_GB2312" w:hAnsi="黑体" w:eastAsia="仿宋_GB2312"/>
          <w:sz w:val="30"/>
          <w:szCs w:val="30"/>
        </w:rPr>
        <w:t xml:space="preserve"> 举办论坛、讲坛、讲座、年会、报告会、研讨会等活动出现问题并造成不良社会影响的。必须严肃追责问责。</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（一）对把关不严、履职不力的主办、承办部门、二级学院，党委宣传部要责令其限期整改，督促所在单位对主要负责人和相关责任人严肃处理。</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仿宋_GB2312" w:hAnsi="黑体" w:eastAsia="仿宋_GB2312"/>
          <w:sz w:val="30"/>
          <w:szCs w:val="30"/>
        </w:rPr>
        <w:t>（二）对发表不当言论的报告人，各部门、二级学院要及时报党委宣传部，并向报告人所在单位反映，由报告人所在单位按照有关规定进行严肃处理。</w:t>
      </w:r>
    </w:p>
    <w:p>
      <w:pPr>
        <w:pageBreakBefore w:val="0"/>
        <w:kinsoku/>
        <w:wordWrap/>
        <w:overflowPunct/>
        <w:topLinePunct w:val="0"/>
        <w:autoSpaceDE/>
        <w:autoSpaceDN/>
        <w:bidi w:val="0"/>
        <w:spacing w:line="596" w:lineRule="exact"/>
        <w:jc w:val="center"/>
        <w:outlineLvl w:val="9"/>
        <w:rPr>
          <w:rFonts w:ascii="黑体" w:hAnsi="黑体" w:eastAsia="黑体"/>
          <w:sz w:val="30"/>
          <w:szCs w:val="30"/>
        </w:rPr>
      </w:pPr>
      <w:r>
        <w:rPr>
          <w:rFonts w:hint="eastAsia" w:ascii="黑体" w:hAnsi="黑体" w:eastAsia="黑体"/>
          <w:sz w:val="30"/>
          <w:szCs w:val="30"/>
        </w:rPr>
        <w:t>第六章  附 则</w:t>
      </w:r>
    </w:p>
    <w:p>
      <w:pPr>
        <w:pageBreakBefore w:val="0"/>
        <w:kinsoku/>
        <w:wordWrap/>
        <w:overflowPunct/>
        <w:topLinePunct w:val="0"/>
        <w:autoSpaceDE/>
        <w:autoSpaceDN/>
        <w:bidi w:val="0"/>
        <w:spacing w:line="596" w:lineRule="exact"/>
        <w:ind w:firstLine="600" w:firstLineChars="200"/>
        <w:outlineLvl w:val="9"/>
        <w:rPr>
          <w:rFonts w:ascii="仿宋_GB2312" w:hAnsi="黑体" w:eastAsia="仿宋_GB2312"/>
          <w:sz w:val="30"/>
          <w:szCs w:val="30"/>
        </w:rPr>
      </w:pPr>
      <w:r>
        <w:rPr>
          <w:rFonts w:hint="eastAsia" w:ascii="黑体" w:hAnsi="黑体" w:eastAsia="黑体"/>
          <w:sz w:val="30"/>
          <w:szCs w:val="30"/>
        </w:rPr>
        <w:t xml:space="preserve">第十五条 </w:t>
      </w:r>
      <w:r>
        <w:rPr>
          <w:rFonts w:hint="eastAsia" w:ascii="仿宋_GB2312" w:hAnsi="黑体" w:eastAsia="仿宋_GB2312"/>
          <w:sz w:val="30"/>
          <w:szCs w:val="30"/>
        </w:rPr>
        <w:t xml:space="preserve"> 本管理办法自印发之日起施行，原《柳州职业技术学院形势报告会和哲学社会科学报告会、研讨会、讲座管理办法》同时废止。</w:t>
      </w:r>
    </w:p>
    <w:p>
      <w:pPr>
        <w:pageBreakBefore w:val="0"/>
        <w:kinsoku/>
        <w:wordWrap/>
        <w:overflowPunct/>
        <w:topLinePunct w:val="0"/>
        <w:autoSpaceDE/>
        <w:autoSpaceDN/>
        <w:bidi w:val="0"/>
        <w:spacing w:line="596" w:lineRule="exact"/>
        <w:ind w:firstLine="600" w:firstLineChars="200"/>
        <w:outlineLvl w:val="9"/>
        <w:rPr>
          <w:rFonts w:hint="eastAsia" w:ascii="仿宋_GB2312" w:hAnsi="黑体" w:eastAsia="仿宋_GB2312"/>
          <w:sz w:val="30"/>
          <w:szCs w:val="30"/>
        </w:rPr>
      </w:pPr>
      <w:r>
        <w:rPr>
          <w:rFonts w:hint="eastAsia" w:ascii="黑体" w:hAnsi="黑体" w:eastAsia="黑体"/>
          <w:sz w:val="30"/>
          <w:szCs w:val="30"/>
        </w:rPr>
        <w:t xml:space="preserve">第十六条  </w:t>
      </w:r>
      <w:r>
        <w:rPr>
          <w:rFonts w:hint="eastAsia" w:ascii="仿宋_GB2312" w:hAnsi="黑体" w:eastAsia="仿宋_GB2312"/>
          <w:sz w:val="30"/>
          <w:szCs w:val="30"/>
        </w:rPr>
        <w:t>本管理办法由党委宣传部负责解释。</w:t>
      </w:r>
    </w:p>
    <w:p>
      <w:pPr>
        <w:pageBreakBefore w:val="0"/>
        <w:kinsoku/>
        <w:wordWrap/>
        <w:overflowPunct/>
        <w:topLinePunct w:val="0"/>
        <w:autoSpaceDE/>
        <w:autoSpaceDN/>
        <w:bidi w:val="0"/>
        <w:spacing w:line="570" w:lineRule="exact"/>
        <w:ind w:firstLine="640" w:firstLineChars="200"/>
        <w:outlineLvl w:val="9"/>
        <w:rPr>
          <w:rFonts w:hint="eastAsia" w:ascii="仿宋_GB2312" w:hAnsi="宋体" w:eastAsia="仿宋_GB2312" w:cs="宋体"/>
          <w:bCs/>
          <w:sz w:val="32"/>
          <w:szCs w:val="32"/>
        </w:rPr>
        <w:sectPr>
          <w:pgSz w:w="11906" w:h="16838"/>
          <w:pgMar w:top="2098" w:right="1474" w:bottom="1985" w:left="1588"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274" w:name="_Toc597"/>
      <w:bookmarkStart w:id="275" w:name="_Toc337"/>
      <w:bookmarkStart w:id="276" w:name="_Toc22121"/>
      <w:bookmarkStart w:id="277" w:name="_Toc21564"/>
      <w:r>
        <w:rPr>
          <w:rFonts w:hint="eastAsia"/>
          <w:b/>
          <w:color w:val="000000"/>
          <w:sz w:val="36"/>
          <w:szCs w:val="36"/>
        </w:rPr>
        <w:t>柳州职业技术学院精文控会减负若干措施</w:t>
      </w:r>
      <w:bookmarkEnd w:id="274"/>
      <w:bookmarkEnd w:id="275"/>
      <w:bookmarkEnd w:id="276"/>
      <w:bookmarkEnd w:id="277"/>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 xml:space="preserve"> (柳职院字〔2021〕41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进一步改进学校工作作风，根据自治区党委办公厅《〈关于解决形式主义突出问题为基层减负的工作措施〉的通知》（桂办发〔2019〕16号）、中共柳州市委办公室《柳州市整治困扰基层的形式主义突出问题持续为基层减负若干工作措施》的通知（柳办发〔2020〕13号）相关文件精神，结合学校实际，特制定本措施。</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一、进一步精简文件，严控发文数量</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重点精简的文件制发数量，包括制度和决定、意见、通知等规范性文件，议事协调机构成员类文件，通报类文件。一些因实际工作需要制发的，针对特定人、特定事使用的文件，比如干部任免、干部处分处理、会议活动通知、会议纪要、请示、批复、函件等，不纳入精简范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严格按程序办理公文审批。学校内设机构除党委办公室、学校办公室外，不得对外正式行文。严格执行学校内部公文发文管理流程，严守行文规则，严禁将格式不规范、要素不齐全、未按规定履行相关程序的文稿提交党委办公室、学校办公室发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严控发文数量。自2021年起，学校每年发文总数较2020年度减少20%以上。没有实质内容、可发可不发的文件一律不发；内容相近的合并制发；凡法律法规有明确规定、现行文件已有部署且仍适用的，不再重复发文；同一事项不反复发文；严禁以文件落实文件，贯彻上级文件精神，没有新的落实措施和政策规定，或建设性、创新性政策措施占不到文件主体部分70%的，一律不发。</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4.学校制发公文全部通过公文流转系统发送，除存档和确有报送纸质文件要求的上报公文之外，不印发纸质公文。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5.减少和限制简报编发。要尽量利用网络信息报送渠道反映情况，凡可以通过网络传递的，不再以纸质形式传递。常规性和日常性工作一律不发简报。</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二、进一步压减会议，提高会议实效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严控会议数量。2021年，学校召开会议总数较2020年度减少20%以上。严格执行会议计划审批制度，各部门按规定提交会议活动申请流程，经学校办公室审核后，安排会议。次周需召开的会议需要在本周五上午之前申请完毕，逾期申请的除上级临时会议外不再进行安排。各部门要精简工作会议，可以通过邮件、电话形式部署和安排工作的，不再召开会议。</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2.会议坚持有效性。能不开的坚决不开，能合并召开的一律合并召开。优化会议日程，开短会、讲短话，全校性工作会议一般不超过1天，工作会议原则上不安排在周末和节假日举行。</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严格控制会议规模。应按照确有必要的原则，各种专题、业务会议，只安排与会议内容密切相关的部门及人员参加会议。除安排分管校领导和必须出席的校领导外，一般不邀请其他校领导参加，学校党政主要领导原则上不出席各部门举行的会议，切实减少“陪会”现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4.提倡现场办公会、视频会等简约高效的开会形式，能以调研指导、现场办公解决的一律不召集人员开会。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5.未经批准，任何部门和个人不得以学校名义召开会议，任何校外单位、机构、公司、团体和个人未经批准不得使用校内场所举办各类活动和会议。</w:t>
      </w:r>
    </w:p>
    <w:p>
      <w:pPr>
        <w:pageBreakBefore w:val="0"/>
        <w:kinsoku/>
        <w:wordWrap/>
        <w:overflowPunct/>
        <w:topLinePunct w:val="0"/>
        <w:autoSpaceDE/>
        <w:autoSpaceDN/>
        <w:bidi w:val="0"/>
        <w:spacing w:line="596" w:lineRule="exact"/>
        <w:outlineLvl w:val="9"/>
        <w:rPr>
          <w:rFonts w:hint="eastAsia" w:ascii="仿宋_GB2312" w:hAnsi="宋体" w:eastAsia="仿宋_GB2312" w:cs="宋体"/>
          <w:bCs/>
          <w:sz w:val="32"/>
          <w:szCs w:val="32"/>
        </w:rPr>
      </w:pPr>
    </w:p>
    <w:p>
      <w:pPr>
        <w:pageBreakBefore w:val="0"/>
        <w:widowControl/>
        <w:kinsoku/>
        <w:wordWrap/>
        <w:overflowPunct/>
        <w:topLinePunct w:val="0"/>
        <w:autoSpaceDE/>
        <w:autoSpaceDN/>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278" w:name="_Toc22141"/>
      <w:bookmarkStart w:id="279" w:name="_Toc534377758"/>
      <w:bookmarkStart w:id="280" w:name="_Toc26442"/>
      <w:bookmarkStart w:id="281" w:name="_Toc29165"/>
      <w:r>
        <w:rPr>
          <w:rFonts w:hint="eastAsia"/>
          <w:b/>
          <w:color w:val="000000"/>
          <w:sz w:val="36"/>
          <w:szCs w:val="36"/>
        </w:rPr>
        <w:t>柳州职业技术学院网络舆情应急处置预案（试行）</w:t>
      </w:r>
      <w:bookmarkEnd w:id="278"/>
      <w:bookmarkEnd w:id="279"/>
      <w:bookmarkEnd w:id="280"/>
      <w:bookmarkEnd w:id="281"/>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（柳职院党字〔2017〕9号）</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为快速妥当处置突发网络舆情，有效预防并最大限度地避免、减少和消除因网络舆情造成的各种负面影响，维护学校声誉和广大师生的合法利益，营造和谐稳定、有利于学校全面健康发展的良好网络舆论环境，根据学校工作实际，制定本预案。</w:t>
      </w:r>
    </w:p>
    <w:p>
      <w:pPr>
        <w:pageBreakBefore w:val="0"/>
        <w:widowControl/>
        <w:kinsoku/>
        <w:wordWrap/>
        <w:overflowPunct/>
        <w:topLinePunct w:val="0"/>
        <w:autoSpaceDE/>
        <w:autoSpaceDN/>
        <w:bidi w:val="0"/>
        <w:spacing w:line="560" w:lineRule="exact"/>
        <w:ind w:firstLine="640" w:firstLineChars="200"/>
        <w:jc w:val="left"/>
        <w:outlineLvl w:val="9"/>
        <w:rPr>
          <w:rFonts w:ascii="黑体" w:hAnsi="黑体" w:eastAsia="黑体" w:cs="宋体"/>
          <w:kern w:val="0"/>
          <w:sz w:val="32"/>
          <w:szCs w:val="32"/>
        </w:rPr>
      </w:pPr>
      <w:r>
        <w:rPr>
          <w:rFonts w:hint="eastAsia" w:ascii="黑体" w:hAnsi="黑体" w:eastAsia="黑体" w:cs="宋体"/>
          <w:bCs/>
          <w:kern w:val="0"/>
          <w:sz w:val="32"/>
          <w:szCs w:val="32"/>
        </w:rPr>
        <w:t>一、适用范围</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1. 组织机构及人员范围：学校以及校属各部门、二级学院（部）；全校在职及离退休教职工、在校学生。</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2.网络舆情范围：在国内外各级各类网站、手机APP、自媒体等网络信息渠道发布的对学校办学治校、事业发展、社会声誉产生重大影响的信息，以及对学校师生学习、工作、生活产生重大影响的其他相关网络信息。</w:t>
      </w:r>
    </w:p>
    <w:p>
      <w:pPr>
        <w:pageBreakBefore w:val="0"/>
        <w:widowControl/>
        <w:kinsoku/>
        <w:wordWrap/>
        <w:overflowPunct/>
        <w:topLinePunct w:val="0"/>
        <w:autoSpaceDE/>
        <w:autoSpaceDN/>
        <w:bidi w:val="0"/>
        <w:spacing w:line="560" w:lineRule="exact"/>
        <w:ind w:firstLine="640" w:firstLineChars="200"/>
        <w:jc w:val="left"/>
        <w:outlineLvl w:val="9"/>
        <w:rPr>
          <w:rFonts w:ascii="黑体" w:hAnsi="黑体" w:eastAsia="黑体" w:cs="宋体"/>
          <w:kern w:val="0"/>
          <w:sz w:val="32"/>
          <w:szCs w:val="32"/>
        </w:rPr>
      </w:pPr>
      <w:r>
        <w:rPr>
          <w:rFonts w:hint="eastAsia" w:ascii="黑体" w:hAnsi="黑体" w:eastAsia="黑体" w:cs="宋体"/>
          <w:bCs/>
          <w:kern w:val="0"/>
          <w:sz w:val="32"/>
          <w:szCs w:val="32"/>
        </w:rPr>
        <w:t>二、工作原则</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一）统筹组织,加强领导。将突发重大网络舆情应对处置工作纳入柳州职业技术学院应急管理工作统筹安排，成立学校网络舆情应急处置领导小组（见附件3），领导小组办公室设在党委宣传部，加强舆情应急处置工作的组织协调。</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（二）责任分解，层层落实。按照落实安全责任制原则，各部门、二级学院（部）应有专人负责网络舆情应急工作，并制定相应措施，依法依规组织实施突发重大网络舆情应急处置工作。</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（三）完善预警，加强研判。建立网络信息监测、报告、通报机制，及时发现和掌握互联网上动态性、苗头性和预警性信息，加强分析研判，有针对性地采取防范和控制措施，及时预防和消除不良影响。</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（四）快速反应，及时上报。网络舆情突发事件发生后，必须做到第一时间上报、第一时间监测、第一时间收集有关信息、第一时间处置，及时分析研判舆情发展走向，及时上报舆情动态。</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五）统一步调，权威发布。处置网络舆情突发事件，必须统一步调、口径一致、权威发布。未经学校网络舆情应急处置领导小组同意，一般情况下不得擅自向外发布信息或做出表态。坚持事件处置与新闻发布同时布置、同时落实，确保以最快速度发布准确权威消息，正确引导舆论。</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（六）综合应对，依法处置。立足于服务学校发展、保障学校安全稳定，采取法律、管理、技术、舆情疏导等综合措施，依法依规加强突发重大网络舆情应急处置工作</w:t>
      </w:r>
    </w:p>
    <w:p>
      <w:pPr>
        <w:pageBreakBefore w:val="0"/>
        <w:widowControl/>
        <w:kinsoku/>
        <w:wordWrap/>
        <w:overflowPunct/>
        <w:topLinePunct w:val="0"/>
        <w:autoSpaceDE/>
        <w:autoSpaceDN/>
        <w:bidi w:val="0"/>
        <w:spacing w:line="560" w:lineRule="exact"/>
        <w:ind w:firstLine="640" w:firstLineChars="200"/>
        <w:jc w:val="left"/>
        <w:outlineLvl w:val="9"/>
        <w:rPr>
          <w:rFonts w:ascii="黑体" w:hAnsi="黑体" w:eastAsia="黑体" w:cs="宋体"/>
          <w:kern w:val="0"/>
          <w:sz w:val="32"/>
          <w:szCs w:val="32"/>
        </w:rPr>
      </w:pPr>
      <w:r>
        <w:rPr>
          <w:rFonts w:hint="eastAsia" w:ascii="黑体" w:hAnsi="黑体" w:eastAsia="黑体" w:cs="宋体"/>
          <w:bCs/>
          <w:kern w:val="0"/>
          <w:sz w:val="32"/>
          <w:szCs w:val="32"/>
        </w:rPr>
        <w:t>三、处置程序及办法</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一）研判预警。学校网络舆情应急处置领导小组以及各部门、二级学院（部）对学校、本部门、院（部）可能引发重大网络舆情的突发事件、热点敏感问题，要加强预警预测，及时搜集掌握有关真实信息，做好应对处置准备，增强工作前瞻性和时效性。各部门、二级学院（部）要第一时间将舆情风险点、舆情事件发展苗头和倾向报领导小组及其办公室。</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二）快速反应。学校有关部门及人员发现重大网络舆情后，要第一时间报告领导小组及其办公室。领导小组办公室要按照快速、畅通原则，第一时间将情况报告领导小组组长和舆情涉及事项分管副组长，并立即填写《柳州职业技术学院网络舆情处理登记表》（见附件2），送达相关部门、院部负责人。同时启动应急预案，制定并落实应急处置措施，快速及时将事情原由、事实真相、事件处置情况等组织成汇报材料，做到第一时间口头汇报和及时的书面汇报。如有必要，需将材料上报上级主管部门，及时沟通有关情况。</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（三）分类处置。面对突发重大网络舆情，按照信息内容的不同，在严格执行保密法律法规、新闻宣传纪律等规定的基础上，需按以下不同办法分类处置：</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1.属询问、质疑、诉求类的，安排学校相关职能部门、二级学院（部）依法依规进行办理、提出答复意见，经学校主要领导或分管领导审定后统一回复；能当即回复的要当即回复，需要一段时间办理后才能回复的，要在当日回复处理意见并告知回复处理结果具体时日。</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2.属对学校某一突发事件或社会热点、敏感问题恶意传播或炒作类的，切实加强网上舆论引导工作，力争在第一时间发布准确、权威信息，稳定公众情绪，最大限度地避免、减少公众猜测和新闻媒体的不准确报道，掌握新闻舆论的主动权。必要时可邀请相关领导、新闻记者撰写评论文章，组织专家解答，以权威的、专业的信息赢取网民的信任。</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对于造成重大负面影响、严重损失，且在学校发布事实真相、事件处置情况后仍继续恶意传播或炒作的，商请执纪执法部门依纪依法查处。</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3.属捏造、歪曲或夸大事实，恶意攻击、诽谤，煽动闹事或涉嫌网上违法犯罪活动类的，要依法澄清事实真相，并做好对不实信息的消除、封堵和删除等工作。如发布不实信息人员属于学校内部人员，以说服教育为主，情节恶劣者按学校相关校规校纪给予处罚，如属于校外人员，则商请执纪执法部门依纪依法查处。</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4.属特别重大、敏感类的，学校领导小组要按照有关规定，及时与上级有关部门取得联系，并商请上级宣传、新闻、网络信息、教育等主管部门指导、协助依法处置。</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5.属对推动学校改革、发展、稳定工作有重要积极意义的意见建议类的，要积极采纳并及时予以回复。</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（四）动态跟踪。领导小组办公室、涉事责任部门要落实专人对突发重大舆情及处置后的事态实行动态跟踪，适时采取应对处置措施，坚决防止网络舆情持续发酵，导致更大危机。</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五）总结评估。在网络舆情被消除或趋于平稳后，领导小组办公室及相关部门、二级学院（部）要根据舆情的发生、传播和处置情况及时进行总结、梳理、反思，不断健全完善工作机制，提高应对网络舆情的能力。</w:t>
      </w:r>
    </w:p>
    <w:p>
      <w:pPr>
        <w:pageBreakBefore w:val="0"/>
        <w:widowControl/>
        <w:kinsoku/>
        <w:wordWrap/>
        <w:overflowPunct/>
        <w:topLinePunct w:val="0"/>
        <w:autoSpaceDE/>
        <w:autoSpaceDN/>
        <w:bidi w:val="0"/>
        <w:spacing w:line="560" w:lineRule="exact"/>
        <w:ind w:firstLine="640" w:firstLineChars="200"/>
        <w:jc w:val="left"/>
        <w:outlineLvl w:val="9"/>
        <w:rPr>
          <w:rFonts w:ascii="黑体" w:hAnsi="黑体" w:eastAsia="黑体" w:cs="宋体"/>
          <w:bCs/>
          <w:kern w:val="0"/>
          <w:sz w:val="32"/>
          <w:szCs w:val="32"/>
        </w:rPr>
      </w:pPr>
      <w:r>
        <w:rPr>
          <w:rFonts w:hint="eastAsia" w:ascii="黑体" w:hAnsi="黑体" w:eastAsia="黑体" w:cs="宋体"/>
          <w:bCs/>
          <w:kern w:val="0"/>
          <w:sz w:val="32"/>
          <w:szCs w:val="32"/>
        </w:rPr>
        <w:t>四、应急保障</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１.机制保障。建立网络舆情信息监控、互通互报和应急处置联动机制。学校与自治区、柳州市宣传部门、网信办、公安部门、教育部门及其他有关部门要保持密切的联系和沟通，确保一旦发生重特大网络舆情，能及时得到上级的支持和各方的积极响应，并得到及时有效的处置。</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2.人力和技术保障。校党委宣传部、信息技术服务中心、保卫处要切实加强对网络信息的安全管理，落实专人负责，配置必要设施设备，加强对重点人、重点网站、论坛、微博、微信等进行有效的信息监控。要切实加强队伍建设，尤其是要组织好宣传部、学工部、团委、保卫处、信息技术服务中心等重点部门和各学院相关人员，定期开展培训，不断提高网络舆情应急处置工作人员的政治敏感性和业务能力。</w:t>
      </w:r>
    </w:p>
    <w:p>
      <w:pPr>
        <w:pageBreakBefore w:val="0"/>
        <w:widowControl/>
        <w:kinsoku/>
        <w:wordWrap/>
        <w:overflowPunct/>
        <w:topLinePunct w:val="0"/>
        <w:autoSpaceDE/>
        <w:autoSpaceDN/>
        <w:bidi w:val="0"/>
        <w:spacing w:line="560" w:lineRule="exact"/>
        <w:ind w:firstLine="640" w:firstLineChars="200"/>
        <w:jc w:val="left"/>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3.经费保障。网络舆情应急处置工作列入党委重要工作议事日程，所需经费列入学校相关部门经费预算予以保障。</w:t>
      </w:r>
    </w:p>
    <w:p>
      <w:pPr>
        <w:pageBreakBefore w:val="0"/>
        <w:widowControl/>
        <w:kinsoku/>
        <w:wordWrap/>
        <w:overflowPunct/>
        <w:topLinePunct w:val="0"/>
        <w:autoSpaceDE/>
        <w:autoSpaceDN/>
        <w:bidi w:val="0"/>
        <w:spacing w:line="560" w:lineRule="exact"/>
        <w:ind w:firstLine="640" w:firstLineChars="200"/>
        <w:jc w:val="left"/>
        <w:outlineLvl w:val="9"/>
        <w:rPr>
          <w:rFonts w:hint="eastAsia"/>
          <w:sz w:val="32"/>
          <w:szCs w:val="32"/>
          <w:lang w:val="en-US" w:eastAsia="zh-CN"/>
        </w:rPr>
      </w:pPr>
      <w:r>
        <w:rPr>
          <w:rFonts w:hint="eastAsia" w:ascii="仿宋_GB2312" w:hAnsi="宋体" w:eastAsia="仿宋_GB2312" w:cs="宋体"/>
          <w:kern w:val="0"/>
          <w:sz w:val="32"/>
          <w:szCs w:val="32"/>
        </w:rPr>
        <w:t>本预案由领导小组办公室负责解释，自发布之日起实施。</w:t>
      </w:r>
    </w:p>
    <w:p>
      <w:pPr>
        <w:pageBreakBefore w:val="0"/>
        <w:kinsoku/>
        <w:wordWrap/>
        <w:overflowPunct/>
        <w:topLinePunct w:val="0"/>
        <w:autoSpaceDE/>
        <w:autoSpaceDN/>
        <w:bidi w:val="0"/>
        <w:outlineLvl w:val="9"/>
        <w:rPr>
          <w:rFonts w:hint="eastAsia" w:ascii="仿宋" w:hAnsi="仿宋" w:eastAsia="仿宋" w:cs="仿宋"/>
          <w:sz w:val="32"/>
          <w:szCs w:val="32"/>
          <w:lang w:val="en-US" w:eastAsia="zh-CN"/>
        </w:rPr>
        <w:sectPr>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b/>
          <w:bCs/>
          <w:kern w:val="2"/>
          <w:sz w:val="22"/>
          <w:szCs w:val="28"/>
          <w:lang w:val="en-US" w:eastAsia="zh-CN" w:bidi="ar-SA"/>
        </w:rPr>
        <w:id w:val="147475277"/>
        <w:showingPlcHdr/>
        <w15:color w:val="DBDBDB"/>
        <w:docPartObj>
          <w:docPartGallery w:val="Table of Contents"/>
          <w:docPartUnique/>
        </w:docPartObj>
      </w:sdtPr>
      <w:sdtEndPr>
        <w:rPr>
          <w:rFonts w:hint="eastAsia" w:asciiTheme="minorHAnsi" w:hAnsiTheme="minorHAnsi" w:eastAsiaTheme="minorEastAsia" w:cstheme="minorBidi"/>
          <w:b/>
          <w:bCs/>
          <w:kern w:val="2"/>
          <w:sz w:val="21"/>
          <w:szCs w:val="32"/>
          <w:lang w:val="en-US" w:eastAsia="zh-CN" w:bidi="ar-SA"/>
        </w:rPr>
      </w:sdtEndPr>
      <w:sdtContent>
        <w:p>
          <w:pPr>
            <w:pageBreakBefore w:val="0"/>
            <w:kinsoku/>
            <w:wordWrap/>
            <w:overflowPunct/>
            <w:topLinePunct w:val="0"/>
            <w:autoSpaceDE/>
            <w:autoSpaceDN/>
            <w:bidi w:val="0"/>
            <w:outlineLvl w:val="9"/>
            <w:rPr>
              <w:rFonts w:hint="eastAsia"/>
              <w:lang w:val="en-US" w:eastAsia="zh-CN"/>
            </w:rPr>
            <w:sectPr>
              <w:pgSz w:w="11906" w:h="16838"/>
              <w:pgMar w:top="1440" w:right="1474" w:bottom="1440" w:left="1587" w:header="851" w:footer="992" w:gutter="0"/>
              <w:pgNumType w:fmt="decimal"/>
              <w:cols w:space="425" w:num="1"/>
              <w:docGrid w:type="lines" w:linePitch="312" w:charSpace="0"/>
            </w:sectPr>
          </w:pPr>
        </w:p>
      </w:sdtContent>
    </w:sdt>
    <w:p>
      <w:pPr>
        <w:keepNext w:val="0"/>
        <w:keepLines w:val="0"/>
        <w:pageBreakBefore w:val="0"/>
        <w:widowControl w:val="0"/>
        <w:kinsoku/>
        <w:wordWrap/>
        <w:overflowPunct/>
        <w:topLinePunct w:val="0"/>
        <w:autoSpaceDE/>
        <w:autoSpaceDN/>
        <w:bidi w:val="0"/>
        <w:adjustRightInd/>
        <w:snapToGrid/>
        <w:spacing w:before="170"/>
        <w:ind w:right="0"/>
        <w:jc w:val="center"/>
        <w:textAlignment w:val="auto"/>
        <w:outlineLvl w:val="9"/>
        <w:rPr>
          <w:rFonts w:hint="eastAsia" w:asciiTheme="minorEastAsia" w:hAnsiTheme="minorEastAsia" w:eastAsiaTheme="minorEastAsia" w:cstheme="minorEastAsia"/>
          <w:b/>
          <w:sz w:val="36"/>
          <w:szCs w:val="36"/>
        </w:rPr>
      </w:pPr>
      <w:bookmarkStart w:id="282" w:name="_Toc13654"/>
      <w:bookmarkStart w:id="283" w:name="_Toc570"/>
      <w:bookmarkStart w:id="284" w:name="_Toc5763"/>
      <w:bookmarkStart w:id="285" w:name="_Toc7967"/>
      <w:bookmarkStart w:id="286" w:name="_Toc15370"/>
      <w:bookmarkStart w:id="287" w:name="_Toc6471"/>
      <w:r>
        <w:rPr>
          <w:rFonts w:hint="eastAsia" w:asciiTheme="minorEastAsia" w:hAnsiTheme="minorEastAsia" w:eastAsiaTheme="minorEastAsia" w:cstheme="minorEastAsia"/>
          <w:b/>
          <w:sz w:val="36"/>
          <w:szCs w:val="36"/>
        </w:rPr>
        <w:t>柳州职业技术学院“双高”建设项目管理办法（试行）</w:t>
      </w:r>
      <w:bookmarkEnd w:id="282"/>
      <w:bookmarkEnd w:id="283"/>
      <w:bookmarkEnd w:id="284"/>
    </w:p>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仿宋_GB2312" w:eastAsia="仿宋_GB2312"/>
          <w:sz w:val="32"/>
          <w:szCs w:val="32"/>
        </w:rPr>
      </w:pPr>
      <w:r>
        <w:rPr>
          <w:rFonts w:hint="eastAsia" w:ascii="仿宋_GB2312" w:eastAsia="仿宋_GB2312"/>
          <w:sz w:val="32"/>
          <w:szCs w:val="32"/>
        </w:rPr>
        <w:t xml:space="preserve"> (柳职院字〔2021〕25号)</w:t>
      </w:r>
    </w:p>
    <w:p>
      <w:pPr>
        <w:pStyle w:val="5"/>
        <w:spacing w:before="2"/>
        <w:rPr>
          <w:rFonts w:hint="eastAsia" w:ascii="仿宋" w:hAnsi="仿宋" w:eastAsia="仿宋" w:cs="仿宋"/>
          <w:b/>
          <w:sz w:val="30"/>
          <w:szCs w:val="30"/>
        </w:rPr>
      </w:pP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left="473" w:right="0"/>
        <w:jc w:val="center"/>
        <w:textAlignment w:val="auto"/>
        <w:outlineLvl w:val="9"/>
        <w:rPr>
          <w:rFonts w:hint="eastAsia" w:ascii="仿宋" w:hAnsi="仿宋" w:eastAsia="仿宋" w:cs="仿宋"/>
          <w:kern w:val="0"/>
          <w:sz w:val="32"/>
          <w:szCs w:val="32"/>
          <w:lang w:val="zh-CN" w:bidi="zh-CN"/>
        </w:rPr>
      </w:pPr>
      <w:r>
        <w:rPr>
          <w:rFonts w:hint="eastAsia" w:ascii="仿宋" w:hAnsi="仿宋" w:eastAsia="仿宋" w:cs="仿宋"/>
          <w:kern w:val="0"/>
          <w:sz w:val="32"/>
          <w:szCs w:val="32"/>
          <w:lang w:val="zh-CN" w:bidi="zh-CN"/>
        </w:rPr>
        <w:t>第一章</w:t>
      </w:r>
      <w:r>
        <w:rPr>
          <w:rFonts w:hint="eastAsia" w:ascii="仿宋" w:hAnsi="仿宋" w:eastAsia="仿宋" w:cs="仿宋"/>
          <w:kern w:val="0"/>
          <w:sz w:val="32"/>
          <w:szCs w:val="32"/>
          <w:lang w:val="zh-CN" w:bidi="zh-CN"/>
        </w:rPr>
        <w:tab/>
      </w:r>
      <w:r>
        <w:rPr>
          <w:rFonts w:hint="eastAsia" w:ascii="仿宋" w:hAnsi="仿宋" w:eastAsia="仿宋" w:cs="仿宋"/>
          <w:kern w:val="0"/>
          <w:sz w:val="32"/>
          <w:szCs w:val="32"/>
          <w:lang w:val="zh-CN" w:bidi="zh-CN"/>
        </w:rPr>
        <w:t>总</w:t>
      </w:r>
      <w:r>
        <w:rPr>
          <w:rFonts w:hint="eastAsia" w:ascii="仿宋" w:hAnsi="仿宋" w:eastAsia="仿宋" w:cs="仿宋"/>
          <w:kern w:val="0"/>
          <w:sz w:val="32"/>
          <w:szCs w:val="32"/>
          <w:lang w:val="zh-CN" w:bidi="zh-CN"/>
        </w:rPr>
        <w:tab/>
      </w:r>
      <w:r>
        <w:rPr>
          <w:rFonts w:hint="eastAsia" w:ascii="仿宋" w:hAnsi="仿宋" w:eastAsia="仿宋" w:cs="仿宋"/>
          <w:kern w:val="0"/>
          <w:sz w:val="32"/>
          <w:szCs w:val="32"/>
          <w:lang w:val="zh-CN" w:bidi="zh-CN"/>
        </w:rPr>
        <w:t>则</w:t>
      </w:r>
    </w:p>
    <w:p>
      <w:pPr>
        <w:pStyle w:val="5"/>
        <w:keepNext w:val="0"/>
        <w:keepLines w:val="0"/>
        <w:pageBreakBefore w:val="0"/>
        <w:widowControl w:val="0"/>
        <w:tabs>
          <w:tab w:val="left" w:pos="1971"/>
        </w:tabs>
        <w:kinsoku/>
        <w:wordWrap/>
        <w:overflowPunct/>
        <w:topLinePunct w:val="0"/>
        <w:bidi w:val="0"/>
        <w:adjustRightInd/>
        <w:snapToGrid/>
        <w:spacing w:before="168" w:line="338" w:lineRule="auto"/>
        <w:ind w:left="108" w:right="114" w:firstLine="638"/>
        <w:textAlignment w:val="auto"/>
        <w:outlineLvl w:val="9"/>
        <w:rPr>
          <w:rFonts w:hint="eastAsia" w:ascii="仿宋" w:hAnsi="仿宋" w:eastAsia="仿宋" w:cs="仿宋"/>
          <w:sz w:val="32"/>
          <w:szCs w:val="32"/>
        </w:rPr>
      </w:pPr>
      <w:r>
        <w:rPr>
          <w:rFonts w:hint="eastAsia" w:ascii="仿宋" w:hAnsi="仿宋" w:eastAsia="仿宋" w:cs="仿宋"/>
          <w:b/>
          <w:sz w:val="32"/>
          <w:szCs w:val="32"/>
        </w:rPr>
        <w:t>第一条</w:t>
      </w:r>
      <w:r>
        <w:rPr>
          <w:rFonts w:hint="eastAsia" w:ascii="仿宋" w:hAnsi="仿宋" w:eastAsia="仿宋" w:cs="仿宋"/>
          <w:b/>
          <w:sz w:val="32"/>
          <w:szCs w:val="32"/>
        </w:rPr>
        <w:tab/>
      </w:r>
      <w:r>
        <w:rPr>
          <w:rFonts w:hint="eastAsia" w:ascii="仿宋" w:hAnsi="仿宋" w:eastAsia="仿宋" w:cs="仿宋"/>
          <w:sz w:val="32"/>
          <w:szCs w:val="32"/>
        </w:rPr>
        <w:t>“双高</w:t>
      </w:r>
      <w:r>
        <w:rPr>
          <w:rFonts w:hint="eastAsia" w:ascii="仿宋" w:hAnsi="仿宋" w:eastAsia="仿宋" w:cs="仿宋"/>
          <w:spacing w:val="-58"/>
          <w:sz w:val="32"/>
          <w:szCs w:val="32"/>
        </w:rPr>
        <w:t>”</w:t>
      </w:r>
      <w:r>
        <w:rPr>
          <w:rFonts w:hint="eastAsia" w:ascii="仿宋" w:hAnsi="仿宋" w:eastAsia="仿宋" w:cs="仿宋"/>
          <w:sz w:val="32"/>
          <w:szCs w:val="32"/>
        </w:rPr>
        <w:t>建设项目是指学校通过上级主管部门备案</w:t>
      </w:r>
      <w:r>
        <w:rPr>
          <w:rFonts w:hint="eastAsia" w:ascii="仿宋" w:hAnsi="仿宋" w:eastAsia="仿宋" w:cs="仿宋"/>
          <w:spacing w:val="9"/>
          <w:sz w:val="32"/>
          <w:szCs w:val="32"/>
        </w:rPr>
        <w:t>的</w:t>
      </w:r>
      <w:r>
        <w:rPr>
          <w:rFonts w:hint="eastAsia" w:ascii="仿宋" w:hAnsi="仿宋" w:eastAsia="仿宋" w:cs="仿宋"/>
          <w:spacing w:val="7"/>
          <w:sz w:val="32"/>
          <w:szCs w:val="32"/>
        </w:rPr>
        <w:t>高</w:t>
      </w:r>
      <w:r>
        <w:rPr>
          <w:rFonts w:hint="eastAsia" w:ascii="仿宋" w:hAnsi="仿宋" w:eastAsia="仿宋" w:cs="仿宋"/>
          <w:spacing w:val="9"/>
          <w:sz w:val="32"/>
          <w:szCs w:val="32"/>
        </w:rPr>
        <w:t>水</w:t>
      </w:r>
      <w:r>
        <w:rPr>
          <w:rFonts w:hint="eastAsia" w:ascii="仿宋" w:hAnsi="仿宋" w:eastAsia="仿宋" w:cs="仿宋"/>
          <w:spacing w:val="7"/>
          <w:sz w:val="32"/>
          <w:szCs w:val="32"/>
        </w:rPr>
        <w:t>平</w:t>
      </w:r>
      <w:r>
        <w:rPr>
          <w:rFonts w:hint="eastAsia" w:ascii="仿宋" w:hAnsi="仿宋" w:eastAsia="仿宋" w:cs="仿宋"/>
          <w:spacing w:val="9"/>
          <w:sz w:val="32"/>
          <w:szCs w:val="32"/>
        </w:rPr>
        <w:t>高</w:t>
      </w:r>
      <w:r>
        <w:rPr>
          <w:rFonts w:hint="eastAsia" w:ascii="仿宋" w:hAnsi="仿宋" w:eastAsia="仿宋" w:cs="仿宋"/>
          <w:spacing w:val="7"/>
          <w:sz w:val="32"/>
          <w:szCs w:val="32"/>
        </w:rPr>
        <w:t>职学</w:t>
      </w:r>
      <w:r>
        <w:rPr>
          <w:rFonts w:hint="eastAsia" w:ascii="仿宋" w:hAnsi="仿宋" w:eastAsia="仿宋" w:cs="仿宋"/>
          <w:spacing w:val="9"/>
          <w:sz w:val="32"/>
          <w:szCs w:val="32"/>
        </w:rPr>
        <w:t>校</w:t>
      </w:r>
      <w:r>
        <w:rPr>
          <w:rFonts w:hint="eastAsia" w:ascii="仿宋" w:hAnsi="仿宋" w:eastAsia="仿宋" w:cs="仿宋"/>
          <w:spacing w:val="7"/>
          <w:sz w:val="32"/>
          <w:szCs w:val="32"/>
        </w:rPr>
        <w:t>和</w:t>
      </w:r>
      <w:r>
        <w:rPr>
          <w:rFonts w:hint="eastAsia" w:ascii="仿宋" w:hAnsi="仿宋" w:eastAsia="仿宋" w:cs="仿宋"/>
          <w:spacing w:val="9"/>
          <w:sz w:val="32"/>
          <w:szCs w:val="32"/>
        </w:rPr>
        <w:t>高</w:t>
      </w:r>
      <w:r>
        <w:rPr>
          <w:rFonts w:hint="eastAsia" w:ascii="仿宋" w:hAnsi="仿宋" w:eastAsia="仿宋" w:cs="仿宋"/>
          <w:spacing w:val="7"/>
          <w:sz w:val="32"/>
          <w:szCs w:val="32"/>
        </w:rPr>
        <w:t>水</w:t>
      </w:r>
      <w:r>
        <w:rPr>
          <w:rFonts w:hint="eastAsia" w:ascii="仿宋" w:hAnsi="仿宋" w:eastAsia="仿宋" w:cs="仿宋"/>
          <w:spacing w:val="12"/>
          <w:sz w:val="32"/>
          <w:szCs w:val="32"/>
        </w:rPr>
        <w:t>平</w:t>
      </w:r>
      <w:r>
        <w:rPr>
          <w:rFonts w:hint="eastAsia" w:ascii="仿宋" w:hAnsi="仿宋" w:eastAsia="仿宋" w:cs="仿宋"/>
          <w:spacing w:val="9"/>
          <w:sz w:val="32"/>
          <w:szCs w:val="32"/>
        </w:rPr>
        <w:t>专</w:t>
      </w:r>
      <w:r>
        <w:rPr>
          <w:rFonts w:hint="eastAsia" w:ascii="仿宋" w:hAnsi="仿宋" w:eastAsia="仿宋" w:cs="仿宋"/>
          <w:spacing w:val="7"/>
          <w:sz w:val="32"/>
          <w:szCs w:val="32"/>
        </w:rPr>
        <w:t>业</w:t>
      </w:r>
      <w:r>
        <w:rPr>
          <w:rFonts w:hint="eastAsia" w:ascii="仿宋" w:hAnsi="仿宋" w:eastAsia="仿宋" w:cs="仿宋"/>
          <w:spacing w:val="9"/>
          <w:sz w:val="32"/>
          <w:szCs w:val="32"/>
        </w:rPr>
        <w:t>建</w:t>
      </w:r>
      <w:r>
        <w:rPr>
          <w:rFonts w:hint="eastAsia" w:ascii="仿宋" w:hAnsi="仿宋" w:eastAsia="仿宋" w:cs="仿宋"/>
          <w:spacing w:val="7"/>
          <w:sz w:val="32"/>
          <w:szCs w:val="32"/>
        </w:rPr>
        <w:t>设</w:t>
      </w:r>
      <w:r>
        <w:rPr>
          <w:rFonts w:hint="eastAsia" w:ascii="仿宋" w:hAnsi="仿宋" w:eastAsia="仿宋" w:cs="仿宋"/>
          <w:spacing w:val="9"/>
          <w:sz w:val="32"/>
          <w:szCs w:val="32"/>
        </w:rPr>
        <w:t>计划</w:t>
      </w:r>
      <w:r>
        <w:rPr>
          <w:rFonts w:hint="eastAsia" w:ascii="仿宋" w:hAnsi="仿宋" w:eastAsia="仿宋" w:cs="仿宋"/>
          <w:spacing w:val="7"/>
          <w:sz w:val="32"/>
          <w:szCs w:val="32"/>
        </w:rPr>
        <w:t>任</w:t>
      </w:r>
      <w:r>
        <w:rPr>
          <w:rFonts w:hint="eastAsia" w:ascii="仿宋" w:hAnsi="仿宋" w:eastAsia="仿宋" w:cs="仿宋"/>
          <w:spacing w:val="9"/>
          <w:sz w:val="32"/>
          <w:szCs w:val="32"/>
        </w:rPr>
        <w:t>务</w:t>
      </w:r>
      <w:r>
        <w:rPr>
          <w:rFonts w:hint="eastAsia" w:ascii="仿宋" w:hAnsi="仿宋" w:eastAsia="仿宋" w:cs="仿宋"/>
          <w:spacing w:val="7"/>
          <w:sz w:val="32"/>
          <w:szCs w:val="32"/>
        </w:rPr>
        <w:t>书</w:t>
      </w:r>
      <w:r>
        <w:rPr>
          <w:rFonts w:hint="eastAsia" w:ascii="仿宋" w:hAnsi="仿宋" w:eastAsia="仿宋" w:cs="仿宋"/>
          <w:spacing w:val="9"/>
          <w:sz w:val="32"/>
          <w:szCs w:val="32"/>
        </w:rPr>
        <w:t>涵盖</w:t>
      </w:r>
      <w:r>
        <w:rPr>
          <w:rFonts w:hint="eastAsia" w:ascii="仿宋" w:hAnsi="仿宋" w:eastAsia="仿宋" w:cs="仿宋"/>
          <w:spacing w:val="7"/>
          <w:sz w:val="32"/>
          <w:szCs w:val="32"/>
        </w:rPr>
        <w:t>的</w:t>
      </w:r>
      <w:r>
        <w:rPr>
          <w:rFonts w:hint="eastAsia" w:ascii="仿宋" w:hAnsi="仿宋" w:eastAsia="仿宋" w:cs="仿宋"/>
          <w:spacing w:val="9"/>
          <w:sz w:val="32"/>
          <w:szCs w:val="32"/>
        </w:rPr>
        <w:t>建</w:t>
      </w:r>
      <w:r>
        <w:rPr>
          <w:rFonts w:hint="eastAsia" w:ascii="仿宋" w:hAnsi="仿宋" w:eastAsia="仿宋" w:cs="仿宋"/>
          <w:spacing w:val="7"/>
          <w:sz w:val="32"/>
          <w:szCs w:val="32"/>
        </w:rPr>
        <w:t>设</w:t>
      </w:r>
      <w:r>
        <w:rPr>
          <w:rFonts w:hint="eastAsia" w:ascii="仿宋" w:hAnsi="仿宋" w:eastAsia="仿宋" w:cs="仿宋"/>
          <w:sz w:val="32"/>
          <w:szCs w:val="32"/>
        </w:rPr>
        <w:t>项目</w:t>
      </w:r>
      <w:r>
        <w:rPr>
          <w:rFonts w:hint="eastAsia" w:ascii="仿宋" w:hAnsi="仿宋" w:eastAsia="仿宋" w:cs="仿宋"/>
          <w:spacing w:val="-39"/>
          <w:sz w:val="32"/>
          <w:szCs w:val="32"/>
        </w:rPr>
        <w:t>。</w:t>
      </w:r>
      <w:r>
        <w:rPr>
          <w:rFonts w:hint="eastAsia" w:ascii="仿宋" w:hAnsi="仿宋" w:eastAsia="仿宋" w:cs="仿宋"/>
          <w:sz w:val="32"/>
          <w:szCs w:val="32"/>
        </w:rPr>
        <w:t>具体建设内容包括</w:t>
      </w:r>
      <w:r>
        <w:rPr>
          <w:rFonts w:hint="eastAsia" w:ascii="仿宋" w:hAnsi="仿宋" w:eastAsia="仿宋" w:cs="仿宋"/>
          <w:spacing w:val="-39"/>
          <w:sz w:val="32"/>
          <w:szCs w:val="32"/>
        </w:rPr>
        <w:t>：</w:t>
      </w:r>
      <w:r>
        <w:rPr>
          <w:rFonts w:hint="eastAsia" w:ascii="仿宋" w:hAnsi="仿宋" w:eastAsia="仿宋" w:cs="仿宋"/>
          <w:sz w:val="32"/>
          <w:szCs w:val="32"/>
        </w:rPr>
        <w:t>加强党的建设</w:t>
      </w:r>
      <w:r>
        <w:rPr>
          <w:rFonts w:hint="eastAsia" w:ascii="仿宋" w:hAnsi="仿宋" w:eastAsia="仿宋" w:cs="仿宋"/>
          <w:spacing w:val="-39"/>
          <w:sz w:val="32"/>
          <w:szCs w:val="32"/>
        </w:rPr>
        <w:t>、</w:t>
      </w:r>
      <w:r>
        <w:rPr>
          <w:rFonts w:hint="eastAsia" w:ascii="仿宋" w:hAnsi="仿宋" w:eastAsia="仿宋" w:cs="仿宋"/>
          <w:sz w:val="32"/>
          <w:szCs w:val="32"/>
        </w:rPr>
        <w:t>打造技术技能人才培养高地</w:t>
      </w:r>
      <w:r>
        <w:rPr>
          <w:rFonts w:hint="eastAsia" w:ascii="仿宋" w:hAnsi="仿宋" w:eastAsia="仿宋" w:cs="仿宋"/>
          <w:spacing w:val="-39"/>
          <w:sz w:val="32"/>
          <w:szCs w:val="32"/>
        </w:rPr>
        <w:t>、</w:t>
      </w:r>
      <w:r>
        <w:rPr>
          <w:rFonts w:hint="eastAsia" w:ascii="仿宋" w:hAnsi="仿宋" w:eastAsia="仿宋" w:cs="仿宋"/>
          <w:sz w:val="32"/>
          <w:szCs w:val="32"/>
        </w:rPr>
        <w:t>打造技术技能创新服务平台</w:t>
      </w:r>
      <w:r>
        <w:rPr>
          <w:rFonts w:hint="eastAsia" w:ascii="仿宋" w:hAnsi="仿宋" w:eastAsia="仿宋" w:cs="仿宋"/>
          <w:spacing w:val="-36"/>
          <w:sz w:val="32"/>
          <w:szCs w:val="32"/>
        </w:rPr>
        <w:t>、</w:t>
      </w:r>
      <w:r>
        <w:rPr>
          <w:rFonts w:hint="eastAsia" w:ascii="仿宋" w:hAnsi="仿宋" w:eastAsia="仿宋" w:cs="仿宋"/>
          <w:sz w:val="32"/>
          <w:szCs w:val="32"/>
        </w:rPr>
        <w:t>打造高水平双师队伍</w:t>
      </w:r>
      <w:r>
        <w:rPr>
          <w:rFonts w:hint="eastAsia" w:ascii="仿宋" w:hAnsi="仿宋" w:eastAsia="仿宋" w:cs="仿宋"/>
          <w:spacing w:val="-39"/>
          <w:sz w:val="32"/>
          <w:szCs w:val="32"/>
        </w:rPr>
        <w:t>、</w:t>
      </w:r>
      <w:r>
        <w:rPr>
          <w:rFonts w:hint="eastAsia" w:ascii="仿宋" w:hAnsi="仿宋" w:eastAsia="仿宋" w:cs="仿宋"/>
          <w:sz w:val="32"/>
          <w:szCs w:val="32"/>
        </w:rPr>
        <w:t>提升校企合作水平</w:t>
      </w:r>
      <w:r>
        <w:rPr>
          <w:rFonts w:hint="eastAsia" w:ascii="仿宋" w:hAnsi="仿宋" w:eastAsia="仿宋" w:cs="仿宋"/>
          <w:spacing w:val="-39"/>
          <w:sz w:val="32"/>
          <w:szCs w:val="32"/>
        </w:rPr>
        <w:t>、</w:t>
      </w:r>
      <w:r>
        <w:rPr>
          <w:rFonts w:hint="eastAsia" w:ascii="仿宋" w:hAnsi="仿宋" w:eastAsia="仿宋" w:cs="仿宋"/>
          <w:sz w:val="32"/>
          <w:szCs w:val="32"/>
        </w:rPr>
        <w:t>提升服务发展水平</w:t>
      </w:r>
      <w:r>
        <w:rPr>
          <w:rFonts w:hint="eastAsia" w:ascii="仿宋" w:hAnsi="仿宋" w:eastAsia="仿宋" w:cs="仿宋"/>
          <w:spacing w:val="-36"/>
          <w:sz w:val="32"/>
          <w:szCs w:val="32"/>
        </w:rPr>
        <w:t>、</w:t>
      </w:r>
      <w:r>
        <w:rPr>
          <w:rFonts w:hint="eastAsia" w:ascii="仿宋" w:hAnsi="仿宋" w:eastAsia="仿宋" w:cs="仿宋"/>
          <w:sz w:val="32"/>
          <w:szCs w:val="32"/>
        </w:rPr>
        <w:t>提升学校治理水平</w:t>
      </w:r>
      <w:r>
        <w:rPr>
          <w:rFonts w:hint="eastAsia" w:ascii="仿宋" w:hAnsi="仿宋" w:eastAsia="仿宋" w:cs="仿宋"/>
          <w:spacing w:val="-39"/>
          <w:sz w:val="32"/>
          <w:szCs w:val="32"/>
        </w:rPr>
        <w:t>、</w:t>
      </w:r>
      <w:r>
        <w:rPr>
          <w:rFonts w:hint="eastAsia" w:ascii="仿宋" w:hAnsi="仿宋" w:eastAsia="仿宋" w:cs="仿宋"/>
          <w:sz w:val="32"/>
          <w:szCs w:val="32"/>
        </w:rPr>
        <w:t>提升信息化水平</w:t>
      </w:r>
      <w:r>
        <w:rPr>
          <w:rFonts w:hint="eastAsia" w:ascii="仿宋" w:hAnsi="仿宋" w:eastAsia="仿宋" w:cs="仿宋"/>
          <w:spacing w:val="-91"/>
          <w:sz w:val="32"/>
          <w:szCs w:val="32"/>
        </w:rPr>
        <w:t>、</w:t>
      </w:r>
      <w:r>
        <w:rPr>
          <w:rFonts w:hint="eastAsia" w:ascii="仿宋" w:hAnsi="仿宋" w:eastAsia="仿宋" w:cs="仿宋"/>
          <w:sz w:val="32"/>
          <w:szCs w:val="32"/>
        </w:rPr>
        <w:t>提升国际化水平</w:t>
      </w:r>
      <w:r>
        <w:rPr>
          <w:rFonts w:hint="eastAsia" w:ascii="仿宋" w:hAnsi="仿宋" w:eastAsia="仿宋" w:cs="仿宋"/>
          <w:spacing w:val="-91"/>
          <w:sz w:val="32"/>
          <w:szCs w:val="32"/>
        </w:rPr>
        <w:t>、</w:t>
      </w:r>
      <w:r>
        <w:rPr>
          <w:rFonts w:hint="eastAsia" w:ascii="仿宋" w:hAnsi="仿宋" w:eastAsia="仿宋" w:cs="仿宋"/>
          <w:sz w:val="32"/>
          <w:szCs w:val="32"/>
        </w:rPr>
        <w:t>学校文化建设</w:t>
      </w:r>
      <w:r>
        <w:rPr>
          <w:rFonts w:hint="eastAsia" w:ascii="仿宋" w:hAnsi="仿宋" w:eastAsia="仿宋" w:cs="仿宋"/>
          <w:spacing w:val="-91"/>
          <w:sz w:val="32"/>
          <w:szCs w:val="32"/>
        </w:rPr>
        <w:t>、</w:t>
      </w:r>
      <w:r>
        <w:rPr>
          <w:rFonts w:hint="eastAsia" w:ascii="仿宋" w:hAnsi="仿宋" w:eastAsia="仿宋" w:cs="仿宋"/>
          <w:sz w:val="32"/>
          <w:szCs w:val="32"/>
        </w:rPr>
        <w:t>育人服务体系建设</w:t>
      </w:r>
      <w:r>
        <w:rPr>
          <w:rFonts w:hint="eastAsia" w:ascii="仿宋" w:hAnsi="仿宋" w:eastAsia="仿宋" w:cs="仿宋"/>
          <w:spacing w:val="-11"/>
          <w:sz w:val="32"/>
          <w:szCs w:val="32"/>
        </w:rPr>
        <w:t>、</w:t>
      </w:r>
      <w:r>
        <w:rPr>
          <w:rFonts w:hint="eastAsia" w:ascii="仿宋" w:hAnsi="仿宋" w:eastAsia="仿宋" w:cs="仿宋"/>
          <w:spacing w:val="9"/>
          <w:sz w:val="32"/>
          <w:szCs w:val="32"/>
        </w:rPr>
        <w:t>机</w:t>
      </w:r>
      <w:r>
        <w:rPr>
          <w:rFonts w:hint="eastAsia" w:ascii="仿宋" w:hAnsi="仿宋" w:eastAsia="仿宋" w:cs="仿宋"/>
          <w:spacing w:val="7"/>
          <w:sz w:val="32"/>
          <w:szCs w:val="32"/>
        </w:rPr>
        <w:t>电</w:t>
      </w:r>
      <w:r>
        <w:rPr>
          <w:rFonts w:hint="eastAsia" w:ascii="仿宋" w:hAnsi="仿宋" w:eastAsia="仿宋" w:cs="仿宋"/>
          <w:spacing w:val="9"/>
          <w:sz w:val="32"/>
          <w:szCs w:val="32"/>
        </w:rPr>
        <w:t>设</w:t>
      </w:r>
      <w:r>
        <w:rPr>
          <w:rFonts w:hint="eastAsia" w:ascii="仿宋" w:hAnsi="仿宋" w:eastAsia="仿宋" w:cs="仿宋"/>
          <w:spacing w:val="7"/>
          <w:sz w:val="32"/>
          <w:szCs w:val="32"/>
        </w:rPr>
        <w:t>备</w:t>
      </w:r>
      <w:r>
        <w:rPr>
          <w:rFonts w:hint="eastAsia" w:ascii="仿宋" w:hAnsi="仿宋" w:eastAsia="仿宋" w:cs="仿宋"/>
          <w:spacing w:val="9"/>
          <w:sz w:val="32"/>
          <w:szCs w:val="32"/>
        </w:rPr>
        <w:t>维修</w:t>
      </w:r>
      <w:r>
        <w:rPr>
          <w:rFonts w:hint="eastAsia" w:ascii="仿宋" w:hAnsi="仿宋" w:eastAsia="仿宋" w:cs="仿宋"/>
          <w:spacing w:val="7"/>
          <w:sz w:val="32"/>
          <w:szCs w:val="32"/>
        </w:rPr>
        <w:t>与</w:t>
      </w:r>
      <w:r>
        <w:rPr>
          <w:rFonts w:hint="eastAsia" w:ascii="仿宋" w:hAnsi="仿宋" w:eastAsia="仿宋" w:cs="仿宋"/>
          <w:spacing w:val="9"/>
          <w:sz w:val="32"/>
          <w:szCs w:val="32"/>
        </w:rPr>
        <w:t>管</w:t>
      </w:r>
      <w:r>
        <w:rPr>
          <w:rFonts w:hint="eastAsia" w:ascii="仿宋" w:hAnsi="仿宋" w:eastAsia="仿宋" w:cs="仿宋"/>
          <w:spacing w:val="7"/>
          <w:sz w:val="32"/>
          <w:szCs w:val="32"/>
        </w:rPr>
        <w:t>理</w:t>
      </w:r>
      <w:r>
        <w:rPr>
          <w:rFonts w:hint="eastAsia" w:ascii="仿宋" w:hAnsi="仿宋" w:eastAsia="仿宋" w:cs="仿宋"/>
          <w:spacing w:val="9"/>
          <w:sz w:val="32"/>
          <w:szCs w:val="32"/>
        </w:rPr>
        <w:t>专业</w:t>
      </w:r>
      <w:r>
        <w:rPr>
          <w:rFonts w:hint="eastAsia" w:ascii="仿宋" w:hAnsi="仿宋" w:eastAsia="仿宋" w:cs="仿宋"/>
          <w:spacing w:val="7"/>
          <w:sz w:val="32"/>
          <w:szCs w:val="32"/>
        </w:rPr>
        <w:t>群</w:t>
      </w:r>
      <w:r>
        <w:rPr>
          <w:rFonts w:hint="eastAsia" w:ascii="仿宋" w:hAnsi="仿宋" w:eastAsia="仿宋" w:cs="仿宋"/>
          <w:spacing w:val="9"/>
          <w:sz w:val="32"/>
          <w:szCs w:val="32"/>
        </w:rPr>
        <w:t>建</w:t>
      </w:r>
      <w:r>
        <w:rPr>
          <w:rFonts w:hint="eastAsia" w:ascii="仿宋" w:hAnsi="仿宋" w:eastAsia="仿宋" w:cs="仿宋"/>
          <w:spacing w:val="7"/>
          <w:sz w:val="32"/>
          <w:szCs w:val="32"/>
        </w:rPr>
        <w:t>设</w:t>
      </w:r>
      <w:r>
        <w:rPr>
          <w:rFonts w:hint="eastAsia" w:ascii="仿宋" w:hAnsi="仿宋" w:eastAsia="仿宋" w:cs="仿宋"/>
          <w:spacing w:val="9"/>
          <w:sz w:val="32"/>
          <w:szCs w:val="32"/>
        </w:rPr>
        <w:t>、工</w:t>
      </w:r>
      <w:r>
        <w:rPr>
          <w:rFonts w:hint="eastAsia" w:ascii="仿宋" w:hAnsi="仿宋" w:eastAsia="仿宋" w:cs="仿宋"/>
          <w:spacing w:val="7"/>
          <w:sz w:val="32"/>
          <w:szCs w:val="32"/>
        </w:rPr>
        <w:t>程</w:t>
      </w:r>
      <w:r>
        <w:rPr>
          <w:rFonts w:hint="eastAsia" w:ascii="仿宋" w:hAnsi="仿宋" w:eastAsia="仿宋" w:cs="仿宋"/>
          <w:spacing w:val="9"/>
          <w:sz w:val="32"/>
          <w:szCs w:val="32"/>
        </w:rPr>
        <w:t>机</w:t>
      </w:r>
      <w:r>
        <w:rPr>
          <w:rFonts w:hint="eastAsia" w:ascii="仿宋" w:hAnsi="仿宋" w:eastAsia="仿宋" w:cs="仿宋"/>
          <w:spacing w:val="7"/>
          <w:sz w:val="32"/>
          <w:szCs w:val="32"/>
        </w:rPr>
        <w:t>械</w:t>
      </w:r>
      <w:r>
        <w:rPr>
          <w:rFonts w:hint="eastAsia" w:ascii="仿宋" w:hAnsi="仿宋" w:eastAsia="仿宋" w:cs="仿宋"/>
          <w:spacing w:val="9"/>
          <w:sz w:val="32"/>
          <w:szCs w:val="32"/>
        </w:rPr>
        <w:t>运用</w:t>
      </w:r>
      <w:r>
        <w:rPr>
          <w:rFonts w:hint="eastAsia" w:ascii="仿宋" w:hAnsi="仿宋" w:eastAsia="仿宋" w:cs="仿宋"/>
          <w:spacing w:val="7"/>
          <w:sz w:val="32"/>
          <w:szCs w:val="32"/>
        </w:rPr>
        <w:t>技</w:t>
      </w:r>
      <w:r>
        <w:rPr>
          <w:rFonts w:hint="eastAsia" w:ascii="仿宋" w:hAnsi="仿宋" w:eastAsia="仿宋" w:cs="仿宋"/>
          <w:spacing w:val="9"/>
          <w:sz w:val="32"/>
          <w:szCs w:val="32"/>
        </w:rPr>
        <w:t>术</w:t>
      </w:r>
      <w:r>
        <w:rPr>
          <w:rFonts w:hint="eastAsia" w:ascii="仿宋" w:hAnsi="仿宋" w:eastAsia="仿宋" w:cs="仿宋"/>
          <w:spacing w:val="7"/>
          <w:sz w:val="32"/>
          <w:szCs w:val="32"/>
        </w:rPr>
        <w:t>专</w:t>
      </w:r>
      <w:r>
        <w:rPr>
          <w:rFonts w:hint="eastAsia" w:ascii="仿宋" w:hAnsi="仿宋" w:eastAsia="仿宋" w:cs="仿宋"/>
          <w:spacing w:val="9"/>
          <w:sz w:val="32"/>
          <w:szCs w:val="32"/>
        </w:rPr>
        <w:t>业群</w:t>
      </w:r>
      <w:r>
        <w:rPr>
          <w:rFonts w:hint="eastAsia" w:ascii="仿宋" w:hAnsi="仿宋" w:eastAsia="仿宋" w:cs="仿宋"/>
          <w:sz w:val="32"/>
          <w:szCs w:val="32"/>
        </w:rPr>
        <w:t>建设。</w:t>
      </w:r>
    </w:p>
    <w:p>
      <w:pPr>
        <w:pStyle w:val="5"/>
        <w:keepNext w:val="0"/>
        <w:keepLines w:val="0"/>
        <w:pageBreakBefore w:val="0"/>
        <w:widowControl w:val="0"/>
        <w:kinsoku/>
        <w:wordWrap/>
        <w:overflowPunct/>
        <w:topLinePunct w:val="0"/>
        <w:bidi w:val="0"/>
        <w:adjustRightInd/>
        <w:snapToGrid/>
        <w:spacing w:before="17"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 xml:space="preserve">第二条 </w:t>
      </w:r>
      <w:r>
        <w:rPr>
          <w:rFonts w:hint="eastAsia" w:ascii="仿宋" w:hAnsi="仿宋" w:eastAsia="仿宋" w:cs="仿宋"/>
          <w:spacing w:val="-10"/>
          <w:sz w:val="32"/>
          <w:szCs w:val="32"/>
        </w:rPr>
        <w:t>柳州职业技术学院“双高”建设总目标是：建成有</w:t>
      </w:r>
      <w:r>
        <w:rPr>
          <w:rFonts w:hint="eastAsia" w:ascii="仿宋" w:hAnsi="仿宋" w:eastAsia="仿宋" w:cs="仿宋"/>
          <w:spacing w:val="-15"/>
          <w:w w:val="95"/>
          <w:sz w:val="32"/>
          <w:szCs w:val="32"/>
        </w:rPr>
        <w:t xml:space="preserve">力支撑习近平总书记赋予广西的“三大定位”新使命，面向“一 </w:t>
      </w:r>
      <w:r>
        <w:rPr>
          <w:rFonts w:hint="eastAsia" w:ascii="仿宋" w:hAnsi="仿宋" w:eastAsia="仿宋" w:cs="仿宋"/>
          <w:spacing w:val="-14"/>
          <w:sz w:val="32"/>
          <w:szCs w:val="32"/>
        </w:rPr>
        <w:t>带一路”具有较大影响力、特色鲜明、国内一流的高职名校，成</w:t>
      </w:r>
      <w:r>
        <w:rPr>
          <w:rFonts w:hint="eastAsia" w:ascii="仿宋" w:hAnsi="仿宋" w:eastAsia="仿宋" w:cs="仿宋"/>
          <w:spacing w:val="6"/>
          <w:w w:val="95"/>
          <w:sz w:val="32"/>
          <w:szCs w:val="32"/>
        </w:rPr>
        <w:t xml:space="preserve">为先进制造业高素质技术技能人才培养培训的华南重镇和全面 </w:t>
      </w:r>
      <w:r>
        <w:rPr>
          <w:rFonts w:hint="eastAsia" w:ascii="仿宋" w:hAnsi="仿宋" w:eastAsia="仿宋" w:cs="仿宋"/>
          <w:spacing w:val="6"/>
          <w:sz w:val="32"/>
          <w:szCs w:val="32"/>
        </w:rPr>
        <w:t>支撑柳州建设中国现代制造城的巨大引擎。</w:t>
      </w:r>
    </w:p>
    <w:p>
      <w:pPr>
        <w:pStyle w:val="5"/>
        <w:keepNext w:val="0"/>
        <w:keepLines w:val="0"/>
        <w:pageBreakBefore w:val="0"/>
        <w:widowControl w:val="0"/>
        <w:kinsoku/>
        <w:wordWrap/>
        <w:overflowPunct/>
        <w:topLinePunct w:val="0"/>
        <w:bidi w:val="0"/>
        <w:adjustRightInd/>
        <w:snapToGrid/>
        <w:spacing w:before="9" w:line="338" w:lineRule="auto"/>
        <w:ind w:left="108" w:right="269"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 xml:space="preserve">第三条 </w:t>
      </w:r>
      <w:r>
        <w:rPr>
          <w:rFonts w:hint="eastAsia" w:ascii="仿宋" w:hAnsi="仿宋" w:eastAsia="仿宋" w:cs="仿宋"/>
          <w:spacing w:val="-12"/>
          <w:sz w:val="32"/>
          <w:szCs w:val="32"/>
        </w:rPr>
        <w:t>柳州职业技术学院“双高”建设项目的管理是指对</w:t>
      </w:r>
      <w:r>
        <w:rPr>
          <w:rFonts w:hint="eastAsia" w:ascii="仿宋" w:hAnsi="仿宋" w:eastAsia="仿宋" w:cs="仿宋"/>
          <w:spacing w:val="-15"/>
          <w:w w:val="95"/>
          <w:sz w:val="32"/>
          <w:szCs w:val="32"/>
        </w:rPr>
        <w:t xml:space="preserve">整个建设项目的设计、论证、实施、检查、评估、验收等环节进 </w:t>
      </w:r>
      <w:r>
        <w:rPr>
          <w:rFonts w:hint="eastAsia" w:ascii="仿宋" w:hAnsi="仿宋" w:eastAsia="仿宋" w:cs="仿宋"/>
          <w:spacing w:val="-15"/>
          <w:sz w:val="32"/>
          <w:szCs w:val="32"/>
        </w:rPr>
        <w:t>行的计划、组织、协调与监督，以及建设资金的管理等。</w:t>
      </w: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left="473" w:right="0"/>
        <w:jc w:val="center"/>
        <w:textAlignment w:val="auto"/>
        <w:outlineLvl w:val="9"/>
        <w:rPr>
          <w:rFonts w:hint="eastAsia" w:ascii="仿宋" w:hAnsi="仿宋" w:eastAsia="仿宋" w:cs="仿宋"/>
          <w:kern w:val="0"/>
          <w:sz w:val="32"/>
          <w:szCs w:val="32"/>
          <w:lang w:val="zh-CN" w:bidi="zh-CN"/>
        </w:rPr>
      </w:pP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left="473" w:right="0"/>
        <w:jc w:val="center"/>
        <w:textAlignment w:val="auto"/>
        <w:outlineLvl w:val="9"/>
        <w:rPr>
          <w:rFonts w:hint="eastAsia" w:ascii="仿宋" w:hAnsi="仿宋" w:eastAsia="仿宋" w:cs="仿宋"/>
          <w:kern w:val="0"/>
          <w:sz w:val="32"/>
          <w:szCs w:val="32"/>
          <w:lang w:val="zh-CN" w:bidi="zh-CN"/>
        </w:rPr>
      </w:pPr>
      <w:r>
        <w:rPr>
          <w:rFonts w:hint="eastAsia" w:ascii="仿宋" w:hAnsi="仿宋" w:eastAsia="仿宋" w:cs="仿宋"/>
          <w:kern w:val="0"/>
          <w:sz w:val="32"/>
          <w:szCs w:val="32"/>
          <w:lang w:val="zh-CN" w:bidi="zh-CN"/>
        </w:rPr>
        <w:t>第二章</w:t>
      </w:r>
      <w:r>
        <w:rPr>
          <w:rFonts w:hint="eastAsia" w:ascii="仿宋" w:hAnsi="仿宋" w:eastAsia="仿宋" w:cs="仿宋"/>
          <w:kern w:val="0"/>
          <w:sz w:val="32"/>
          <w:szCs w:val="32"/>
          <w:lang w:val="en-US" w:bidi="zh-CN"/>
        </w:rPr>
        <w:t xml:space="preserve"> </w:t>
      </w:r>
      <w:r>
        <w:rPr>
          <w:rFonts w:hint="eastAsia" w:ascii="仿宋" w:hAnsi="仿宋" w:eastAsia="仿宋" w:cs="仿宋"/>
          <w:kern w:val="0"/>
          <w:sz w:val="32"/>
          <w:szCs w:val="32"/>
          <w:lang w:val="zh-CN" w:bidi="zh-CN"/>
        </w:rPr>
        <w:t>管理机构与职责</w:t>
      </w:r>
    </w:p>
    <w:p>
      <w:pPr>
        <w:pStyle w:val="5"/>
        <w:keepNext w:val="0"/>
        <w:keepLines w:val="0"/>
        <w:pageBreakBefore w:val="0"/>
        <w:widowControl w:val="0"/>
        <w:tabs>
          <w:tab w:val="left" w:pos="2033"/>
        </w:tabs>
        <w:kinsoku/>
        <w:wordWrap/>
        <w:overflowPunct/>
        <w:topLinePunct w:val="0"/>
        <w:bidi w:val="0"/>
        <w:adjustRightInd/>
        <w:snapToGrid/>
        <w:spacing w:before="54" w:line="338" w:lineRule="auto"/>
        <w:ind w:left="108" w:right="114" w:firstLine="638"/>
        <w:textAlignment w:val="auto"/>
        <w:outlineLvl w:val="9"/>
        <w:rPr>
          <w:rFonts w:hint="eastAsia" w:ascii="仿宋" w:hAnsi="仿宋" w:eastAsia="仿宋" w:cs="仿宋"/>
          <w:sz w:val="32"/>
          <w:szCs w:val="32"/>
        </w:rPr>
      </w:pPr>
      <w:r>
        <w:rPr>
          <w:rFonts w:hint="eastAsia" w:ascii="仿宋" w:hAnsi="仿宋" w:eastAsia="仿宋" w:cs="仿宋"/>
          <w:b/>
          <w:sz w:val="32"/>
          <w:szCs w:val="32"/>
        </w:rPr>
        <w:t>第四条</w:t>
      </w:r>
      <w:r>
        <w:rPr>
          <w:rFonts w:hint="eastAsia" w:ascii="仿宋" w:hAnsi="仿宋" w:eastAsia="仿宋" w:cs="仿宋"/>
          <w:b/>
          <w:sz w:val="32"/>
          <w:szCs w:val="32"/>
        </w:rPr>
        <w:tab/>
      </w:r>
      <w:r>
        <w:rPr>
          <w:rFonts w:hint="eastAsia" w:ascii="仿宋" w:hAnsi="仿宋" w:eastAsia="仿宋" w:cs="仿宋"/>
          <w:sz w:val="32"/>
          <w:szCs w:val="32"/>
        </w:rPr>
        <w:t>项目管理执行项目负责制</w:t>
      </w:r>
      <w:r>
        <w:rPr>
          <w:rFonts w:hint="eastAsia" w:ascii="仿宋" w:hAnsi="仿宋" w:eastAsia="仿宋" w:cs="仿宋"/>
          <w:spacing w:val="-41"/>
          <w:sz w:val="32"/>
          <w:szCs w:val="32"/>
        </w:rPr>
        <w:t>。</w:t>
      </w:r>
      <w:r>
        <w:rPr>
          <w:rFonts w:hint="eastAsia" w:ascii="仿宋" w:hAnsi="仿宋" w:eastAsia="仿宋" w:cs="仿宋"/>
          <w:sz w:val="32"/>
          <w:szCs w:val="32"/>
        </w:rPr>
        <w:t>建</w:t>
      </w:r>
      <w:r>
        <w:rPr>
          <w:rFonts w:hint="eastAsia" w:ascii="仿宋" w:hAnsi="仿宋" w:eastAsia="仿宋" w:cs="仿宋"/>
          <w:spacing w:val="-36"/>
          <w:sz w:val="32"/>
          <w:szCs w:val="32"/>
        </w:rPr>
        <w:t>立</w:t>
      </w:r>
      <w:r>
        <w:rPr>
          <w:rFonts w:hint="eastAsia" w:ascii="仿宋" w:hAnsi="仿宋" w:eastAsia="仿宋" w:cs="仿宋"/>
          <w:sz w:val="32"/>
          <w:szCs w:val="32"/>
        </w:rPr>
        <w:t>“分级管理</w:t>
      </w:r>
      <w:r>
        <w:rPr>
          <w:rFonts w:hint="eastAsia" w:ascii="仿宋" w:hAnsi="仿宋" w:eastAsia="仿宋" w:cs="仿宋"/>
          <w:spacing w:val="-41"/>
          <w:sz w:val="32"/>
          <w:szCs w:val="32"/>
        </w:rPr>
        <w:t>、</w:t>
      </w:r>
      <w:r>
        <w:rPr>
          <w:rFonts w:hint="eastAsia" w:ascii="仿宋" w:hAnsi="仿宋" w:eastAsia="仿宋" w:cs="仿宋"/>
          <w:sz w:val="32"/>
          <w:szCs w:val="32"/>
        </w:rPr>
        <w:t>归口</w:t>
      </w:r>
      <w:r>
        <w:rPr>
          <w:rFonts w:hint="eastAsia" w:ascii="仿宋" w:hAnsi="仿宋" w:eastAsia="仿宋" w:cs="仿宋"/>
          <w:w w:val="95"/>
          <w:sz w:val="32"/>
          <w:szCs w:val="32"/>
        </w:rPr>
        <w:t>负责</w:t>
      </w:r>
      <w:r>
        <w:rPr>
          <w:rFonts w:hint="eastAsia" w:ascii="仿宋" w:hAnsi="仿宋" w:eastAsia="仿宋" w:cs="仿宋"/>
          <w:spacing w:val="-46"/>
          <w:w w:val="95"/>
          <w:sz w:val="32"/>
          <w:szCs w:val="32"/>
        </w:rPr>
        <w:t>、</w:t>
      </w:r>
      <w:r>
        <w:rPr>
          <w:rFonts w:hint="eastAsia" w:ascii="仿宋" w:hAnsi="仿宋" w:eastAsia="仿宋" w:cs="仿宋"/>
          <w:w w:val="95"/>
          <w:sz w:val="32"/>
          <w:szCs w:val="32"/>
        </w:rPr>
        <w:t>全程监督</w:t>
      </w:r>
      <w:r>
        <w:rPr>
          <w:rFonts w:hint="eastAsia" w:ascii="仿宋" w:hAnsi="仿宋" w:eastAsia="仿宋" w:cs="仿宋"/>
          <w:spacing w:val="-46"/>
          <w:w w:val="95"/>
          <w:sz w:val="32"/>
          <w:szCs w:val="32"/>
        </w:rPr>
        <w:t>、</w:t>
      </w:r>
      <w:r>
        <w:rPr>
          <w:rFonts w:hint="eastAsia" w:ascii="仿宋" w:hAnsi="仿宋" w:eastAsia="仿宋" w:cs="仿宋"/>
          <w:w w:val="95"/>
          <w:sz w:val="32"/>
          <w:szCs w:val="32"/>
        </w:rPr>
        <w:t>定期考核</w:t>
      </w:r>
      <w:r>
        <w:rPr>
          <w:rFonts w:hint="eastAsia" w:ascii="仿宋" w:hAnsi="仿宋" w:eastAsia="仿宋" w:cs="仿宋"/>
          <w:spacing w:val="-46"/>
          <w:w w:val="95"/>
          <w:sz w:val="32"/>
          <w:szCs w:val="32"/>
        </w:rPr>
        <w:t>”</w:t>
      </w:r>
      <w:r>
        <w:rPr>
          <w:rFonts w:hint="eastAsia" w:ascii="仿宋" w:hAnsi="仿宋" w:eastAsia="仿宋" w:cs="仿宋"/>
          <w:w w:val="95"/>
          <w:sz w:val="32"/>
          <w:szCs w:val="32"/>
        </w:rPr>
        <w:t>原则</w:t>
      </w:r>
      <w:r>
        <w:rPr>
          <w:rFonts w:hint="eastAsia" w:ascii="仿宋" w:hAnsi="仿宋" w:eastAsia="仿宋" w:cs="仿宋"/>
          <w:spacing w:val="-46"/>
          <w:w w:val="95"/>
          <w:sz w:val="32"/>
          <w:szCs w:val="32"/>
        </w:rPr>
        <w:t>，</w:t>
      </w:r>
      <w:r>
        <w:rPr>
          <w:rFonts w:hint="eastAsia" w:ascii="仿宋" w:hAnsi="仿宋" w:eastAsia="仿宋" w:cs="仿宋"/>
          <w:w w:val="95"/>
          <w:sz w:val="32"/>
          <w:szCs w:val="32"/>
        </w:rPr>
        <w:t>建立领导小</w:t>
      </w:r>
      <w:r>
        <w:rPr>
          <w:rFonts w:hint="eastAsia" w:ascii="仿宋" w:hAnsi="仿宋" w:eastAsia="仿宋" w:cs="仿宋"/>
          <w:spacing w:val="-43"/>
          <w:w w:val="95"/>
          <w:sz w:val="32"/>
          <w:szCs w:val="32"/>
        </w:rPr>
        <w:t>组</w:t>
      </w:r>
      <w:r>
        <w:rPr>
          <w:rFonts w:hint="eastAsia" w:ascii="仿宋" w:hAnsi="仿宋" w:eastAsia="仿宋" w:cs="仿宋"/>
          <w:spacing w:val="-3"/>
          <w:w w:val="95"/>
          <w:sz w:val="32"/>
          <w:szCs w:val="32"/>
        </w:rPr>
        <w:t>（</w:t>
      </w:r>
      <w:r>
        <w:rPr>
          <w:rFonts w:hint="eastAsia" w:ascii="仿宋" w:hAnsi="仿宋" w:eastAsia="仿宋" w:cs="仿宋"/>
          <w:w w:val="95"/>
          <w:sz w:val="32"/>
          <w:szCs w:val="32"/>
        </w:rPr>
        <w:t>下</w:t>
      </w:r>
      <w:r>
        <w:rPr>
          <w:rFonts w:hint="eastAsia" w:ascii="仿宋" w:hAnsi="仿宋" w:eastAsia="仿宋" w:cs="仿宋"/>
          <w:spacing w:val="-43"/>
          <w:w w:val="95"/>
          <w:sz w:val="32"/>
          <w:szCs w:val="32"/>
        </w:rPr>
        <w:t>设</w:t>
      </w:r>
      <w:r>
        <w:rPr>
          <w:rFonts w:hint="eastAsia" w:ascii="仿宋" w:hAnsi="仿宋" w:eastAsia="仿宋" w:cs="仿宋"/>
          <w:w w:val="95"/>
          <w:sz w:val="32"/>
          <w:szCs w:val="32"/>
        </w:rPr>
        <w:t xml:space="preserve">“双高” </w:t>
      </w:r>
      <w:r>
        <w:rPr>
          <w:rFonts w:hint="eastAsia" w:ascii="仿宋" w:hAnsi="仿宋" w:eastAsia="仿宋" w:cs="仿宋"/>
          <w:sz w:val="32"/>
          <w:szCs w:val="32"/>
        </w:rPr>
        <w:t>建设办公室</w:t>
      </w:r>
      <w:r>
        <w:rPr>
          <w:rFonts w:hint="eastAsia" w:ascii="仿宋" w:hAnsi="仿宋" w:eastAsia="仿宋" w:cs="仿宋"/>
          <w:spacing w:val="-13"/>
          <w:sz w:val="32"/>
          <w:szCs w:val="32"/>
        </w:rPr>
        <w:t>）--</w:t>
      </w:r>
      <w:r>
        <w:rPr>
          <w:rFonts w:hint="eastAsia" w:ascii="仿宋" w:hAnsi="仿宋" w:eastAsia="仿宋" w:cs="仿宋"/>
          <w:sz w:val="32"/>
          <w:szCs w:val="32"/>
        </w:rPr>
        <w:t>专项建</w:t>
      </w:r>
      <w:r>
        <w:rPr>
          <w:rFonts w:hint="eastAsia" w:ascii="仿宋" w:hAnsi="仿宋" w:eastAsia="仿宋" w:cs="仿宋"/>
          <w:spacing w:val="-39"/>
          <w:sz w:val="32"/>
          <w:szCs w:val="32"/>
        </w:rPr>
        <w:t>设</w:t>
      </w:r>
      <w:r>
        <w:rPr>
          <w:rFonts w:hint="eastAsia" w:ascii="仿宋" w:hAnsi="仿宋" w:eastAsia="仿宋" w:cs="仿宋"/>
          <w:sz w:val="32"/>
          <w:szCs w:val="32"/>
        </w:rPr>
        <w:t>（归口管理</w:t>
      </w:r>
      <w:r>
        <w:rPr>
          <w:rFonts w:hint="eastAsia" w:ascii="仿宋" w:hAnsi="仿宋" w:eastAsia="仿宋" w:cs="仿宋"/>
          <w:spacing w:val="-39"/>
          <w:sz w:val="32"/>
          <w:szCs w:val="32"/>
        </w:rPr>
        <w:t>）</w:t>
      </w:r>
      <w:r>
        <w:rPr>
          <w:rFonts w:hint="eastAsia" w:ascii="仿宋" w:hAnsi="仿宋" w:eastAsia="仿宋" w:cs="仿宋"/>
          <w:sz w:val="32"/>
          <w:szCs w:val="32"/>
        </w:rPr>
        <w:t>工作组--项目牵头实施部门--项目组四级联动推进机构，保证项目建设按期完成。</w:t>
      </w:r>
    </w:p>
    <w:p>
      <w:pPr>
        <w:pStyle w:val="5"/>
        <w:keepNext w:val="0"/>
        <w:keepLines w:val="0"/>
        <w:pageBreakBefore w:val="0"/>
        <w:widowControl w:val="0"/>
        <w:kinsoku/>
        <w:wordWrap/>
        <w:overflowPunct/>
        <w:topLinePunct w:val="0"/>
        <w:bidi w:val="0"/>
        <w:adjustRightInd/>
        <w:snapToGrid/>
        <w:spacing w:before="9" w:line="340"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5"/>
          <w:sz w:val="32"/>
          <w:szCs w:val="32"/>
        </w:rPr>
        <w:t xml:space="preserve">第五条 </w:t>
      </w:r>
      <w:r>
        <w:rPr>
          <w:rFonts w:hint="eastAsia" w:ascii="仿宋" w:hAnsi="仿宋" w:eastAsia="仿宋" w:cs="仿宋"/>
          <w:sz w:val="32"/>
          <w:szCs w:val="32"/>
        </w:rPr>
        <w:t>学校成立以党委书记、校长为组长的柳州职业技术</w:t>
      </w:r>
      <w:r>
        <w:rPr>
          <w:rFonts w:hint="eastAsia" w:ascii="仿宋" w:hAnsi="仿宋" w:eastAsia="仿宋" w:cs="仿宋"/>
          <w:w w:val="99"/>
          <w:sz w:val="32"/>
          <w:szCs w:val="32"/>
        </w:rPr>
        <w:t>学院“双高”建设工作领导小组</w:t>
      </w:r>
      <w:r>
        <w:rPr>
          <w:rFonts w:hint="eastAsia" w:ascii="仿宋" w:hAnsi="仿宋" w:eastAsia="仿宋" w:cs="仿宋"/>
          <w:spacing w:val="2"/>
          <w:w w:val="99"/>
          <w:sz w:val="32"/>
          <w:szCs w:val="32"/>
        </w:rPr>
        <w:t>（以下简称工作领导小组</w:t>
      </w:r>
      <w:r>
        <w:rPr>
          <w:rFonts w:hint="eastAsia" w:ascii="仿宋" w:hAnsi="仿宋" w:eastAsia="仿宋" w:cs="仿宋"/>
          <w:spacing w:val="-159"/>
          <w:w w:val="99"/>
          <w:sz w:val="32"/>
          <w:szCs w:val="32"/>
        </w:rPr>
        <w:t>）</w:t>
      </w:r>
      <w:r>
        <w:rPr>
          <w:rFonts w:hint="eastAsia" w:ascii="仿宋" w:hAnsi="仿宋" w:eastAsia="仿宋" w:cs="仿宋"/>
          <w:spacing w:val="1"/>
          <w:w w:val="99"/>
          <w:sz w:val="32"/>
          <w:szCs w:val="32"/>
        </w:rPr>
        <w:t>，全</w:t>
      </w:r>
      <w:r>
        <w:rPr>
          <w:rFonts w:hint="eastAsia" w:ascii="仿宋" w:hAnsi="仿宋" w:eastAsia="仿宋" w:cs="仿宋"/>
          <w:spacing w:val="-11"/>
          <w:w w:val="95"/>
          <w:sz w:val="32"/>
          <w:szCs w:val="32"/>
        </w:rPr>
        <w:t xml:space="preserve">面负责“双高”建设项目目标、任务和内容的整体规划、资金配 </w:t>
      </w:r>
      <w:r>
        <w:rPr>
          <w:rFonts w:hint="eastAsia" w:ascii="仿宋" w:hAnsi="仿宋" w:eastAsia="仿宋" w:cs="仿宋"/>
          <w:spacing w:val="-12"/>
          <w:sz w:val="32"/>
          <w:szCs w:val="32"/>
        </w:rPr>
        <w:t>置；全面负责“双高”建设项目实施的组织、监督及协调，项目质量的监控、自评、内部验收等工作。</w:t>
      </w:r>
    </w:p>
    <w:p>
      <w:pPr>
        <w:pStyle w:val="5"/>
        <w:keepNext w:val="0"/>
        <w:keepLines w:val="0"/>
        <w:pageBreakBefore w:val="0"/>
        <w:widowControl w:val="0"/>
        <w:tabs>
          <w:tab w:val="left" w:pos="2033"/>
        </w:tabs>
        <w:kinsoku/>
        <w:wordWrap/>
        <w:overflowPunct/>
        <w:topLinePunct w:val="0"/>
        <w:bidi w:val="0"/>
        <w:adjustRightInd/>
        <w:snapToGrid/>
        <w:spacing w:line="340" w:lineRule="auto"/>
        <w:ind w:left="108" w:right="114" w:firstLine="638"/>
        <w:textAlignment w:val="auto"/>
        <w:outlineLvl w:val="9"/>
        <w:rPr>
          <w:rFonts w:hint="eastAsia" w:ascii="仿宋" w:hAnsi="仿宋" w:eastAsia="仿宋" w:cs="仿宋"/>
          <w:sz w:val="32"/>
          <w:szCs w:val="32"/>
        </w:rPr>
      </w:pPr>
      <w:r>
        <w:rPr>
          <w:rFonts w:hint="eastAsia" w:ascii="仿宋" w:hAnsi="仿宋" w:eastAsia="仿宋" w:cs="仿宋"/>
          <w:b/>
          <w:sz w:val="32"/>
          <w:szCs w:val="32"/>
        </w:rPr>
        <w:t>第六条</w:t>
      </w:r>
      <w:r>
        <w:rPr>
          <w:rFonts w:hint="eastAsia" w:ascii="仿宋" w:hAnsi="仿宋" w:eastAsia="仿宋" w:cs="仿宋"/>
          <w:b/>
          <w:sz w:val="32"/>
          <w:szCs w:val="32"/>
        </w:rPr>
        <w:tab/>
      </w:r>
      <w:r>
        <w:rPr>
          <w:rFonts w:hint="eastAsia" w:ascii="仿宋" w:hAnsi="仿宋" w:eastAsia="仿宋" w:cs="仿宋"/>
          <w:sz w:val="32"/>
          <w:szCs w:val="32"/>
        </w:rPr>
        <w:t>工作领导小组下设学</w:t>
      </w:r>
      <w:r>
        <w:rPr>
          <w:rFonts w:hint="eastAsia" w:ascii="仿宋" w:hAnsi="仿宋" w:eastAsia="仿宋" w:cs="仿宋"/>
          <w:spacing w:val="-39"/>
          <w:sz w:val="32"/>
          <w:szCs w:val="32"/>
        </w:rPr>
        <w:t>校</w:t>
      </w:r>
      <w:r>
        <w:rPr>
          <w:rFonts w:hint="eastAsia" w:ascii="仿宋" w:hAnsi="仿宋" w:eastAsia="仿宋" w:cs="仿宋"/>
          <w:sz w:val="32"/>
          <w:szCs w:val="32"/>
        </w:rPr>
        <w:t>“双高</w:t>
      </w:r>
      <w:r>
        <w:rPr>
          <w:rFonts w:hint="eastAsia" w:ascii="仿宋" w:hAnsi="仿宋" w:eastAsia="仿宋" w:cs="仿宋"/>
          <w:spacing w:val="-39"/>
          <w:sz w:val="32"/>
          <w:szCs w:val="32"/>
        </w:rPr>
        <w:t>”</w:t>
      </w:r>
      <w:r>
        <w:rPr>
          <w:rFonts w:hint="eastAsia" w:ascii="仿宋" w:hAnsi="仿宋" w:eastAsia="仿宋" w:cs="仿宋"/>
          <w:sz w:val="32"/>
          <w:szCs w:val="32"/>
        </w:rPr>
        <w:t>建设办公室</w:t>
      </w:r>
      <w:r>
        <w:rPr>
          <w:rFonts w:hint="eastAsia" w:ascii="仿宋" w:hAnsi="仿宋" w:eastAsia="仿宋" w:cs="仿宋"/>
          <w:spacing w:val="-41"/>
          <w:sz w:val="32"/>
          <w:szCs w:val="32"/>
        </w:rPr>
        <w:t>，</w:t>
      </w:r>
      <w:r>
        <w:rPr>
          <w:rFonts w:hint="eastAsia" w:ascii="仿宋" w:hAnsi="仿宋" w:eastAsia="仿宋" w:cs="仿宋"/>
          <w:sz w:val="32"/>
          <w:szCs w:val="32"/>
        </w:rPr>
        <w:t>主要职责是负责“双</w:t>
      </w:r>
      <w:r>
        <w:rPr>
          <w:rFonts w:hint="eastAsia" w:ascii="仿宋" w:hAnsi="仿宋" w:eastAsia="仿宋" w:cs="仿宋"/>
          <w:spacing w:val="5"/>
          <w:sz w:val="32"/>
          <w:szCs w:val="32"/>
        </w:rPr>
        <w:t>高</w:t>
      </w:r>
      <w:r>
        <w:rPr>
          <w:rFonts w:hint="eastAsia" w:ascii="仿宋" w:hAnsi="仿宋" w:eastAsia="仿宋" w:cs="仿宋"/>
          <w:sz w:val="32"/>
          <w:szCs w:val="32"/>
        </w:rPr>
        <w:t>”建设工作的内外联络、组织、协调、督</w:t>
      </w:r>
      <w:r>
        <w:rPr>
          <w:rFonts w:hint="eastAsia" w:ascii="仿宋" w:hAnsi="仿宋" w:eastAsia="仿宋" w:cs="仿宋"/>
          <w:spacing w:val="5"/>
          <w:sz w:val="32"/>
          <w:szCs w:val="32"/>
        </w:rPr>
        <w:t>促</w:t>
      </w:r>
      <w:r>
        <w:rPr>
          <w:rFonts w:hint="eastAsia" w:ascii="仿宋" w:hAnsi="仿宋" w:eastAsia="仿宋" w:cs="仿宋"/>
          <w:sz w:val="32"/>
          <w:szCs w:val="32"/>
        </w:rPr>
        <w:t>； “双高</w:t>
      </w:r>
      <w:r>
        <w:rPr>
          <w:rFonts w:hint="eastAsia" w:ascii="仿宋" w:hAnsi="仿宋" w:eastAsia="仿宋" w:cs="仿宋"/>
          <w:spacing w:val="-58"/>
          <w:sz w:val="32"/>
          <w:szCs w:val="32"/>
        </w:rPr>
        <w:t>”</w:t>
      </w:r>
      <w:r>
        <w:rPr>
          <w:rFonts w:hint="eastAsia" w:ascii="仿宋" w:hAnsi="仿宋" w:eastAsia="仿宋" w:cs="仿宋"/>
          <w:sz w:val="32"/>
          <w:szCs w:val="32"/>
        </w:rPr>
        <w:t>计划制定</w:t>
      </w:r>
      <w:r>
        <w:rPr>
          <w:rFonts w:hint="eastAsia" w:ascii="仿宋" w:hAnsi="仿宋" w:eastAsia="仿宋" w:cs="仿宋"/>
          <w:spacing w:val="-58"/>
          <w:sz w:val="32"/>
          <w:szCs w:val="32"/>
        </w:rPr>
        <w:t>、</w:t>
      </w:r>
      <w:r>
        <w:rPr>
          <w:rFonts w:hint="eastAsia" w:ascii="仿宋" w:hAnsi="仿宋" w:eastAsia="仿宋" w:cs="仿宋"/>
          <w:sz w:val="32"/>
          <w:szCs w:val="32"/>
        </w:rPr>
        <w:t>任务分配以及各专项建设工作组计划执行情</w:t>
      </w:r>
      <w:r>
        <w:rPr>
          <w:rFonts w:hint="eastAsia" w:ascii="仿宋" w:hAnsi="仿宋" w:eastAsia="仿宋" w:cs="仿宋"/>
          <w:w w:val="99"/>
          <w:sz w:val="32"/>
          <w:szCs w:val="32"/>
        </w:rPr>
        <w:t>况</w:t>
      </w:r>
      <w:r>
        <w:rPr>
          <w:rFonts w:hint="eastAsia" w:ascii="仿宋" w:hAnsi="仿宋" w:eastAsia="仿宋" w:cs="仿宋"/>
          <w:spacing w:val="2"/>
          <w:w w:val="99"/>
          <w:sz w:val="32"/>
          <w:szCs w:val="32"/>
        </w:rPr>
        <w:t>监督</w:t>
      </w:r>
      <w:r>
        <w:rPr>
          <w:rFonts w:hint="eastAsia" w:ascii="仿宋" w:hAnsi="仿宋" w:eastAsia="仿宋" w:cs="仿宋"/>
          <w:spacing w:val="-156"/>
          <w:w w:val="99"/>
          <w:sz w:val="32"/>
          <w:szCs w:val="32"/>
        </w:rPr>
        <w:t>；</w:t>
      </w:r>
      <w:r>
        <w:rPr>
          <w:rFonts w:hint="eastAsia" w:ascii="仿宋" w:hAnsi="仿宋" w:eastAsia="仿宋" w:cs="仿宋"/>
          <w:spacing w:val="2"/>
          <w:w w:val="99"/>
          <w:sz w:val="32"/>
          <w:szCs w:val="32"/>
        </w:rPr>
        <w:t>“双高”计划执行情况绩效评估、上报；教育部、自</w:t>
      </w:r>
      <w:r>
        <w:rPr>
          <w:rFonts w:hint="eastAsia" w:ascii="仿宋" w:hAnsi="仿宋" w:eastAsia="仿宋" w:cs="仿宋"/>
          <w:w w:val="99"/>
          <w:sz w:val="32"/>
          <w:szCs w:val="32"/>
        </w:rPr>
        <w:t>治</w:t>
      </w:r>
      <w:r>
        <w:rPr>
          <w:rFonts w:hint="eastAsia" w:ascii="仿宋" w:hAnsi="仿宋" w:eastAsia="仿宋" w:cs="仿宋"/>
          <w:sz w:val="32"/>
          <w:szCs w:val="32"/>
        </w:rPr>
        <w:t>区级教育厅“双高”计划管理系统的管理等。</w:t>
      </w:r>
    </w:p>
    <w:p>
      <w:pPr>
        <w:pStyle w:val="5"/>
        <w:keepNext w:val="0"/>
        <w:keepLines w:val="0"/>
        <w:pageBreakBefore w:val="0"/>
        <w:widowControl w:val="0"/>
        <w:kinsoku/>
        <w:wordWrap/>
        <w:overflowPunct/>
        <w:topLinePunct w:val="0"/>
        <w:bidi w:val="0"/>
        <w:adjustRightInd/>
        <w:snapToGrid/>
        <w:spacing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 xml:space="preserve">第七条 </w:t>
      </w:r>
      <w:r>
        <w:rPr>
          <w:rFonts w:hint="eastAsia" w:ascii="仿宋" w:hAnsi="仿宋" w:eastAsia="仿宋" w:cs="仿宋"/>
          <w:spacing w:val="-8"/>
          <w:sz w:val="32"/>
          <w:szCs w:val="32"/>
        </w:rPr>
        <w:t>根据建设内容和部门分工，成立专项建设</w:t>
      </w:r>
      <w:r>
        <w:rPr>
          <w:rFonts w:hint="eastAsia" w:ascii="仿宋" w:hAnsi="仿宋" w:eastAsia="仿宋" w:cs="仿宋"/>
          <w:sz w:val="32"/>
          <w:szCs w:val="32"/>
        </w:rPr>
        <w:t>（归口管理</w:t>
      </w:r>
      <w:r>
        <w:rPr>
          <w:rFonts w:hint="eastAsia" w:ascii="仿宋" w:hAnsi="仿宋" w:eastAsia="仿宋" w:cs="仿宋"/>
          <w:spacing w:val="-39"/>
          <w:sz w:val="32"/>
          <w:szCs w:val="32"/>
        </w:rPr>
        <w:t>）</w:t>
      </w:r>
      <w:r>
        <w:rPr>
          <w:rFonts w:hint="eastAsia" w:ascii="仿宋" w:hAnsi="仿宋" w:eastAsia="仿宋" w:cs="仿宋"/>
          <w:spacing w:val="-9"/>
          <w:sz w:val="32"/>
          <w:szCs w:val="32"/>
        </w:rPr>
        <w:t>工作组，由分管校领导任组长，归口管理部门负责人任副组</w:t>
      </w:r>
      <w:r>
        <w:rPr>
          <w:rFonts w:hint="eastAsia" w:ascii="仿宋" w:hAnsi="仿宋" w:eastAsia="仿宋" w:cs="仿宋"/>
          <w:spacing w:val="-11"/>
          <w:w w:val="95"/>
          <w:sz w:val="32"/>
          <w:szCs w:val="32"/>
        </w:rPr>
        <w:t xml:space="preserve">长，职责是根据“双高”建设总体方案和任务书，组织编制和论 </w:t>
      </w:r>
      <w:r>
        <w:rPr>
          <w:rFonts w:hint="eastAsia" w:ascii="仿宋" w:hAnsi="仿宋" w:eastAsia="仿宋" w:cs="仿宋"/>
          <w:spacing w:val="-16"/>
          <w:sz w:val="32"/>
          <w:szCs w:val="32"/>
        </w:rPr>
        <w:t>证子项目方案和子项目任务书，并按照方案和任务书推进建设工作。</w:t>
      </w:r>
    </w:p>
    <w:p>
      <w:pPr>
        <w:pStyle w:val="5"/>
        <w:keepNext w:val="0"/>
        <w:keepLines w:val="0"/>
        <w:pageBreakBefore w:val="0"/>
        <w:widowControl w:val="0"/>
        <w:kinsoku/>
        <w:wordWrap/>
        <w:overflowPunct/>
        <w:topLinePunct w:val="0"/>
        <w:bidi w:val="0"/>
        <w:adjustRightInd/>
        <w:snapToGrid/>
        <w:spacing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第八条</w:t>
      </w:r>
      <w:r>
        <w:rPr>
          <w:rFonts w:hint="eastAsia" w:ascii="仿宋" w:hAnsi="仿宋" w:eastAsia="仿宋" w:cs="仿宋"/>
          <w:b/>
          <w:spacing w:val="37"/>
          <w:sz w:val="32"/>
          <w:szCs w:val="32"/>
        </w:rPr>
        <w:tab/>
      </w:r>
      <w:r>
        <w:rPr>
          <w:rFonts w:hint="eastAsia" w:ascii="仿宋" w:hAnsi="仿宋" w:eastAsia="仿宋" w:cs="仿宋"/>
          <w:sz w:val="32"/>
          <w:szCs w:val="32"/>
        </w:rPr>
        <w:t>各具体建设项目成立项目小组，负责落实项目具体建设工作，其负责人和团队成员由项目所属专项建设工作组审批确认，并报“双高”建设办公室备案。</w:t>
      </w:r>
    </w:p>
    <w:p>
      <w:pPr>
        <w:pStyle w:val="5"/>
        <w:keepNext w:val="0"/>
        <w:keepLines w:val="0"/>
        <w:pageBreakBefore w:val="0"/>
        <w:widowControl w:val="0"/>
        <w:tabs>
          <w:tab w:val="left" w:pos="2033"/>
        </w:tabs>
        <w:kinsoku/>
        <w:wordWrap/>
        <w:overflowPunct/>
        <w:topLinePunct w:val="0"/>
        <w:bidi w:val="0"/>
        <w:adjustRightInd/>
        <w:snapToGrid/>
        <w:spacing w:before="171" w:line="338" w:lineRule="auto"/>
        <w:ind w:left="108" w:right="114" w:firstLine="638"/>
        <w:textAlignment w:val="auto"/>
        <w:outlineLvl w:val="9"/>
        <w:rPr>
          <w:rFonts w:hint="eastAsia" w:ascii="仿宋" w:hAnsi="仿宋" w:eastAsia="仿宋" w:cs="仿宋"/>
          <w:sz w:val="32"/>
          <w:szCs w:val="32"/>
        </w:rPr>
      </w:pPr>
      <w:r>
        <w:rPr>
          <w:rFonts w:hint="eastAsia" w:ascii="仿宋" w:hAnsi="仿宋" w:eastAsia="仿宋" w:cs="仿宋"/>
          <w:b/>
          <w:sz w:val="32"/>
          <w:szCs w:val="32"/>
        </w:rPr>
        <w:t>第九条</w:t>
      </w:r>
      <w:r>
        <w:rPr>
          <w:rFonts w:hint="eastAsia" w:ascii="仿宋" w:hAnsi="仿宋" w:eastAsia="仿宋" w:cs="仿宋"/>
          <w:b/>
          <w:sz w:val="32"/>
          <w:szCs w:val="32"/>
        </w:rPr>
        <w:tab/>
      </w:r>
      <w:r>
        <w:rPr>
          <w:rFonts w:hint="eastAsia" w:ascii="仿宋" w:hAnsi="仿宋" w:eastAsia="仿宋" w:cs="仿宋"/>
          <w:sz w:val="32"/>
          <w:szCs w:val="32"/>
        </w:rPr>
        <w:t>设</w:t>
      </w:r>
      <w:r>
        <w:rPr>
          <w:rFonts w:hint="eastAsia" w:ascii="仿宋" w:hAnsi="仿宋" w:eastAsia="仿宋" w:cs="仿宋"/>
          <w:spacing w:val="-39"/>
          <w:sz w:val="32"/>
          <w:szCs w:val="32"/>
        </w:rPr>
        <w:t>立</w:t>
      </w:r>
      <w:r>
        <w:rPr>
          <w:rFonts w:hint="eastAsia" w:ascii="仿宋" w:hAnsi="仿宋" w:eastAsia="仿宋" w:cs="仿宋"/>
          <w:sz w:val="32"/>
          <w:szCs w:val="32"/>
        </w:rPr>
        <w:t>“双高</w:t>
      </w:r>
      <w:r>
        <w:rPr>
          <w:rFonts w:hint="eastAsia" w:ascii="仿宋" w:hAnsi="仿宋" w:eastAsia="仿宋" w:cs="仿宋"/>
          <w:spacing w:val="-41"/>
          <w:sz w:val="32"/>
          <w:szCs w:val="32"/>
        </w:rPr>
        <w:t>”</w:t>
      </w:r>
      <w:r>
        <w:rPr>
          <w:rFonts w:hint="eastAsia" w:ascii="仿宋" w:hAnsi="仿宋" w:eastAsia="仿宋" w:cs="仿宋"/>
          <w:sz w:val="32"/>
          <w:szCs w:val="32"/>
        </w:rPr>
        <w:t>建设资金管理组</w:t>
      </w:r>
      <w:r>
        <w:rPr>
          <w:rFonts w:hint="eastAsia" w:ascii="仿宋" w:hAnsi="仿宋" w:eastAsia="仿宋" w:cs="仿宋"/>
          <w:spacing w:val="-39"/>
          <w:sz w:val="32"/>
          <w:szCs w:val="32"/>
        </w:rPr>
        <w:t>，</w:t>
      </w:r>
      <w:r>
        <w:rPr>
          <w:rFonts w:hint="eastAsia" w:ascii="仿宋" w:hAnsi="仿宋" w:eastAsia="仿宋" w:cs="仿宋"/>
          <w:sz w:val="32"/>
          <w:szCs w:val="32"/>
        </w:rPr>
        <w:t>负责协调落实项目建设资金</w:t>
      </w:r>
      <w:r>
        <w:rPr>
          <w:rFonts w:hint="eastAsia" w:ascii="仿宋" w:hAnsi="仿宋" w:eastAsia="仿宋" w:cs="仿宋"/>
          <w:spacing w:val="-29"/>
          <w:sz w:val="32"/>
          <w:szCs w:val="32"/>
        </w:rPr>
        <w:t>，</w:t>
      </w:r>
      <w:r>
        <w:rPr>
          <w:rFonts w:hint="eastAsia" w:ascii="仿宋" w:hAnsi="仿宋" w:eastAsia="仿宋" w:cs="仿宋"/>
          <w:sz w:val="32"/>
          <w:szCs w:val="32"/>
        </w:rPr>
        <w:t>制定经费管理实施细则</w:t>
      </w:r>
      <w:r>
        <w:rPr>
          <w:rFonts w:hint="eastAsia" w:ascii="仿宋" w:hAnsi="仿宋" w:eastAsia="仿宋" w:cs="仿宋"/>
          <w:spacing w:val="-29"/>
          <w:sz w:val="32"/>
          <w:szCs w:val="32"/>
        </w:rPr>
        <w:t>，</w:t>
      </w:r>
      <w:r>
        <w:rPr>
          <w:rFonts w:hint="eastAsia" w:ascii="仿宋" w:hAnsi="仿宋" w:eastAsia="仿宋" w:cs="仿宋"/>
          <w:sz w:val="32"/>
          <w:szCs w:val="32"/>
        </w:rPr>
        <w:t>按照任务书要求</w:t>
      </w:r>
      <w:r>
        <w:rPr>
          <w:rFonts w:hint="eastAsia" w:ascii="仿宋" w:hAnsi="仿宋" w:eastAsia="仿宋" w:cs="仿宋"/>
          <w:spacing w:val="-29"/>
          <w:sz w:val="32"/>
          <w:szCs w:val="32"/>
        </w:rPr>
        <w:t>，</w:t>
      </w:r>
      <w:r>
        <w:rPr>
          <w:rFonts w:hint="eastAsia" w:ascii="仿宋" w:hAnsi="仿宋" w:eastAsia="仿宋" w:cs="仿宋"/>
          <w:sz w:val="32"/>
          <w:szCs w:val="32"/>
        </w:rPr>
        <w:t>审核</w:t>
      </w:r>
      <w:r>
        <w:rPr>
          <w:rFonts w:hint="eastAsia" w:ascii="仿宋" w:hAnsi="仿宋" w:eastAsia="仿宋" w:cs="仿宋"/>
          <w:spacing w:val="-29"/>
          <w:sz w:val="32"/>
          <w:szCs w:val="32"/>
        </w:rPr>
        <w:t>、</w:t>
      </w:r>
      <w:r>
        <w:rPr>
          <w:rFonts w:hint="eastAsia" w:ascii="仿宋" w:hAnsi="仿宋" w:eastAsia="仿宋" w:cs="仿宋"/>
          <w:sz w:val="32"/>
          <w:szCs w:val="32"/>
        </w:rPr>
        <w:t>监控资金的投向和使用，提高资金使用效率和效益；设立“双高” 建设资产管理组</w:t>
      </w:r>
      <w:r>
        <w:rPr>
          <w:rFonts w:hint="eastAsia" w:ascii="仿宋" w:hAnsi="仿宋" w:eastAsia="仿宋" w:cs="仿宋"/>
          <w:spacing w:val="-91"/>
          <w:sz w:val="32"/>
          <w:szCs w:val="32"/>
        </w:rPr>
        <w:t>，</w:t>
      </w:r>
      <w:r>
        <w:rPr>
          <w:rFonts w:hint="eastAsia" w:ascii="仿宋" w:hAnsi="仿宋" w:eastAsia="仿宋" w:cs="仿宋"/>
          <w:sz w:val="32"/>
          <w:szCs w:val="32"/>
        </w:rPr>
        <w:t>负</w:t>
      </w:r>
      <w:r>
        <w:rPr>
          <w:rFonts w:hint="eastAsia" w:ascii="仿宋" w:hAnsi="仿宋" w:eastAsia="仿宋" w:cs="仿宋"/>
          <w:spacing w:val="-89"/>
          <w:sz w:val="32"/>
          <w:szCs w:val="32"/>
        </w:rPr>
        <w:t>责</w:t>
      </w:r>
      <w:r>
        <w:rPr>
          <w:rFonts w:hint="eastAsia" w:ascii="仿宋" w:hAnsi="仿宋" w:eastAsia="仿宋" w:cs="仿宋"/>
          <w:sz w:val="32"/>
          <w:szCs w:val="32"/>
        </w:rPr>
        <w:t>“双高</w:t>
      </w:r>
      <w:r>
        <w:rPr>
          <w:rFonts w:hint="eastAsia" w:ascii="仿宋" w:hAnsi="仿宋" w:eastAsia="仿宋" w:cs="仿宋"/>
          <w:spacing w:val="-91"/>
          <w:sz w:val="32"/>
          <w:szCs w:val="32"/>
        </w:rPr>
        <w:t>”</w:t>
      </w:r>
      <w:r>
        <w:rPr>
          <w:rFonts w:hint="eastAsia" w:ascii="仿宋" w:hAnsi="仿宋" w:eastAsia="仿宋" w:cs="仿宋"/>
          <w:sz w:val="32"/>
          <w:szCs w:val="32"/>
        </w:rPr>
        <w:t>建设相关设施设备及服务的招标</w:t>
      </w:r>
      <w:r>
        <w:rPr>
          <w:rFonts w:hint="eastAsia" w:ascii="仿宋" w:hAnsi="仿宋" w:eastAsia="仿宋" w:cs="仿宋"/>
          <w:spacing w:val="-11"/>
          <w:sz w:val="32"/>
          <w:szCs w:val="32"/>
        </w:rPr>
        <w:t>、</w:t>
      </w:r>
      <w:r>
        <w:rPr>
          <w:rFonts w:hint="eastAsia" w:ascii="仿宋" w:hAnsi="仿宋" w:eastAsia="仿宋" w:cs="仿宋"/>
          <w:sz w:val="32"/>
          <w:szCs w:val="32"/>
        </w:rPr>
        <w:t>采购等管理工作</w:t>
      </w:r>
      <w:r>
        <w:rPr>
          <w:rFonts w:hint="eastAsia" w:ascii="仿宋" w:hAnsi="仿宋" w:eastAsia="仿宋" w:cs="仿宋"/>
          <w:spacing w:val="-89"/>
          <w:sz w:val="32"/>
          <w:szCs w:val="32"/>
        </w:rPr>
        <w:t>。</w:t>
      </w:r>
      <w:r>
        <w:rPr>
          <w:rFonts w:hint="eastAsia" w:ascii="仿宋" w:hAnsi="仿宋" w:eastAsia="仿宋" w:cs="仿宋"/>
          <w:sz w:val="32"/>
          <w:szCs w:val="32"/>
        </w:rPr>
        <w:t>设</w:t>
      </w:r>
      <w:r>
        <w:rPr>
          <w:rFonts w:hint="eastAsia" w:ascii="仿宋" w:hAnsi="仿宋" w:eastAsia="仿宋" w:cs="仿宋"/>
          <w:spacing w:val="-89"/>
          <w:sz w:val="32"/>
          <w:szCs w:val="32"/>
        </w:rPr>
        <w:t>立</w:t>
      </w:r>
      <w:r>
        <w:rPr>
          <w:rFonts w:hint="eastAsia" w:ascii="仿宋" w:hAnsi="仿宋" w:eastAsia="仿宋" w:cs="仿宋"/>
          <w:sz w:val="32"/>
          <w:szCs w:val="32"/>
        </w:rPr>
        <w:t>“双高</w:t>
      </w:r>
      <w:r>
        <w:rPr>
          <w:rFonts w:hint="eastAsia" w:ascii="仿宋" w:hAnsi="仿宋" w:eastAsia="仿宋" w:cs="仿宋"/>
          <w:spacing w:val="-89"/>
          <w:sz w:val="32"/>
          <w:szCs w:val="32"/>
        </w:rPr>
        <w:t>”</w:t>
      </w:r>
      <w:r>
        <w:rPr>
          <w:rFonts w:hint="eastAsia" w:ascii="仿宋" w:hAnsi="仿宋" w:eastAsia="仿宋" w:cs="仿宋"/>
          <w:sz w:val="32"/>
          <w:szCs w:val="32"/>
        </w:rPr>
        <w:t>建设监督审计管理组</w:t>
      </w:r>
      <w:r>
        <w:rPr>
          <w:rFonts w:hint="eastAsia" w:ascii="仿宋" w:hAnsi="仿宋" w:eastAsia="仿宋" w:cs="仿宋"/>
          <w:spacing w:val="-89"/>
          <w:sz w:val="32"/>
          <w:szCs w:val="32"/>
        </w:rPr>
        <w:t>，</w:t>
      </w:r>
      <w:r>
        <w:rPr>
          <w:rFonts w:hint="eastAsia" w:ascii="仿宋" w:hAnsi="仿宋" w:eastAsia="仿宋" w:cs="仿宋"/>
          <w:sz w:val="32"/>
          <w:szCs w:val="32"/>
        </w:rPr>
        <w:t>负责</w:t>
      </w:r>
      <w:r>
        <w:rPr>
          <w:rFonts w:hint="eastAsia" w:ascii="仿宋" w:hAnsi="仿宋" w:eastAsia="仿宋" w:cs="仿宋"/>
          <w:spacing w:val="-75"/>
          <w:sz w:val="32"/>
          <w:szCs w:val="32"/>
        </w:rPr>
        <w:t>对</w:t>
      </w:r>
      <w:r>
        <w:rPr>
          <w:rFonts w:hint="eastAsia" w:ascii="仿宋" w:hAnsi="仿宋" w:eastAsia="仿宋" w:cs="仿宋"/>
          <w:sz w:val="32"/>
          <w:szCs w:val="32"/>
        </w:rPr>
        <w:t>“双高</w:t>
      </w:r>
      <w:r>
        <w:rPr>
          <w:rFonts w:hint="eastAsia" w:ascii="仿宋" w:hAnsi="仿宋" w:eastAsia="仿宋" w:cs="仿宋"/>
          <w:spacing w:val="-91"/>
          <w:sz w:val="32"/>
          <w:szCs w:val="32"/>
        </w:rPr>
        <w:t>”</w:t>
      </w:r>
      <w:r>
        <w:rPr>
          <w:rFonts w:hint="eastAsia" w:ascii="仿宋" w:hAnsi="仿宋" w:eastAsia="仿宋" w:cs="仿宋"/>
          <w:sz w:val="32"/>
          <w:szCs w:val="32"/>
        </w:rPr>
        <w:t>建设的建设进度</w:t>
      </w:r>
      <w:r>
        <w:rPr>
          <w:rFonts w:hint="eastAsia" w:ascii="仿宋" w:hAnsi="仿宋" w:eastAsia="仿宋" w:cs="仿宋"/>
          <w:spacing w:val="-91"/>
          <w:sz w:val="32"/>
          <w:szCs w:val="32"/>
        </w:rPr>
        <w:t>、</w:t>
      </w:r>
      <w:r>
        <w:rPr>
          <w:rFonts w:hint="eastAsia" w:ascii="仿宋" w:hAnsi="仿宋" w:eastAsia="仿宋" w:cs="仿宋"/>
          <w:sz w:val="32"/>
          <w:szCs w:val="32"/>
        </w:rPr>
        <w:t>资金使用</w:t>
      </w:r>
      <w:r>
        <w:rPr>
          <w:rFonts w:hint="eastAsia" w:ascii="仿宋" w:hAnsi="仿宋" w:eastAsia="仿宋" w:cs="仿宋"/>
          <w:spacing w:val="-91"/>
          <w:sz w:val="32"/>
          <w:szCs w:val="32"/>
        </w:rPr>
        <w:t>、</w:t>
      </w:r>
      <w:r>
        <w:rPr>
          <w:rFonts w:hint="eastAsia" w:ascii="仿宋" w:hAnsi="仿宋" w:eastAsia="仿宋" w:cs="仿宋"/>
          <w:sz w:val="32"/>
          <w:szCs w:val="32"/>
        </w:rPr>
        <w:t>设备采购等进行全程跟踪监控</w:t>
      </w:r>
      <w:r>
        <w:rPr>
          <w:rFonts w:hint="eastAsia" w:ascii="仿宋" w:hAnsi="仿宋" w:eastAsia="仿宋" w:cs="仿宋"/>
          <w:spacing w:val="-11"/>
          <w:sz w:val="32"/>
          <w:szCs w:val="32"/>
        </w:rPr>
        <w:t xml:space="preserve">， </w:t>
      </w:r>
      <w:r>
        <w:rPr>
          <w:rFonts w:hint="eastAsia" w:ascii="仿宋" w:hAnsi="仿宋" w:eastAsia="仿宋" w:cs="仿宋"/>
          <w:spacing w:val="2"/>
          <w:w w:val="99"/>
          <w:sz w:val="32"/>
          <w:szCs w:val="32"/>
        </w:rPr>
        <w:t>提出整改要</w:t>
      </w:r>
      <w:r>
        <w:rPr>
          <w:rFonts w:hint="eastAsia" w:ascii="仿宋" w:hAnsi="仿宋" w:eastAsia="仿宋" w:cs="仿宋"/>
          <w:w w:val="99"/>
          <w:sz w:val="32"/>
          <w:szCs w:val="32"/>
        </w:rPr>
        <w:t>求</w:t>
      </w:r>
      <w:r>
        <w:rPr>
          <w:rFonts w:hint="eastAsia" w:ascii="仿宋" w:hAnsi="仿宋" w:eastAsia="仿宋" w:cs="仿宋"/>
          <w:spacing w:val="2"/>
          <w:w w:val="99"/>
          <w:sz w:val="32"/>
          <w:szCs w:val="32"/>
        </w:rPr>
        <w:t>并监督落实</w:t>
      </w:r>
      <w:r>
        <w:rPr>
          <w:rFonts w:hint="eastAsia" w:ascii="仿宋" w:hAnsi="仿宋" w:eastAsia="仿宋" w:cs="仿宋"/>
          <w:spacing w:val="-156"/>
          <w:w w:val="99"/>
          <w:sz w:val="32"/>
          <w:szCs w:val="32"/>
        </w:rPr>
        <w:t>；</w:t>
      </w:r>
      <w:r>
        <w:rPr>
          <w:rFonts w:hint="eastAsia" w:ascii="仿宋" w:hAnsi="仿宋" w:eastAsia="仿宋" w:cs="仿宋"/>
          <w:spacing w:val="2"/>
          <w:w w:val="99"/>
          <w:sz w:val="32"/>
          <w:szCs w:val="32"/>
        </w:rPr>
        <w:t>“双高”建设宣传管理组，负责通</w:t>
      </w:r>
      <w:r>
        <w:rPr>
          <w:rFonts w:hint="eastAsia" w:ascii="仿宋" w:hAnsi="仿宋" w:eastAsia="仿宋" w:cs="仿宋"/>
          <w:w w:val="99"/>
          <w:sz w:val="32"/>
          <w:szCs w:val="32"/>
        </w:rPr>
        <w:t>过</w:t>
      </w:r>
      <w:r>
        <w:rPr>
          <w:rFonts w:hint="eastAsia" w:ascii="仿宋" w:hAnsi="仿宋" w:eastAsia="仿宋" w:cs="仿宋"/>
          <w:sz w:val="32"/>
          <w:szCs w:val="32"/>
        </w:rPr>
        <w:t>各种媒体对学</w:t>
      </w:r>
      <w:r>
        <w:rPr>
          <w:rFonts w:hint="eastAsia" w:ascii="仿宋" w:hAnsi="仿宋" w:eastAsia="仿宋" w:cs="仿宋"/>
          <w:spacing w:val="-29"/>
          <w:sz w:val="32"/>
          <w:szCs w:val="32"/>
        </w:rPr>
        <w:t>院</w:t>
      </w:r>
      <w:r>
        <w:rPr>
          <w:rFonts w:hint="eastAsia" w:ascii="仿宋" w:hAnsi="仿宋" w:eastAsia="仿宋" w:cs="仿宋"/>
          <w:sz w:val="32"/>
          <w:szCs w:val="32"/>
        </w:rPr>
        <w:t>“双高</w:t>
      </w:r>
      <w:r>
        <w:rPr>
          <w:rFonts w:hint="eastAsia" w:ascii="仿宋" w:hAnsi="仿宋" w:eastAsia="仿宋" w:cs="仿宋"/>
          <w:spacing w:val="-29"/>
          <w:sz w:val="32"/>
          <w:szCs w:val="32"/>
        </w:rPr>
        <w:t>”</w:t>
      </w:r>
      <w:r>
        <w:rPr>
          <w:rFonts w:hint="eastAsia" w:ascii="仿宋" w:hAnsi="仿宋" w:eastAsia="仿宋" w:cs="仿宋"/>
          <w:sz w:val="32"/>
          <w:szCs w:val="32"/>
        </w:rPr>
        <w:t>工作进行阶段性</w:t>
      </w:r>
      <w:r>
        <w:rPr>
          <w:rFonts w:hint="eastAsia" w:ascii="仿宋" w:hAnsi="仿宋" w:eastAsia="仿宋" w:cs="仿宋"/>
          <w:spacing w:val="-27"/>
          <w:sz w:val="32"/>
          <w:szCs w:val="32"/>
        </w:rPr>
        <w:t>、</w:t>
      </w:r>
      <w:r>
        <w:rPr>
          <w:rFonts w:hint="eastAsia" w:ascii="仿宋" w:hAnsi="仿宋" w:eastAsia="仿宋" w:cs="仿宋"/>
          <w:sz w:val="32"/>
          <w:szCs w:val="32"/>
        </w:rPr>
        <w:t>专题性</w:t>
      </w:r>
      <w:r>
        <w:rPr>
          <w:rFonts w:hint="eastAsia" w:ascii="仿宋" w:hAnsi="仿宋" w:eastAsia="仿宋" w:cs="仿宋"/>
          <w:spacing w:val="-29"/>
          <w:sz w:val="32"/>
          <w:szCs w:val="32"/>
        </w:rPr>
        <w:t>、</w:t>
      </w:r>
      <w:r>
        <w:rPr>
          <w:rFonts w:hint="eastAsia" w:ascii="仿宋" w:hAnsi="仿宋" w:eastAsia="仿宋" w:cs="仿宋"/>
          <w:sz w:val="32"/>
          <w:szCs w:val="32"/>
        </w:rPr>
        <w:t>总结性宣传报道</w:t>
      </w:r>
      <w:r>
        <w:rPr>
          <w:rFonts w:hint="eastAsia" w:ascii="仿宋" w:hAnsi="仿宋" w:eastAsia="仿宋" w:cs="仿宋"/>
          <w:spacing w:val="-27"/>
          <w:sz w:val="32"/>
          <w:szCs w:val="32"/>
        </w:rPr>
        <w:t>，</w:t>
      </w:r>
      <w:r>
        <w:rPr>
          <w:rFonts w:hint="eastAsia" w:ascii="仿宋" w:hAnsi="仿宋" w:eastAsia="仿宋" w:cs="仿宋"/>
          <w:sz w:val="32"/>
          <w:szCs w:val="32"/>
        </w:rPr>
        <w:t>形成全院师生员工齐努力建</w:t>
      </w:r>
      <w:r>
        <w:rPr>
          <w:rFonts w:hint="eastAsia" w:ascii="仿宋" w:hAnsi="仿宋" w:eastAsia="仿宋" w:cs="仿宋"/>
          <w:spacing w:val="-29"/>
          <w:sz w:val="32"/>
          <w:szCs w:val="32"/>
        </w:rPr>
        <w:t>设</w:t>
      </w:r>
      <w:r>
        <w:rPr>
          <w:rFonts w:hint="eastAsia" w:ascii="仿宋" w:hAnsi="仿宋" w:eastAsia="仿宋" w:cs="仿宋"/>
          <w:sz w:val="32"/>
          <w:szCs w:val="32"/>
        </w:rPr>
        <w:t>“双高</w:t>
      </w:r>
      <w:r>
        <w:rPr>
          <w:rFonts w:hint="eastAsia" w:ascii="仿宋" w:hAnsi="仿宋" w:eastAsia="仿宋" w:cs="仿宋"/>
          <w:spacing w:val="-29"/>
          <w:sz w:val="32"/>
          <w:szCs w:val="32"/>
        </w:rPr>
        <w:t>”</w:t>
      </w:r>
      <w:r>
        <w:rPr>
          <w:rFonts w:hint="eastAsia" w:ascii="仿宋" w:hAnsi="仿宋" w:eastAsia="仿宋" w:cs="仿宋"/>
          <w:sz w:val="32"/>
          <w:szCs w:val="32"/>
        </w:rPr>
        <w:t>的良好氛围</w:t>
      </w:r>
      <w:r>
        <w:rPr>
          <w:rFonts w:hint="eastAsia" w:ascii="仿宋" w:hAnsi="仿宋" w:eastAsia="仿宋" w:cs="仿宋"/>
          <w:spacing w:val="-29"/>
          <w:sz w:val="32"/>
          <w:szCs w:val="32"/>
        </w:rPr>
        <w:t>，</w:t>
      </w:r>
      <w:r>
        <w:rPr>
          <w:rFonts w:hint="eastAsia" w:ascii="仿宋" w:hAnsi="仿宋" w:eastAsia="仿宋" w:cs="仿宋"/>
          <w:sz w:val="32"/>
          <w:szCs w:val="32"/>
        </w:rPr>
        <w:t>扩大学校对外影响，打造柳职品牌。</w:t>
      </w:r>
    </w:p>
    <w:p>
      <w:pPr>
        <w:pStyle w:val="5"/>
        <w:keepNext w:val="0"/>
        <w:keepLines w:val="0"/>
        <w:pageBreakBefore w:val="0"/>
        <w:widowControl w:val="0"/>
        <w:kinsoku/>
        <w:wordWrap/>
        <w:overflowPunct/>
        <w:topLinePunct w:val="0"/>
        <w:bidi w:val="0"/>
        <w:adjustRightInd/>
        <w:snapToGrid/>
        <w:spacing w:before="9"/>
        <w:textAlignment w:val="auto"/>
        <w:outlineLvl w:val="9"/>
        <w:rPr>
          <w:rFonts w:hint="eastAsia" w:ascii="仿宋" w:hAnsi="仿宋" w:eastAsia="仿宋" w:cs="仿宋"/>
          <w:sz w:val="32"/>
          <w:szCs w:val="32"/>
        </w:rPr>
      </w:pP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left="473" w:right="0"/>
        <w:jc w:val="center"/>
        <w:textAlignment w:val="auto"/>
        <w:outlineLvl w:val="9"/>
        <w:rPr>
          <w:rFonts w:hint="eastAsia" w:ascii="仿宋" w:hAnsi="仿宋" w:eastAsia="仿宋" w:cs="仿宋"/>
          <w:kern w:val="0"/>
          <w:sz w:val="32"/>
          <w:szCs w:val="32"/>
          <w:lang w:val="zh-CN" w:bidi="zh-CN"/>
        </w:rPr>
      </w:pPr>
      <w:r>
        <w:rPr>
          <w:rFonts w:hint="eastAsia" w:ascii="仿宋" w:hAnsi="仿宋" w:eastAsia="仿宋" w:cs="仿宋"/>
          <w:kern w:val="0"/>
          <w:sz w:val="32"/>
          <w:szCs w:val="32"/>
          <w:lang w:val="zh-CN" w:bidi="zh-CN"/>
        </w:rPr>
        <w:t>第三章</w:t>
      </w:r>
      <w:r>
        <w:rPr>
          <w:rFonts w:hint="eastAsia" w:ascii="仿宋" w:hAnsi="仿宋" w:eastAsia="仿宋" w:cs="仿宋"/>
          <w:kern w:val="0"/>
          <w:sz w:val="32"/>
          <w:szCs w:val="32"/>
          <w:lang w:val="zh-CN" w:bidi="zh-CN"/>
        </w:rPr>
        <w:tab/>
      </w:r>
      <w:r>
        <w:rPr>
          <w:rFonts w:hint="eastAsia" w:ascii="仿宋" w:hAnsi="仿宋" w:eastAsia="仿宋" w:cs="仿宋"/>
          <w:kern w:val="0"/>
          <w:sz w:val="32"/>
          <w:szCs w:val="32"/>
          <w:lang w:val="zh-CN" w:bidi="zh-CN"/>
        </w:rPr>
        <w:t>项目实施和管理</w:t>
      </w:r>
    </w:p>
    <w:p>
      <w:pPr>
        <w:pStyle w:val="5"/>
        <w:keepNext w:val="0"/>
        <w:keepLines w:val="0"/>
        <w:pageBreakBefore w:val="0"/>
        <w:widowControl w:val="0"/>
        <w:kinsoku/>
        <w:wordWrap/>
        <w:overflowPunct/>
        <w:topLinePunct w:val="0"/>
        <w:bidi w:val="0"/>
        <w:adjustRightInd/>
        <w:snapToGrid/>
        <w:spacing w:before="171"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 xml:space="preserve">第十条 </w:t>
      </w:r>
      <w:r>
        <w:rPr>
          <w:rFonts w:hint="eastAsia" w:ascii="仿宋" w:hAnsi="仿宋" w:eastAsia="仿宋" w:cs="仿宋"/>
          <w:spacing w:val="-8"/>
          <w:sz w:val="32"/>
          <w:szCs w:val="32"/>
        </w:rPr>
        <w:t>实施项目推进校领导挂牌督战机制。挂牌督战校领</w:t>
      </w:r>
      <w:r>
        <w:rPr>
          <w:rFonts w:hint="eastAsia" w:ascii="仿宋" w:hAnsi="仿宋" w:eastAsia="仿宋" w:cs="仿宋"/>
          <w:spacing w:val="-15"/>
          <w:sz w:val="32"/>
          <w:szCs w:val="32"/>
        </w:rPr>
        <w:t>导与项目业务归口管理校领导，联合负责督促项目归口管理部门</w:t>
      </w:r>
      <w:r>
        <w:rPr>
          <w:rFonts w:hint="eastAsia" w:ascii="仿宋" w:hAnsi="仿宋" w:eastAsia="仿宋" w:cs="仿宋"/>
          <w:spacing w:val="-18"/>
          <w:sz w:val="32"/>
          <w:szCs w:val="32"/>
        </w:rPr>
        <w:t>落实对所辖项目建设的统筹推进，及时了解项目建设进度，协调解决存在困难和问题。</w:t>
      </w:r>
    </w:p>
    <w:p>
      <w:pPr>
        <w:pStyle w:val="5"/>
        <w:keepNext w:val="0"/>
        <w:keepLines w:val="0"/>
        <w:pageBreakBefore w:val="0"/>
        <w:widowControl w:val="0"/>
        <w:kinsoku/>
        <w:wordWrap/>
        <w:overflowPunct/>
        <w:topLinePunct w:val="0"/>
        <w:bidi w:val="0"/>
        <w:adjustRightInd/>
        <w:snapToGrid/>
        <w:spacing w:before="54" w:line="340" w:lineRule="auto"/>
        <w:ind w:right="273"/>
        <w:textAlignment w:val="auto"/>
        <w:outlineLvl w:val="9"/>
        <w:rPr>
          <w:rFonts w:hint="eastAsia" w:ascii="仿宋" w:hAnsi="仿宋" w:eastAsia="仿宋" w:cs="仿宋"/>
          <w:sz w:val="32"/>
          <w:szCs w:val="32"/>
        </w:rPr>
      </w:pPr>
      <w:r>
        <w:rPr>
          <w:rFonts w:hint="eastAsia" w:ascii="仿宋" w:hAnsi="仿宋" w:eastAsia="仿宋" w:cs="仿宋"/>
          <w:b/>
          <w:spacing w:val="3"/>
          <w:sz w:val="32"/>
          <w:szCs w:val="32"/>
        </w:rPr>
        <w:t xml:space="preserve">第十一条 </w:t>
      </w:r>
      <w:r>
        <w:rPr>
          <w:rFonts w:hint="eastAsia" w:ascii="仿宋" w:hAnsi="仿宋" w:eastAsia="仿宋" w:cs="仿宋"/>
          <w:sz w:val="32"/>
          <w:szCs w:val="32"/>
        </w:rPr>
        <w:t>建设项目必须以通过教育部备案的建设方案和任</w:t>
      </w:r>
      <w:r>
        <w:rPr>
          <w:rFonts w:hint="eastAsia" w:ascii="仿宋" w:hAnsi="仿宋" w:eastAsia="仿宋" w:cs="仿宋"/>
          <w:spacing w:val="-11"/>
          <w:sz w:val="32"/>
          <w:szCs w:val="32"/>
        </w:rPr>
        <w:t>务书为依据，任何部门和项目负责人不得随意变更。因特殊情况</w:t>
      </w:r>
      <w:r>
        <w:rPr>
          <w:rFonts w:hint="eastAsia" w:ascii="仿宋" w:hAnsi="仿宋" w:eastAsia="仿宋" w:cs="仿宋"/>
          <w:spacing w:val="-22"/>
          <w:sz w:val="32"/>
          <w:szCs w:val="32"/>
        </w:rPr>
        <w:t xml:space="preserve">或不可抗拒因素，需调整变更建设内容的，需由项目组向“双高” </w:t>
      </w:r>
      <w:r>
        <w:rPr>
          <w:rFonts w:hint="eastAsia" w:ascii="仿宋" w:hAnsi="仿宋" w:eastAsia="仿宋" w:cs="仿宋"/>
          <w:spacing w:val="-7"/>
          <w:sz w:val="32"/>
          <w:szCs w:val="32"/>
        </w:rPr>
        <w:t>建设办公室提交可行性分析、修改意见和书面申请，经学校“双</w:t>
      </w:r>
      <w:r>
        <w:rPr>
          <w:rFonts w:hint="eastAsia" w:ascii="仿宋" w:hAnsi="仿宋" w:eastAsia="仿宋" w:cs="仿宋"/>
          <w:spacing w:val="-7"/>
          <w:sz w:val="32"/>
          <w:szCs w:val="32"/>
          <w:lang w:eastAsia="zh-CN"/>
        </w:rPr>
        <w:t>高</w:t>
      </w:r>
      <w:r>
        <w:rPr>
          <w:rFonts w:hint="eastAsia" w:ascii="仿宋" w:hAnsi="仿宋" w:eastAsia="仿宋" w:cs="仿宋"/>
          <w:spacing w:val="-11"/>
          <w:w w:val="95"/>
          <w:sz w:val="32"/>
          <w:szCs w:val="32"/>
        </w:rPr>
        <w:t xml:space="preserve">”建设工作领导小组审核同意后，由“双高”建设办公室上报 </w:t>
      </w:r>
      <w:r>
        <w:rPr>
          <w:rFonts w:hint="eastAsia" w:ascii="仿宋" w:hAnsi="仿宋" w:eastAsia="仿宋" w:cs="仿宋"/>
          <w:spacing w:val="-11"/>
          <w:sz w:val="32"/>
          <w:szCs w:val="32"/>
        </w:rPr>
        <w:t>上级主管部门审核备案后方可组织实施。</w:t>
      </w:r>
    </w:p>
    <w:p>
      <w:pPr>
        <w:pStyle w:val="5"/>
        <w:keepNext w:val="0"/>
        <w:keepLines w:val="0"/>
        <w:pageBreakBefore w:val="0"/>
        <w:widowControl w:val="0"/>
        <w:kinsoku/>
        <w:wordWrap/>
        <w:overflowPunct/>
        <w:topLinePunct w:val="0"/>
        <w:bidi w:val="0"/>
        <w:adjustRightInd/>
        <w:snapToGrid/>
        <w:spacing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29"/>
          <w:sz w:val="32"/>
          <w:szCs w:val="32"/>
        </w:rPr>
        <w:t xml:space="preserve">第十二条 </w:t>
      </w:r>
      <w:r>
        <w:rPr>
          <w:rFonts w:hint="eastAsia" w:ascii="仿宋" w:hAnsi="仿宋" w:eastAsia="仿宋" w:cs="仿宋"/>
          <w:spacing w:val="-9"/>
          <w:sz w:val="32"/>
          <w:szCs w:val="32"/>
        </w:rPr>
        <w:t>项目具体建设方案的论证由“双高”建设办公室</w:t>
      </w:r>
      <w:r>
        <w:rPr>
          <w:rFonts w:hint="eastAsia" w:ascii="仿宋" w:hAnsi="仿宋" w:eastAsia="仿宋" w:cs="仿宋"/>
          <w:spacing w:val="-13"/>
          <w:w w:val="95"/>
          <w:sz w:val="32"/>
          <w:szCs w:val="32"/>
        </w:rPr>
        <w:t xml:space="preserve">统筹开展，归口管理部门具体组织实施。具体流程为：项目组申 </w:t>
      </w:r>
      <w:r>
        <w:rPr>
          <w:rFonts w:hint="eastAsia" w:ascii="仿宋" w:hAnsi="仿宋" w:eastAsia="仿宋" w:cs="仿宋"/>
          <w:spacing w:val="5"/>
          <w:w w:val="95"/>
          <w:sz w:val="32"/>
          <w:szCs w:val="32"/>
        </w:rPr>
        <w:t xml:space="preserve">请——项目牵头实施部门审批——归口管理部门组织论证—— </w:t>
      </w:r>
      <w:r>
        <w:rPr>
          <w:rFonts w:hint="eastAsia" w:ascii="仿宋" w:hAnsi="仿宋" w:eastAsia="仿宋" w:cs="仿宋"/>
          <w:spacing w:val="-8"/>
          <w:sz w:val="32"/>
          <w:szCs w:val="32"/>
        </w:rPr>
        <w:t>“双高”建设办公室汇总——领导小组审批”。项目牵头实施部</w:t>
      </w:r>
      <w:r>
        <w:rPr>
          <w:rFonts w:hint="eastAsia" w:ascii="仿宋" w:hAnsi="仿宋" w:eastAsia="仿宋" w:cs="仿宋"/>
          <w:spacing w:val="-18"/>
          <w:sz w:val="32"/>
          <w:szCs w:val="32"/>
        </w:rPr>
        <w:t xml:space="preserve">门提交项目材料后，归口管理部门原则上需在 </w:t>
      </w:r>
      <w:r>
        <w:rPr>
          <w:rFonts w:hint="eastAsia" w:ascii="仿宋" w:hAnsi="仿宋" w:eastAsia="仿宋" w:cs="仿宋"/>
          <w:sz w:val="32"/>
          <w:szCs w:val="32"/>
        </w:rPr>
        <w:t>7</w:t>
      </w:r>
      <w:r>
        <w:rPr>
          <w:rFonts w:hint="eastAsia" w:ascii="仿宋" w:hAnsi="仿宋" w:eastAsia="仿宋" w:cs="仿宋"/>
          <w:spacing w:val="-12"/>
          <w:sz w:val="32"/>
          <w:szCs w:val="32"/>
        </w:rPr>
        <w:t xml:space="preserve"> 个工作日内完成论证工作。</w:t>
      </w:r>
    </w:p>
    <w:p>
      <w:pPr>
        <w:pStyle w:val="5"/>
        <w:keepNext w:val="0"/>
        <w:keepLines w:val="0"/>
        <w:pageBreakBefore w:val="0"/>
        <w:widowControl w:val="0"/>
        <w:kinsoku/>
        <w:wordWrap/>
        <w:overflowPunct/>
        <w:topLinePunct w:val="0"/>
        <w:bidi w:val="0"/>
        <w:adjustRightInd/>
        <w:snapToGrid/>
        <w:spacing w:before="9"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z w:val="32"/>
          <w:szCs w:val="32"/>
        </w:rPr>
        <w:t xml:space="preserve">第十三条 </w:t>
      </w:r>
      <w:r>
        <w:rPr>
          <w:rFonts w:hint="eastAsia" w:ascii="仿宋" w:hAnsi="仿宋" w:eastAsia="仿宋" w:cs="仿宋"/>
          <w:sz w:val="32"/>
          <w:szCs w:val="32"/>
        </w:rPr>
        <w:t>学校对“双高”建设项目开设优先通道，在资金投入、流程审批上给予优先安排。</w:t>
      </w:r>
    </w:p>
    <w:p>
      <w:pPr>
        <w:pStyle w:val="5"/>
        <w:keepNext w:val="0"/>
        <w:keepLines w:val="0"/>
        <w:pageBreakBefore w:val="0"/>
        <w:widowControl w:val="0"/>
        <w:kinsoku/>
        <w:wordWrap/>
        <w:overflowPunct/>
        <w:topLinePunct w:val="0"/>
        <w:bidi w:val="0"/>
        <w:adjustRightInd/>
        <w:snapToGrid/>
        <w:spacing w:before="3"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29"/>
          <w:sz w:val="32"/>
          <w:szCs w:val="32"/>
        </w:rPr>
        <w:t xml:space="preserve">第十四条 </w:t>
      </w:r>
      <w:r>
        <w:rPr>
          <w:rFonts w:hint="eastAsia" w:ascii="仿宋" w:hAnsi="仿宋" w:eastAsia="仿宋" w:cs="仿宋"/>
          <w:spacing w:val="-10"/>
          <w:sz w:val="32"/>
          <w:szCs w:val="32"/>
        </w:rPr>
        <w:t>学校对建设项目实行双周报、月报等信息发布制</w:t>
      </w:r>
      <w:r>
        <w:rPr>
          <w:rFonts w:hint="eastAsia" w:ascii="仿宋" w:hAnsi="仿宋" w:eastAsia="仿宋" w:cs="仿宋"/>
          <w:spacing w:val="-15"/>
          <w:w w:val="95"/>
          <w:sz w:val="32"/>
          <w:szCs w:val="32"/>
        </w:rPr>
        <w:t xml:space="preserve">度,及时公布各项目建设动态信息、阶段成果,全面监控、密切跟 </w:t>
      </w:r>
      <w:r>
        <w:rPr>
          <w:rFonts w:hint="eastAsia" w:ascii="仿宋" w:hAnsi="仿宋" w:eastAsia="仿宋" w:cs="仿宋"/>
          <w:spacing w:val="-15"/>
          <w:sz w:val="32"/>
          <w:szCs w:val="32"/>
        </w:rPr>
        <w:t>踪项目建设情况。</w:t>
      </w:r>
    </w:p>
    <w:p>
      <w:pPr>
        <w:pStyle w:val="5"/>
        <w:keepNext w:val="0"/>
        <w:keepLines w:val="0"/>
        <w:pageBreakBefore w:val="0"/>
        <w:widowControl w:val="0"/>
        <w:kinsoku/>
        <w:wordWrap/>
        <w:overflowPunct/>
        <w:topLinePunct w:val="0"/>
        <w:bidi w:val="0"/>
        <w:adjustRightInd/>
        <w:snapToGrid/>
        <w:spacing w:before="5" w:line="338"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29"/>
          <w:sz w:val="32"/>
          <w:szCs w:val="32"/>
        </w:rPr>
        <w:t xml:space="preserve">第十五条 </w:t>
      </w:r>
      <w:r>
        <w:rPr>
          <w:rFonts w:hint="eastAsia" w:ascii="仿宋" w:hAnsi="仿宋" w:eastAsia="仿宋" w:cs="仿宋"/>
          <w:spacing w:val="-9"/>
          <w:sz w:val="32"/>
          <w:szCs w:val="32"/>
        </w:rPr>
        <w:t>实行建设进度月例会推进制度，原则上每月召开</w:t>
      </w:r>
      <w:r>
        <w:rPr>
          <w:rFonts w:hint="eastAsia" w:ascii="仿宋" w:hAnsi="仿宋" w:eastAsia="仿宋" w:cs="仿宋"/>
          <w:spacing w:val="-12"/>
          <w:w w:val="95"/>
          <w:sz w:val="32"/>
          <w:szCs w:val="32"/>
        </w:rPr>
        <w:t xml:space="preserve">一次“双高”建设工作例会，及时总结项目进度，分析和解决存 </w:t>
      </w:r>
      <w:r>
        <w:rPr>
          <w:rFonts w:hint="eastAsia" w:ascii="仿宋" w:hAnsi="仿宋" w:eastAsia="仿宋" w:cs="仿宋"/>
          <w:spacing w:val="-12"/>
          <w:sz w:val="32"/>
          <w:szCs w:val="32"/>
        </w:rPr>
        <w:t>在问题，确保项目建设按预定计划顺利实施。</w:t>
      </w:r>
    </w:p>
    <w:p>
      <w:pPr>
        <w:pStyle w:val="5"/>
        <w:keepNext w:val="0"/>
        <w:keepLines w:val="0"/>
        <w:pageBreakBefore w:val="0"/>
        <w:widowControl w:val="0"/>
        <w:kinsoku/>
        <w:wordWrap/>
        <w:overflowPunct/>
        <w:topLinePunct w:val="0"/>
        <w:bidi w:val="0"/>
        <w:adjustRightInd/>
        <w:snapToGrid/>
        <w:spacing w:before="6" w:line="340"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z w:val="32"/>
          <w:szCs w:val="32"/>
        </w:rPr>
        <w:t xml:space="preserve">第十六条 </w:t>
      </w:r>
      <w:r>
        <w:rPr>
          <w:rFonts w:hint="eastAsia" w:ascii="仿宋" w:hAnsi="仿宋" w:eastAsia="仿宋" w:cs="仿宋"/>
          <w:sz w:val="32"/>
          <w:szCs w:val="32"/>
        </w:rPr>
        <w:t>“双高”建设办公室和各专项建设工作组应按学校档案管理规定实行单独的档案管理，保存相关材料。</w:t>
      </w:r>
    </w:p>
    <w:p>
      <w:pPr>
        <w:pStyle w:val="5"/>
        <w:keepNext w:val="0"/>
        <w:keepLines w:val="0"/>
        <w:pageBreakBefore w:val="0"/>
        <w:widowControl w:val="0"/>
        <w:kinsoku/>
        <w:wordWrap/>
        <w:overflowPunct/>
        <w:topLinePunct w:val="0"/>
        <w:bidi w:val="0"/>
        <w:adjustRightInd/>
        <w:snapToGrid/>
        <w:spacing w:before="12"/>
        <w:textAlignment w:val="auto"/>
        <w:outlineLvl w:val="9"/>
        <w:rPr>
          <w:rFonts w:hint="eastAsia" w:ascii="仿宋" w:hAnsi="仿宋" w:eastAsia="仿宋" w:cs="仿宋"/>
          <w:sz w:val="32"/>
          <w:szCs w:val="32"/>
        </w:rPr>
      </w:pP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left="473" w:right="0"/>
        <w:jc w:val="center"/>
        <w:textAlignment w:val="auto"/>
        <w:outlineLvl w:val="9"/>
        <w:rPr>
          <w:rFonts w:hint="eastAsia" w:ascii="仿宋" w:hAnsi="仿宋" w:eastAsia="仿宋" w:cs="仿宋"/>
          <w:kern w:val="0"/>
          <w:sz w:val="32"/>
          <w:szCs w:val="32"/>
          <w:lang w:val="zh-CN" w:bidi="zh-CN"/>
        </w:rPr>
      </w:pPr>
      <w:r>
        <w:rPr>
          <w:rFonts w:hint="eastAsia" w:ascii="仿宋" w:hAnsi="仿宋" w:eastAsia="仿宋" w:cs="仿宋"/>
          <w:kern w:val="0"/>
          <w:sz w:val="32"/>
          <w:szCs w:val="32"/>
          <w:lang w:val="zh-CN" w:bidi="zh-CN"/>
        </w:rPr>
        <w:t>第四章</w:t>
      </w:r>
      <w:r>
        <w:rPr>
          <w:rFonts w:hint="eastAsia" w:ascii="仿宋" w:hAnsi="仿宋" w:eastAsia="仿宋" w:cs="仿宋"/>
          <w:kern w:val="0"/>
          <w:sz w:val="32"/>
          <w:szCs w:val="32"/>
          <w:lang w:val="zh-CN" w:bidi="zh-CN"/>
        </w:rPr>
        <w:tab/>
      </w:r>
      <w:r>
        <w:rPr>
          <w:rFonts w:hint="eastAsia" w:ascii="仿宋" w:hAnsi="仿宋" w:eastAsia="仿宋" w:cs="仿宋"/>
          <w:kern w:val="0"/>
          <w:sz w:val="32"/>
          <w:szCs w:val="32"/>
          <w:lang w:val="zh-CN" w:bidi="zh-CN"/>
        </w:rPr>
        <w:t>资金和资产管理</w:t>
      </w:r>
    </w:p>
    <w:p>
      <w:pPr>
        <w:pStyle w:val="5"/>
        <w:keepNext w:val="0"/>
        <w:keepLines w:val="0"/>
        <w:pageBreakBefore w:val="0"/>
        <w:widowControl w:val="0"/>
        <w:kinsoku/>
        <w:wordWrap/>
        <w:overflowPunct/>
        <w:topLinePunct w:val="0"/>
        <w:autoSpaceDE/>
        <w:autoSpaceDN/>
        <w:bidi w:val="0"/>
        <w:adjustRightInd/>
        <w:snapToGrid/>
        <w:spacing w:before="54" w:line="341" w:lineRule="auto"/>
        <w:ind w:right="272" w:firstLine="643" w:firstLineChars="200"/>
        <w:jc w:val="both"/>
        <w:textAlignment w:val="auto"/>
        <w:outlineLvl w:val="9"/>
        <w:rPr>
          <w:rFonts w:hint="eastAsia" w:ascii="仿宋" w:hAnsi="仿宋" w:eastAsia="仿宋" w:cs="仿宋"/>
          <w:sz w:val="32"/>
          <w:szCs w:val="32"/>
        </w:rPr>
      </w:pPr>
      <w:r>
        <w:rPr>
          <w:rFonts w:hint="eastAsia" w:ascii="仿宋" w:hAnsi="仿宋" w:eastAsia="仿宋" w:cs="仿宋"/>
          <w:b/>
          <w:sz w:val="32"/>
          <w:szCs w:val="32"/>
        </w:rPr>
        <w:t>第十七条</w:t>
      </w:r>
      <w:r>
        <w:rPr>
          <w:rFonts w:hint="eastAsia" w:ascii="仿宋" w:hAnsi="仿宋" w:eastAsia="仿宋" w:cs="仿宋"/>
          <w:b/>
          <w:sz w:val="32"/>
          <w:szCs w:val="32"/>
        </w:rPr>
        <w:tab/>
      </w:r>
      <w:r>
        <w:rPr>
          <w:rFonts w:hint="eastAsia" w:ascii="仿宋" w:hAnsi="仿宋" w:eastAsia="仿宋" w:cs="仿宋"/>
          <w:sz w:val="32"/>
          <w:szCs w:val="32"/>
        </w:rPr>
        <w:t>建设项目的资金包括财政投入的专项资金</w:t>
      </w:r>
      <w:r>
        <w:rPr>
          <w:rFonts w:hint="eastAsia" w:ascii="仿宋" w:hAnsi="仿宋" w:eastAsia="仿宋" w:cs="仿宋"/>
          <w:spacing w:val="-120"/>
          <w:sz w:val="32"/>
          <w:szCs w:val="32"/>
        </w:rPr>
        <w:t>、</w:t>
      </w:r>
      <w:r>
        <w:rPr>
          <w:rFonts w:hint="eastAsia" w:ascii="仿宋" w:hAnsi="仿宋" w:eastAsia="仿宋" w:cs="仿宋"/>
          <w:sz w:val="32"/>
          <w:szCs w:val="32"/>
        </w:rPr>
        <w:t>行业</w:t>
      </w:r>
      <w:r>
        <w:rPr>
          <w:rFonts w:hint="eastAsia" w:ascii="仿宋" w:hAnsi="仿宋" w:eastAsia="仿宋" w:cs="仿宋"/>
          <w:spacing w:val="-7"/>
          <w:w w:val="95"/>
          <w:sz w:val="32"/>
          <w:szCs w:val="32"/>
        </w:rPr>
        <w:t>企业投入及学校自筹资金。项目专项资金实行学校统一管理、集</w:t>
      </w:r>
      <w:r>
        <w:rPr>
          <w:rFonts w:hint="eastAsia" w:ascii="仿宋" w:hAnsi="仿宋" w:eastAsia="仿宋" w:cs="仿宋"/>
          <w:spacing w:val="-12"/>
          <w:sz w:val="32"/>
          <w:szCs w:val="32"/>
        </w:rPr>
        <w:t>中核算、专款专用，学校财务处负责专项资金的管理，任何部门和个人不得擅自截留、挤占和挪用专项资金。</w:t>
      </w:r>
    </w:p>
    <w:p>
      <w:pPr>
        <w:pStyle w:val="5"/>
        <w:keepNext w:val="0"/>
        <w:keepLines w:val="0"/>
        <w:pageBreakBefore w:val="0"/>
        <w:widowControl w:val="0"/>
        <w:kinsoku/>
        <w:wordWrap/>
        <w:overflowPunct/>
        <w:topLinePunct w:val="0"/>
        <w:bidi w:val="0"/>
        <w:adjustRightInd/>
        <w:snapToGrid/>
        <w:spacing w:line="340" w:lineRule="auto"/>
        <w:ind w:left="108" w:right="271" w:firstLine="638"/>
        <w:jc w:val="both"/>
        <w:textAlignment w:val="auto"/>
        <w:outlineLvl w:val="9"/>
        <w:rPr>
          <w:rFonts w:hint="eastAsia" w:ascii="仿宋" w:hAnsi="仿宋" w:eastAsia="仿宋" w:cs="仿宋"/>
          <w:sz w:val="32"/>
          <w:szCs w:val="32"/>
        </w:rPr>
      </w:pPr>
      <w:r>
        <w:rPr>
          <w:rFonts w:hint="eastAsia" w:ascii="仿宋" w:hAnsi="仿宋" w:eastAsia="仿宋" w:cs="仿宋"/>
          <w:b/>
          <w:spacing w:val="37"/>
          <w:sz w:val="32"/>
          <w:szCs w:val="32"/>
        </w:rPr>
        <w:t xml:space="preserve">第十八条 </w:t>
      </w:r>
      <w:r>
        <w:rPr>
          <w:rFonts w:hint="eastAsia" w:ascii="仿宋" w:hAnsi="仿宋" w:eastAsia="仿宋" w:cs="仿宋"/>
          <w:spacing w:val="6"/>
          <w:sz w:val="32"/>
          <w:szCs w:val="32"/>
        </w:rPr>
        <w:t>财务处和各有关部门应根据国家相关法规政策</w:t>
      </w:r>
      <w:r>
        <w:rPr>
          <w:rFonts w:hint="eastAsia" w:ascii="仿宋" w:hAnsi="仿宋" w:eastAsia="仿宋" w:cs="仿宋"/>
          <w:spacing w:val="-6"/>
          <w:sz w:val="32"/>
          <w:szCs w:val="32"/>
        </w:rPr>
        <w:t>和《柳州职业技术学院“双高”建设项目经费管理实施细则》， 切实加强项目资金预算、审批、使用和决算管理。</w:t>
      </w:r>
    </w:p>
    <w:p>
      <w:pPr>
        <w:pStyle w:val="5"/>
        <w:keepNext w:val="0"/>
        <w:keepLines w:val="0"/>
        <w:pageBreakBefore w:val="0"/>
        <w:widowControl w:val="0"/>
        <w:kinsoku/>
        <w:wordWrap/>
        <w:overflowPunct/>
        <w:topLinePunct w:val="0"/>
        <w:bidi w:val="0"/>
        <w:adjustRightInd/>
        <w:snapToGrid/>
        <w:spacing w:line="340" w:lineRule="auto"/>
        <w:ind w:left="108" w:right="271" w:firstLine="638"/>
        <w:jc w:val="both"/>
        <w:textAlignment w:val="auto"/>
        <w:outlineLvl w:val="9"/>
        <w:rPr>
          <w:rFonts w:hint="eastAsia" w:ascii="仿宋" w:hAnsi="仿宋" w:eastAsia="仿宋" w:cs="仿宋"/>
          <w:sz w:val="32"/>
          <w:szCs w:val="32"/>
        </w:rPr>
        <w:sectPr>
          <w:footerReference r:id="rId15" w:type="default"/>
          <w:pgSz w:w="11910" w:h="16840"/>
          <w:pgMar w:top="1580" w:right="1200" w:bottom="1300" w:left="1480" w:header="0" w:footer="1115" w:gutter="0"/>
          <w:pgNumType w:fmt="decimal"/>
        </w:sectPr>
      </w:pPr>
      <w:r>
        <w:rPr>
          <w:rFonts w:hint="eastAsia" w:ascii="仿宋" w:hAnsi="仿宋" w:eastAsia="仿宋" w:cs="仿宋"/>
          <w:b/>
          <w:spacing w:val="30"/>
          <w:sz w:val="32"/>
          <w:szCs w:val="32"/>
        </w:rPr>
        <w:t xml:space="preserve">第十九条 </w:t>
      </w:r>
      <w:r>
        <w:rPr>
          <w:rFonts w:hint="eastAsia" w:ascii="仿宋" w:hAnsi="仿宋" w:eastAsia="仿宋" w:cs="仿宋"/>
          <w:spacing w:val="-8"/>
          <w:sz w:val="32"/>
          <w:szCs w:val="32"/>
        </w:rPr>
        <w:t>资产管理处依照国家相关政策法规、学校采购管</w:t>
      </w:r>
      <w:r>
        <w:rPr>
          <w:rFonts w:hint="eastAsia" w:ascii="仿宋" w:hAnsi="仿宋" w:eastAsia="仿宋" w:cs="仿宋"/>
          <w:spacing w:val="-14"/>
          <w:w w:val="95"/>
          <w:sz w:val="32"/>
          <w:szCs w:val="32"/>
        </w:rPr>
        <w:t>理等相关规定，做好仪器设备等采购工作，保障项目建设顺利开</w:t>
      </w:r>
      <w:r>
        <w:rPr>
          <w:rFonts w:hint="eastAsia" w:ascii="仿宋" w:hAnsi="仿宋" w:eastAsia="仿宋" w:cs="仿宋"/>
          <w:spacing w:val="-14"/>
          <w:sz w:val="32"/>
          <w:szCs w:val="32"/>
        </w:rPr>
        <w:t>展。</w:t>
      </w:r>
    </w:p>
    <w:p>
      <w:pPr>
        <w:keepNext w:val="0"/>
        <w:keepLines w:val="0"/>
        <w:pageBreakBefore w:val="0"/>
        <w:widowControl w:val="0"/>
        <w:tabs>
          <w:tab w:val="left" w:pos="1757"/>
          <w:tab w:val="left" w:pos="2398"/>
        </w:tabs>
        <w:kinsoku/>
        <w:wordWrap/>
        <w:overflowPunct/>
        <w:topLinePunct w:val="0"/>
        <w:autoSpaceDE w:val="0"/>
        <w:autoSpaceDN w:val="0"/>
        <w:bidi w:val="0"/>
        <w:adjustRightInd/>
        <w:snapToGrid/>
        <w:spacing w:before="0" w:after="0" w:line="240" w:lineRule="auto"/>
        <w:ind w:right="0"/>
        <w:jc w:val="both"/>
        <w:textAlignment w:val="auto"/>
        <w:outlineLvl w:val="9"/>
        <w:rPr>
          <w:rFonts w:hint="eastAsia" w:ascii="仿宋" w:hAnsi="仿宋" w:eastAsia="仿宋" w:cs="仿宋"/>
          <w:kern w:val="0"/>
          <w:sz w:val="32"/>
          <w:szCs w:val="32"/>
          <w:lang w:val="zh-CN" w:bidi="zh-CN"/>
        </w:rPr>
      </w:pPr>
    </w:p>
    <w:p>
      <w:pPr>
        <w:rPr>
          <w:rFonts w:hint="eastAsia"/>
        </w:rPr>
      </w:pPr>
      <w:bookmarkStart w:id="288" w:name="_Toc534377776"/>
    </w:p>
    <w:p>
      <w:pPr>
        <w:pStyle w:val="2"/>
        <w:spacing w:before="0" w:after="0" w:line="600" w:lineRule="exact"/>
        <w:jc w:val="center"/>
        <w:outlineLvl w:val="9"/>
        <w:rPr>
          <w:rFonts w:asciiTheme="minorEastAsia" w:hAnsiTheme="minorEastAsia" w:eastAsiaTheme="minorEastAsia"/>
          <w:color w:val="000000"/>
          <w:kern w:val="2"/>
          <w:sz w:val="36"/>
          <w:szCs w:val="36"/>
        </w:rPr>
      </w:pPr>
      <w:bookmarkStart w:id="289" w:name="_Toc30050"/>
      <w:bookmarkStart w:id="290" w:name="_Toc15326"/>
      <w:bookmarkStart w:id="291" w:name="_Toc7386"/>
      <w:r>
        <w:rPr>
          <w:rFonts w:hint="eastAsia" w:asciiTheme="minorEastAsia" w:hAnsiTheme="minorEastAsia" w:eastAsiaTheme="minorEastAsia"/>
          <w:color w:val="000000"/>
          <w:kern w:val="2"/>
          <w:sz w:val="36"/>
          <w:szCs w:val="36"/>
        </w:rPr>
        <w:t>柳州职业技术学院</w:t>
      </w:r>
      <w:bookmarkEnd w:id="288"/>
      <w:bookmarkStart w:id="292" w:name="_Toc534377777"/>
      <w:r>
        <w:rPr>
          <w:rFonts w:hint="eastAsia" w:asciiTheme="minorEastAsia" w:hAnsiTheme="minorEastAsia" w:eastAsiaTheme="minorEastAsia"/>
          <w:color w:val="000000"/>
          <w:kern w:val="2"/>
          <w:sz w:val="36"/>
          <w:szCs w:val="36"/>
        </w:rPr>
        <w:t>工作事故认定及处理办法</w:t>
      </w:r>
      <w:bookmarkEnd w:id="289"/>
      <w:bookmarkEnd w:id="290"/>
      <w:bookmarkEnd w:id="291"/>
      <w:bookmarkEnd w:id="292"/>
    </w:p>
    <w:p>
      <w:pPr>
        <w:pStyle w:val="14"/>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（柳职院字〔2017〕30号）</w:t>
      </w:r>
    </w:p>
    <w:p>
      <w:pPr>
        <w:spacing w:line="590" w:lineRule="exact"/>
        <w:ind w:firstLine="640" w:firstLineChars="200"/>
        <w:rPr>
          <w:rFonts w:ascii="仿宋_GB2312" w:eastAsia="仿宋_GB2312"/>
          <w:sz w:val="32"/>
          <w:szCs w:val="32"/>
        </w:rPr>
      </w:pPr>
    </w:p>
    <w:p>
      <w:pPr>
        <w:spacing w:line="590" w:lineRule="exact"/>
        <w:ind w:firstLine="640" w:firstLineChars="200"/>
        <w:rPr>
          <w:rFonts w:ascii="仿宋_GB2312" w:eastAsia="仿宋_GB2312"/>
          <w:sz w:val="32"/>
          <w:szCs w:val="32"/>
        </w:rPr>
      </w:pPr>
      <w:r>
        <w:rPr>
          <w:rFonts w:hint="eastAsia" w:ascii="仿宋_GB2312" w:eastAsia="仿宋_GB2312"/>
          <w:sz w:val="32"/>
          <w:szCs w:val="32"/>
        </w:rPr>
        <w:t>为了严肃学院纪律，加强管理，保证学院各项工作正常、高效地运行，全面提高工作水平和质量，避免或减少各种工作事故，并使发生的事故得到及时、妥善处理，特制定本办法。</w:t>
      </w:r>
    </w:p>
    <w:p>
      <w:pPr>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一、工作事故的界定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工作事故是指学院各类人员在工作中不执行党和国家的方针政策、学院的规章制度及决议决定，或违反操作规程，或由于主观原因没有履行好岗位职责，从而导致正常的工作秩序受到影响，或造成经济损失，或产生不良影响的事件。工作事故分为三级：Ⅰ级（重大）、Ⅱ级（较大）、Ⅲ级（一般）。具体事故内容及对应的事故级别详见附表。</w:t>
      </w:r>
    </w:p>
    <w:p>
      <w:pPr>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二、工作事故的受理机构</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工作事故根据责任人所从事的岗位工作性质及事故发生的工作领域可分为教学工作事故和行政工作事故两类，其受理由督导室负责。</w:t>
      </w:r>
    </w:p>
    <w:p>
      <w:pPr>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三、工作事故处理程序及要求</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工作事故发生后，由有关部门（责任人所属部门、主管职能部门等）或当事人、发现人、知情人及时向督导室报告。督导室接到工作事故报告后，应及时向责任人所属部门下达工作事故认定及处理表，有关部门应在规定时限内向督导室提交书面核实处理意见。事故情况较复杂或后果较严重的，督导室可要求责任人主管职能部门协助进行调查核实，有关部门及人员应当予以配合。</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2.工作事故发生后，事故责任人及其所属部门要及时妥善处理，把事故造成的不良影响或损失降低到最小程度。凡对事故故意隐瞒、知情不报、拖延不报或报告后不及时处理的，要追究相关人员和部门负责人的责任。当事人主动报告事故（或事故情节轻微，且当事人认识态度较好），并积极弥补过失，挽回损失的，可酌情减轻或免除处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3.一般事故和较大事故，由责任人所属部门核实情况，督导室提出处理建议，报分管院领导审定。重大事故由院长办公会审定。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4.从受理事故报告之日起，一般在15个工作日内将事故处理通知书发至事故责任人及其所属部门。</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5.当事人对事故认定和处理有异议的，可在接到事故处理通知书后7个工作日内向督导室提出书面复核申请；督导室在10个工作日内作出复核结论。</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当事人对复核结论仍有异议的，可在接到复核结论7个工作日内向学院教职工申诉处理委员会办公室提出书面申诉意见，教职工申诉处理委员会受理后在15个工作日内作出最终裁决。</w:t>
      </w:r>
    </w:p>
    <w:p>
      <w:pPr>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四、工作事故的处理办法</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1.事故系数的计算</w:t>
      </w:r>
    </w:p>
    <w:p>
      <w:pPr>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（1）Ⅰ级事故系数为3，Ⅱ级事故系数为2，Ⅲ级事故系数为1。</w:t>
      </w:r>
    </w:p>
    <w:p>
      <w:pPr>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（2）个人当年度内发生多次工作事故，事故系数累计计算。</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2.发生工作事故，事故系数达1者，由部门领导对事故责任者进行诫勉谈话，部门内通报批评，教学人员扣发3学时课酬的工作量补贴，行政人员（含教学部门按行政岗位标准发放工作量补贴人员，下同）扣发1.5个工作日的工作量补贴，并扣除部门和个人相应的绩效考核分值（具体扣分细则另文规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3.发生工作事故，事故系数达2（含累计，下同）者，由部门领导及督导室负责人对事故责任者进行诫勉谈话，责其写出思想认识，全院通报批评，当年度不能参加评先评优，教学人员扣发6学时课酬的工作量补贴，行政人员扣发3个工作日的工作量补贴，并扣除部门和个人相应的绩效考核分值（具体扣分细则另文规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4.发生工作事故，事故系数达3者，由部门领导及督导室负责人对事故责任者进行诫勉谈话，责其写出思想认识，全院通报批评，当年度不能参加评先评优，教学人员扣发1２学时课酬的工作量补贴，行政人员扣发６个工作日的工作量补贴，并扣除部门和个人相应的绩效考核分值（具体扣分细则另文规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5.发生工作事故，事故系数累计达6者，当年度除不能参加评先评优外, 不得晋升高一级技术职务（职称），并扣除部门和个人相应的绩效考核分值（具体扣分细则另文规定）。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6.对因事故给学院造成经济损失的，除按本办法有关条款处罚外，责任人还须作出相应的经济赔偿。</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7.事故责任人构成违纪违法的，报有关部门追究其违纪违法责任。</w:t>
      </w:r>
    </w:p>
    <w:p>
      <w:pPr>
        <w:spacing w:line="590" w:lineRule="exact"/>
        <w:ind w:firstLine="643" w:firstLineChars="200"/>
        <w:outlineLvl w:val="9"/>
        <w:rPr>
          <w:rFonts w:ascii="黑体" w:hAnsi="黑体" w:eastAsia="黑体"/>
          <w:b/>
          <w:sz w:val="32"/>
          <w:szCs w:val="32"/>
        </w:rPr>
      </w:pPr>
      <w:r>
        <w:rPr>
          <w:rFonts w:hint="eastAsia" w:ascii="黑体" w:hAnsi="黑体" w:eastAsia="黑体"/>
          <w:b/>
          <w:sz w:val="32"/>
          <w:szCs w:val="32"/>
        </w:rPr>
        <w:t>五、附则</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1．在实际工作中，如发生本办法规定之外的工作事故，由督导室视具体情况提出认定和处理建议，报分管院领导审定。</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2．本办法由学院授权督导室负责解释。</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3．本办法自公布之日起实施，原与本办法相抵触的其他有关规定同时废止。</w:t>
      </w:r>
    </w:p>
    <w:p>
      <w:pPr>
        <w:spacing w:line="590" w:lineRule="exact"/>
        <w:ind w:firstLine="640" w:firstLineChars="200"/>
        <w:rPr>
          <w:rFonts w:ascii="仿宋_GB2312" w:eastAsia="仿宋_GB2312"/>
          <w:sz w:val="32"/>
          <w:szCs w:val="32"/>
        </w:rPr>
      </w:pPr>
    </w:p>
    <w:p>
      <w:pPr>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附件：1.柳州职业技术学院工作事故内容与级别</w:t>
      </w:r>
    </w:p>
    <w:p>
      <w:pPr>
        <w:spacing w:line="590" w:lineRule="exact"/>
        <w:ind w:firstLine="1600" w:firstLineChars="500"/>
        <w:outlineLvl w:val="9"/>
        <w:rPr>
          <w:rFonts w:ascii="仿宋_GB2312" w:eastAsia="仿宋_GB2312"/>
          <w:sz w:val="32"/>
          <w:szCs w:val="32"/>
        </w:rPr>
      </w:pPr>
      <w:r>
        <w:rPr>
          <w:rFonts w:hint="eastAsia" w:ascii="仿宋_GB2312" w:eastAsia="仿宋_GB2312"/>
          <w:sz w:val="32"/>
          <w:szCs w:val="32"/>
        </w:rPr>
        <w:t>2.柳州职业技术学院工作事故认定及处理表</w:t>
      </w:r>
    </w:p>
    <w:p>
      <w:pPr>
        <w:spacing w:line="590" w:lineRule="exact"/>
        <w:ind w:firstLine="1600" w:firstLineChars="500"/>
        <w:rPr>
          <w:rFonts w:ascii="仿宋_GB2312" w:eastAsia="仿宋_GB2312"/>
          <w:sz w:val="32"/>
          <w:szCs w:val="32"/>
        </w:rPr>
      </w:pPr>
    </w:p>
    <w:p>
      <w:pPr>
        <w:widowControl/>
        <w:jc w:val="left"/>
        <w:rPr>
          <w:rFonts w:ascii="黑体" w:eastAsia="黑体"/>
          <w:sz w:val="30"/>
          <w:szCs w:val="30"/>
        </w:rPr>
      </w:pPr>
      <w:r>
        <w:rPr>
          <w:rFonts w:ascii="黑体" w:eastAsia="黑体"/>
          <w:sz w:val="30"/>
          <w:szCs w:val="30"/>
        </w:rPr>
        <w:br w:type="page"/>
      </w:r>
    </w:p>
    <w:p>
      <w:pPr>
        <w:spacing w:line="380" w:lineRule="exact"/>
        <w:jc w:val="left"/>
        <w:outlineLvl w:val="9"/>
        <w:rPr>
          <w:rFonts w:ascii="黑体" w:eastAsia="黑体"/>
          <w:sz w:val="30"/>
          <w:szCs w:val="30"/>
        </w:rPr>
      </w:pPr>
      <w:r>
        <w:rPr>
          <w:rFonts w:hint="eastAsia" w:ascii="黑体" w:eastAsia="黑体"/>
          <w:sz w:val="30"/>
          <w:szCs w:val="30"/>
        </w:rPr>
        <w:t>附件1：</w:t>
      </w:r>
    </w:p>
    <w:p>
      <w:pPr>
        <w:spacing w:line="590" w:lineRule="exact"/>
        <w:jc w:val="center"/>
        <w:outlineLvl w:val="9"/>
        <w:rPr>
          <w:b/>
          <w:color w:val="000000"/>
          <w:sz w:val="32"/>
          <w:szCs w:val="32"/>
        </w:rPr>
      </w:pPr>
      <w:r>
        <w:rPr>
          <w:rFonts w:hint="eastAsia"/>
          <w:b/>
          <w:color w:val="000000"/>
          <w:sz w:val="32"/>
          <w:szCs w:val="32"/>
        </w:rPr>
        <w:t>柳州职业技术学院工作事故内容与级别</w:t>
      </w:r>
    </w:p>
    <w:p>
      <w:pPr>
        <w:pStyle w:val="8"/>
        <w:tabs>
          <w:tab w:val="clear" w:pos="9060"/>
        </w:tabs>
        <w:spacing w:line="240" w:lineRule="exact"/>
        <w:rPr>
          <w:rFonts w:eastAsia="仿宋_GB2312"/>
        </w:rPr>
      </w:pPr>
    </w:p>
    <w:tbl>
      <w:tblPr>
        <w:tblStyle w:val="17"/>
        <w:tblW w:w="87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
      <w:tblGrid>
        <w:gridCol w:w="641"/>
        <w:gridCol w:w="727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tblHeader/>
          <w:jc w:val="center"/>
        </w:trPr>
        <w:tc>
          <w:tcPr>
            <w:tcW w:w="641" w:type="dxa"/>
            <w:vAlign w:val="center"/>
          </w:tcPr>
          <w:p>
            <w:pPr>
              <w:jc w:val="center"/>
              <w:rPr>
                <w:rFonts w:eastAsia="仿宋_GB2312"/>
                <w:sz w:val="24"/>
              </w:rPr>
            </w:pPr>
            <w:r>
              <w:rPr>
                <w:rFonts w:hint="eastAsia" w:eastAsia="仿宋_GB2312"/>
                <w:sz w:val="24"/>
              </w:rPr>
              <w:t>序号</w:t>
            </w:r>
          </w:p>
        </w:tc>
        <w:tc>
          <w:tcPr>
            <w:tcW w:w="7270" w:type="dxa"/>
            <w:vAlign w:val="center"/>
          </w:tcPr>
          <w:p>
            <w:pPr>
              <w:jc w:val="center"/>
              <w:rPr>
                <w:rFonts w:eastAsia="仿宋_GB2312"/>
                <w:sz w:val="24"/>
              </w:rPr>
            </w:pPr>
            <w:r>
              <w:rPr>
                <w:rFonts w:hint="eastAsia" w:eastAsia="仿宋_GB2312"/>
                <w:sz w:val="24"/>
              </w:rPr>
              <w:t>事故内容</w:t>
            </w:r>
          </w:p>
        </w:tc>
        <w:tc>
          <w:tcPr>
            <w:tcW w:w="851" w:type="dxa"/>
            <w:vAlign w:val="center"/>
          </w:tcPr>
          <w:p>
            <w:pPr>
              <w:jc w:val="center"/>
              <w:rPr>
                <w:rFonts w:eastAsia="仿宋_GB2312"/>
                <w:sz w:val="24"/>
              </w:rPr>
            </w:pPr>
            <w:r>
              <w:rPr>
                <w:rFonts w:hint="eastAsia" w:eastAsia="仿宋_GB2312"/>
                <w:sz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w:t>
            </w:r>
          </w:p>
        </w:tc>
        <w:tc>
          <w:tcPr>
            <w:tcW w:w="7270" w:type="dxa"/>
            <w:vAlign w:val="center"/>
          </w:tcPr>
          <w:p>
            <w:pPr>
              <w:spacing w:line="360" w:lineRule="exact"/>
              <w:rPr>
                <w:rFonts w:eastAsia="仿宋_GB2312"/>
                <w:sz w:val="24"/>
              </w:rPr>
            </w:pPr>
            <w:r>
              <w:rPr>
                <w:rFonts w:hint="eastAsia" w:eastAsia="仿宋_GB2312"/>
                <w:sz w:val="24"/>
              </w:rPr>
              <w:t>不执行学院的规章制度、决议、决定。</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w:t>
            </w:r>
          </w:p>
        </w:tc>
        <w:tc>
          <w:tcPr>
            <w:tcW w:w="7270" w:type="dxa"/>
            <w:vAlign w:val="center"/>
          </w:tcPr>
          <w:p>
            <w:pPr>
              <w:spacing w:line="360" w:lineRule="exact"/>
              <w:rPr>
                <w:rFonts w:eastAsia="仿宋_GB2312"/>
                <w:sz w:val="24"/>
              </w:rPr>
            </w:pPr>
            <w:r>
              <w:rPr>
                <w:rFonts w:hint="eastAsia" w:eastAsia="仿宋_GB2312"/>
                <w:sz w:val="24"/>
              </w:rPr>
              <w:t>（1）私盖学院公章或用学院名义、公章出具假证明。</w:t>
            </w:r>
          </w:p>
          <w:p>
            <w:pPr>
              <w:spacing w:line="360" w:lineRule="exact"/>
              <w:rPr>
                <w:rFonts w:eastAsia="仿宋_GB2312"/>
                <w:sz w:val="24"/>
              </w:rPr>
            </w:pPr>
            <w:r>
              <w:rPr>
                <w:rFonts w:hint="eastAsia" w:eastAsia="仿宋_GB2312"/>
                <w:sz w:val="24"/>
              </w:rPr>
              <w:t>（2）出具与事实不符的各类证件、证书、证明材料等：过失。</w:t>
            </w:r>
          </w:p>
          <w:p>
            <w:pPr>
              <w:spacing w:line="360" w:lineRule="exact"/>
              <w:rPr>
                <w:rFonts w:eastAsia="仿宋_GB2312"/>
                <w:sz w:val="24"/>
              </w:rPr>
            </w:pPr>
            <w:r>
              <w:rPr>
                <w:rFonts w:hint="eastAsia" w:eastAsia="仿宋_GB2312"/>
                <w:sz w:val="24"/>
              </w:rPr>
              <w:t>故意。</w:t>
            </w:r>
          </w:p>
        </w:tc>
        <w:tc>
          <w:tcPr>
            <w:tcW w:w="851" w:type="dxa"/>
            <w:vAlign w:val="center"/>
          </w:tcPr>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w:t>
            </w:r>
          </w:p>
        </w:tc>
        <w:tc>
          <w:tcPr>
            <w:tcW w:w="7270" w:type="dxa"/>
            <w:vAlign w:val="center"/>
          </w:tcPr>
          <w:p>
            <w:pPr>
              <w:spacing w:line="360" w:lineRule="exact"/>
              <w:rPr>
                <w:rFonts w:eastAsia="仿宋_GB2312"/>
                <w:sz w:val="24"/>
              </w:rPr>
            </w:pPr>
            <w:r>
              <w:rPr>
                <w:rFonts w:hint="eastAsia" w:eastAsia="仿宋_GB2312"/>
                <w:sz w:val="24"/>
              </w:rPr>
              <w:t>未经学院批准，以学院、部门名义私自办班。</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w:t>
            </w:r>
          </w:p>
        </w:tc>
        <w:tc>
          <w:tcPr>
            <w:tcW w:w="7270" w:type="dxa"/>
            <w:vAlign w:val="center"/>
          </w:tcPr>
          <w:p>
            <w:pPr>
              <w:spacing w:line="360" w:lineRule="exact"/>
              <w:rPr>
                <w:rFonts w:eastAsia="仿宋_GB2312"/>
                <w:sz w:val="24"/>
              </w:rPr>
            </w:pPr>
            <w:r>
              <w:rPr>
                <w:rFonts w:hint="eastAsia" w:eastAsia="仿宋_GB2312"/>
                <w:sz w:val="24"/>
              </w:rPr>
              <w:t>违反学院资金管理规定（当事人和部门主要负责人、分管负责人）。</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5</w:t>
            </w:r>
          </w:p>
        </w:tc>
        <w:tc>
          <w:tcPr>
            <w:tcW w:w="7270" w:type="dxa"/>
            <w:vAlign w:val="center"/>
          </w:tcPr>
          <w:p>
            <w:pPr>
              <w:spacing w:line="360" w:lineRule="exact"/>
              <w:rPr>
                <w:rFonts w:eastAsia="仿宋_GB2312"/>
                <w:sz w:val="24"/>
              </w:rPr>
            </w:pPr>
            <w:r>
              <w:rPr>
                <w:rFonts w:hint="eastAsia" w:eastAsia="仿宋_GB2312"/>
                <w:sz w:val="24"/>
              </w:rPr>
              <w:t>丢失重要的管理文件、资料（如机要文件、人事档案、学生档案、会计凭证等）。</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6</w:t>
            </w:r>
          </w:p>
        </w:tc>
        <w:tc>
          <w:tcPr>
            <w:tcW w:w="7270" w:type="dxa"/>
            <w:vAlign w:val="center"/>
          </w:tcPr>
          <w:p>
            <w:pPr>
              <w:spacing w:line="360" w:lineRule="exact"/>
              <w:rPr>
                <w:rFonts w:eastAsia="仿宋_GB2312"/>
                <w:sz w:val="24"/>
              </w:rPr>
            </w:pPr>
            <w:r>
              <w:rPr>
                <w:rFonts w:hint="eastAsia" w:eastAsia="仿宋_GB2312"/>
                <w:sz w:val="24"/>
              </w:rPr>
              <w:t>泄漏干部任免、基建工程（设备采购）招标等工作秘密，造成严重不良影响或后果。</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7</w:t>
            </w:r>
          </w:p>
        </w:tc>
        <w:tc>
          <w:tcPr>
            <w:tcW w:w="7270" w:type="dxa"/>
            <w:vAlign w:val="center"/>
          </w:tcPr>
          <w:p>
            <w:pPr>
              <w:spacing w:line="360" w:lineRule="exact"/>
              <w:rPr>
                <w:rFonts w:eastAsia="仿宋_GB2312"/>
                <w:sz w:val="24"/>
              </w:rPr>
            </w:pPr>
            <w:r>
              <w:rPr>
                <w:rFonts w:hint="eastAsia" w:eastAsia="仿宋_GB2312"/>
                <w:sz w:val="24"/>
              </w:rPr>
              <w:t>主管领导未履行好职责，致使下属工作人员发生严重工作责任事故。</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8</w:t>
            </w:r>
          </w:p>
        </w:tc>
        <w:tc>
          <w:tcPr>
            <w:tcW w:w="7270" w:type="dxa"/>
            <w:vAlign w:val="center"/>
          </w:tcPr>
          <w:p>
            <w:pPr>
              <w:spacing w:line="360" w:lineRule="exact"/>
              <w:rPr>
                <w:rFonts w:eastAsia="仿宋_GB2312"/>
                <w:sz w:val="24"/>
              </w:rPr>
            </w:pPr>
            <w:r>
              <w:rPr>
                <w:rFonts w:hint="eastAsia" w:eastAsia="仿宋_GB2312"/>
                <w:sz w:val="24"/>
              </w:rPr>
              <w:t>工作中因办事拖拉、推诿、服务态度恶劣、违反工作程序、工作质量差或行政不作为等，被有效投诉年累计2次以上（含2次）或1次并造成极恶劣影响。</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9</w:t>
            </w:r>
          </w:p>
        </w:tc>
        <w:tc>
          <w:tcPr>
            <w:tcW w:w="7270" w:type="dxa"/>
            <w:vAlign w:val="center"/>
          </w:tcPr>
          <w:p>
            <w:pPr>
              <w:spacing w:line="360" w:lineRule="exact"/>
              <w:rPr>
                <w:rFonts w:eastAsia="仿宋_GB2312"/>
                <w:sz w:val="24"/>
              </w:rPr>
            </w:pPr>
            <w:r>
              <w:rPr>
                <w:rFonts w:hint="eastAsia" w:eastAsia="仿宋_GB2312"/>
                <w:sz w:val="24"/>
              </w:rPr>
              <w:t>利用职务之便为自己或他人谋取不当利益：</w:t>
            </w:r>
          </w:p>
          <w:p>
            <w:pPr>
              <w:spacing w:line="360" w:lineRule="exact"/>
              <w:rPr>
                <w:rFonts w:eastAsia="仿宋_GB2312"/>
                <w:sz w:val="24"/>
              </w:rPr>
            </w:pPr>
            <w:r>
              <w:rPr>
                <w:rFonts w:hint="eastAsia" w:eastAsia="仿宋_GB2312"/>
                <w:sz w:val="24"/>
              </w:rPr>
              <w:t>造成较大不良影响或后果。</w:t>
            </w:r>
          </w:p>
          <w:p>
            <w:pPr>
              <w:spacing w:line="360" w:lineRule="exact"/>
              <w:rPr>
                <w:rFonts w:eastAsia="仿宋_GB2312"/>
                <w:sz w:val="24"/>
              </w:rPr>
            </w:pPr>
            <w:r>
              <w:rPr>
                <w:rFonts w:hint="eastAsia" w:eastAsia="仿宋_GB2312"/>
                <w:sz w:val="24"/>
              </w:rPr>
              <w:t>造成严重不良影响或后果。</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10</w:t>
            </w:r>
          </w:p>
        </w:tc>
        <w:tc>
          <w:tcPr>
            <w:tcW w:w="7270" w:type="dxa"/>
            <w:vAlign w:val="center"/>
          </w:tcPr>
          <w:p>
            <w:pPr>
              <w:spacing w:line="360" w:lineRule="exact"/>
              <w:rPr>
                <w:rFonts w:eastAsia="仿宋_GB2312"/>
                <w:sz w:val="24"/>
              </w:rPr>
            </w:pPr>
            <w:r>
              <w:rPr>
                <w:rFonts w:hint="eastAsia" w:eastAsia="仿宋_GB2312"/>
                <w:sz w:val="24"/>
              </w:rPr>
              <w:t>因渎职或工作出差错等，使学院教学、管理、服务工作或学院声誉：受到较大影响。</w:t>
            </w:r>
          </w:p>
          <w:p>
            <w:pPr>
              <w:spacing w:line="360" w:lineRule="exact"/>
              <w:rPr>
                <w:rFonts w:eastAsia="仿宋_GB2312"/>
                <w:sz w:val="24"/>
              </w:rPr>
            </w:pPr>
            <w:r>
              <w:rPr>
                <w:rFonts w:hint="eastAsia" w:eastAsia="仿宋_GB2312"/>
                <w:sz w:val="24"/>
              </w:rPr>
              <w:t>受到严重影响。</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11</w:t>
            </w:r>
          </w:p>
        </w:tc>
        <w:tc>
          <w:tcPr>
            <w:tcW w:w="7270" w:type="dxa"/>
            <w:vAlign w:val="center"/>
          </w:tcPr>
          <w:p>
            <w:pPr>
              <w:spacing w:line="360" w:lineRule="exact"/>
              <w:rPr>
                <w:rFonts w:eastAsia="仿宋_GB2312"/>
                <w:sz w:val="24"/>
              </w:rPr>
            </w:pPr>
            <w:r>
              <w:rPr>
                <w:rFonts w:hint="eastAsia" w:eastAsia="仿宋_GB2312"/>
                <w:sz w:val="24"/>
              </w:rPr>
              <w:t>事故发生后，知情不报、故意隐瞒、拖延不报或报告后不及时处理超过3天或超过挽救时限（当事人和相关人员、部门主要负责人）。</w:t>
            </w:r>
          </w:p>
        </w:tc>
        <w:tc>
          <w:tcPr>
            <w:tcW w:w="851" w:type="dxa"/>
            <w:vAlign w:val="center"/>
          </w:tcPr>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12</w:t>
            </w:r>
          </w:p>
        </w:tc>
        <w:tc>
          <w:tcPr>
            <w:tcW w:w="7270" w:type="dxa"/>
            <w:vAlign w:val="center"/>
          </w:tcPr>
          <w:p>
            <w:pPr>
              <w:spacing w:line="360" w:lineRule="exact"/>
              <w:rPr>
                <w:rFonts w:eastAsia="仿宋_GB2312"/>
                <w:sz w:val="24"/>
              </w:rPr>
            </w:pPr>
            <w:r>
              <w:rPr>
                <w:rFonts w:hint="eastAsia" w:eastAsia="仿宋_GB2312"/>
                <w:sz w:val="24"/>
              </w:rPr>
              <w:t>没有正当理由，不服从工作安排（含领导交办的工作任务）、不履行岗位职责或工作未按时按质按量完成，使教学（行政）工作不能按计划正常进行：造成较大不良影响或后果。</w:t>
            </w:r>
          </w:p>
          <w:p>
            <w:pPr>
              <w:spacing w:line="360" w:lineRule="exact"/>
              <w:rPr>
                <w:rFonts w:eastAsia="仿宋_GB2312"/>
                <w:sz w:val="24"/>
              </w:rPr>
            </w:pPr>
            <w:r>
              <w:rPr>
                <w:rFonts w:hint="eastAsia" w:eastAsia="仿宋_GB2312"/>
                <w:sz w:val="24"/>
              </w:rPr>
              <w:t>造成严重不良影响或后果。</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13</w:t>
            </w:r>
          </w:p>
        </w:tc>
        <w:tc>
          <w:tcPr>
            <w:tcW w:w="7270" w:type="dxa"/>
            <w:vAlign w:val="center"/>
          </w:tcPr>
          <w:p>
            <w:pPr>
              <w:spacing w:line="360" w:lineRule="exact"/>
              <w:rPr>
                <w:rFonts w:eastAsia="仿宋_GB2312"/>
                <w:sz w:val="24"/>
              </w:rPr>
            </w:pPr>
            <w:r>
              <w:rPr>
                <w:rFonts w:hint="eastAsia" w:eastAsia="仿宋_GB2312"/>
                <w:sz w:val="24"/>
              </w:rPr>
              <w:t>未履行好办事时限制，无故拖延办事时间，经学院督导部门催办后，仍未按催办时限完成，造成不良影响。</w:t>
            </w:r>
          </w:p>
        </w:tc>
        <w:tc>
          <w:tcPr>
            <w:tcW w:w="851" w:type="dxa"/>
            <w:vAlign w:val="center"/>
          </w:tcPr>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14</w:t>
            </w:r>
          </w:p>
        </w:tc>
        <w:tc>
          <w:tcPr>
            <w:tcW w:w="7270" w:type="dxa"/>
            <w:vAlign w:val="center"/>
          </w:tcPr>
          <w:p>
            <w:pPr>
              <w:spacing w:line="360" w:lineRule="exact"/>
              <w:rPr>
                <w:rFonts w:eastAsia="仿宋_GB2312"/>
                <w:sz w:val="24"/>
              </w:rPr>
            </w:pPr>
            <w:r>
              <w:rPr>
                <w:rFonts w:hint="eastAsia" w:eastAsia="仿宋_GB2312"/>
                <w:sz w:val="24"/>
              </w:rPr>
              <w:t>对上级的会议通知或通知事项不及时转达有关人员，造成工作延误或不良影响（经办人）。</w:t>
            </w:r>
          </w:p>
          <w:p>
            <w:pPr>
              <w:spacing w:line="360" w:lineRule="exact"/>
              <w:rPr>
                <w:rFonts w:eastAsia="仿宋_GB2312"/>
                <w:sz w:val="24"/>
              </w:rPr>
            </w:pPr>
            <w:r>
              <w:rPr>
                <w:rFonts w:hint="eastAsia" w:eastAsia="仿宋_GB2312"/>
                <w:sz w:val="24"/>
              </w:rPr>
              <w:t>没有正当理由，不参加学院、学院职能部门或本部门召开的相关会议（当事人）。</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15</w:t>
            </w:r>
          </w:p>
        </w:tc>
        <w:tc>
          <w:tcPr>
            <w:tcW w:w="7270" w:type="dxa"/>
            <w:vAlign w:val="center"/>
          </w:tcPr>
          <w:p>
            <w:pPr>
              <w:spacing w:line="360" w:lineRule="exact"/>
              <w:rPr>
                <w:rFonts w:eastAsia="仿宋_GB2312"/>
                <w:sz w:val="24"/>
              </w:rPr>
            </w:pPr>
            <w:r>
              <w:rPr>
                <w:rFonts w:hint="eastAsia" w:eastAsia="仿宋_GB2312"/>
                <w:sz w:val="24"/>
              </w:rPr>
              <w:t>没有正当理由，职能部门不及时批复基层单位的工作请示（经办人或负责人）：</w:t>
            </w:r>
          </w:p>
          <w:p>
            <w:pPr>
              <w:spacing w:line="360" w:lineRule="exact"/>
              <w:rPr>
                <w:rFonts w:eastAsia="仿宋_GB2312"/>
                <w:sz w:val="24"/>
              </w:rPr>
            </w:pPr>
            <w:r>
              <w:rPr>
                <w:rFonts w:hint="eastAsia" w:eastAsia="仿宋_GB2312"/>
                <w:sz w:val="24"/>
              </w:rPr>
              <w:t>（1）特急事件超过12小时处理或答复；</w:t>
            </w:r>
          </w:p>
          <w:p>
            <w:pPr>
              <w:spacing w:line="360" w:lineRule="exact"/>
              <w:rPr>
                <w:rFonts w:eastAsia="仿宋_GB2312"/>
                <w:sz w:val="24"/>
              </w:rPr>
            </w:pPr>
            <w:r>
              <w:rPr>
                <w:rFonts w:hint="eastAsia" w:eastAsia="仿宋_GB2312"/>
                <w:sz w:val="24"/>
              </w:rPr>
              <w:t>（2）需院领导审批的重要工作请示超过5个工作日报送；</w:t>
            </w:r>
          </w:p>
          <w:p>
            <w:pPr>
              <w:spacing w:line="360" w:lineRule="exact"/>
              <w:rPr>
                <w:rFonts w:eastAsia="仿宋_GB2312"/>
                <w:sz w:val="24"/>
              </w:rPr>
            </w:pPr>
            <w:r>
              <w:rPr>
                <w:rFonts w:hint="eastAsia" w:eastAsia="仿宋_GB2312"/>
                <w:sz w:val="24"/>
              </w:rPr>
              <w:t>经催办后超过3个工作日仍未报送。</w:t>
            </w:r>
          </w:p>
          <w:p>
            <w:pPr>
              <w:spacing w:line="360" w:lineRule="exact"/>
              <w:rPr>
                <w:rFonts w:eastAsia="仿宋_GB2312"/>
                <w:sz w:val="24"/>
              </w:rPr>
            </w:pPr>
            <w:r>
              <w:rPr>
                <w:rFonts w:hint="eastAsia" w:eastAsia="仿宋_GB2312"/>
                <w:sz w:val="24"/>
              </w:rPr>
              <w:t>（3）职能部门领导可审批的日常管理工作请示超过5个工作日不作处理或答复；</w:t>
            </w:r>
          </w:p>
          <w:p>
            <w:pPr>
              <w:spacing w:line="360" w:lineRule="exact"/>
              <w:rPr>
                <w:rFonts w:eastAsia="仿宋_GB2312"/>
                <w:sz w:val="24"/>
              </w:rPr>
            </w:pPr>
            <w:r>
              <w:rPr>
                <w:rFonts w:hint="eastAsia" w:eastAsia="仿宋_GB2312"/>
                <w:sz w:val="24"/>
              </w:rPr>
              <w:t>经催办后超过3个工作日仍未处理或答复。</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16</w:t>
            </w:r>
          </w:p>
        </w:tc>
        <w:tc>
          <w:tcPr>
            <w:tcW w:w="7270" w:type="dxa"/>
            <w:vAlign w:val="center"/>
          </w:tcPr>
          <w:p>
            <w:pPr>
              <w:spacing w:line="360" w:lineRule="exact"/>
              <w:rPr>
                <w:rFonts w:eastAsia="仿宋_GB2312"/>
                <w:sz w:val="24"/>
              </w:rPr>
            </w:pPr>
            <w:r>
              <w:rPr>
                <w:rFonts w:hint="eastAsia" w:eastAsia="仿宋_GB2312"/>
                <w:sz w:val="24"/>
              </w:rPr>
              <w:t>统计、上报数据与事实有较大出入或上报材料由于错漏与原意不符造成重大误解</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17</w:t>
            </w:r>
          </w:p>
        </w:tc>
        <w:tc>
          <w:tcPr>
            <w:tcW w:w="7270" w:type="dxa"/>
            <w:vAlign w:val="center"/>
          </w:tcPr>
          <w:p>
            <w:pPr>
              <w:spacing w:line="360" w:lineRule="exact"/>
              <w:rPr>
                <w:rFonts w:eastAsia="仿宋_GB2312"/>
                <w:sz w:val="24"/>
              </w:rPr>
            </w:pPr>
            <w:r>
              <w:rPr>
                <w:rFonts w:hint="eastAsia" w:eastAsia="仿宋_GB2312"/>
                <w:sz w:val="24"/>
              </w:rPr>
              <w:t>未经学院批准，利用学院的设备、房屋、场地等从事经营活动（当事人和部门主要负责人）</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18</w:t>
            </w:r>
          </w:p>
        </w:tc>
        <w:tc>
          <w:tcPr>
            <w:tcW w:w="7270" w:type="dxa"/>
            <w:vAlign w:val="center"/>
          </w:tcPr>
          <w:p>
            <w:pPr>
              <w:spacing w:line="360" w:lineRule="exact"/>
              <w:rPr>
                <w:rFonts w:eastAsia="仿宋_GB2312"/>
                <w:sz w:val="24"/>
              </w:rPr>
            </w:pPr>
            <w:r>
              <w:rPr>
                <w:rFonts w:hint="eastAsia" w:eastAsia="仿宋_GB2312"/>
                <w:sz w:val="24"/>
              </w:rPr>
              <w:t>搬弄是非、制造不和、影响团结，造成不良影响或后果。</w:t>
            </w:r>
          </w:p>
          <w:p>
            <w:pPr>
              <w:spacing w:line="360" w:lineRule="exact"/>
              <w:rPr>
                <w:rFonts w:eastAsia="仿宋_GB2312"/>
                <w:sz w:val="24"/>
              </w:rPr>
            </w:pPr>
            <w:r>
              <w:rPr>
                <w:rFonts w:hint="eastAsia" w:eastAsia="仿宋_GB2312"/>
                <w:sz w:val="24"/>
              </w:rPr>
              <w:t>在工作场所发生影响正常工作秩序的争吵。</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19</w:t>
            </w:r>
          </w:p>
        </w:tc>
        <w:tc>
          <w:tcPr>
            <w:tcW w:w="7270" w:type="dxa"/>
            <w:vAlign w:val="center"/>
          </w:tcPr>
          <w:p>
            <w:pPr>
              <w:spacing w:line="360" w:lineRule="exact"/>
              <w:rPr>
                <w:rFonts w:eastAsia="仿宋_GB2312"/>
                <w:sz w:val="24"/>
              </w:rPr>
            </w:pPr>
            <w:r>
              <w:rPr>
                <w:rFonts w:hint="eastAsia" w:eastAsia="仿宋_GB2312"/>
                <w:sz w:val="24"/>
              </w:rPr>
              <w:t>工作时间做与本职工作无关的事，如上网聊天、游戏或做其他娱乐消遣活动等。</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20</w:t>
            </w:r>
          </w:p>
        </w:tc>
        <w:tc>
          <w:tcPr>
            <w:tcW w:w="7270" w:type="dxa"/>
            <w:vAlign w:val="center"/>
          </w:tcPr>
          <w:p>
            <w:pPr>
              <w:spacing w:line="360" w:lineRule="exact"/>
              <w:rPr>
                <w:rFonts w:eastAsia="仿宋_GB2312"/>
                <w:sz w:val="24"/>
              </w:rPr>
            </w:pPr>
            <w:r>
              <w:rPr>
                <w:rFonts w:hint="eastAsia" w:eastAsia="仿宋_GB2312"/>
                <w:sz w:val="24"/>
              </w:rPr>
              <w:t>无正当理由，不按学院或职能部门规定报送重要（或急办）材料（经办人或负责人）。</w:t>
            </w:r>
          </w:p>
          <w:p>
            <w:pPr>
              <w:spacing w:line="360" w:lineRule="exact"/>
              <w:rPr>
                <w:rFonts w:eastAsia="仿宋_GB2312"/>
                <w:sz w:val="24"/>
              </w:rPr>
            </w:pPr>
            <w:r>
              <w:rPr>
                <w:rFonts w:hint="eastAsia" w:eastAsia="仿宋_GB2312"/>
                <w:sz w:val="24"/>
              </w:rPr>
              <w:t>经催办后超过规定时限仍不报送材料（经办人或负责人）。</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21</w:t>
            </w:r>
          </w:p>
        </w:tc>
        <w:tc>
          <w:tcPr>
            <w:tcW w:w="7270" w:type="dxa"/>
            <w:vAlign w:val="center"/>
          </w:tcPr>
          <w:p>
            <w:pPr>
              <w:spacing w:line="360" w:lineRule="exact"/>
              <w:rPr>
                <w:rFonts w:eastAsia="仿宋_GB2312"/>
                <w:sz w:val="24"/>
              </w:rPr>
            </w:pPr>
            <w:r>
              <w:rPr>
                <w:rFonts w:hint="eastAsia" w:eastAsia="仿宋_GB2312"/>
                <w:sz w:val="24"/>
              </w:rPr>
              <w:t>不文明办事，冷落、推诿、刁难、训斥服务对象或未履行好首问责任制，使办事人多次往返造成不良影响。</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22</w:t>
            </w:r>
          </w:p>
        </w:tc>
        <w:tc>
          <w:tcPr>
            <w:tcW w:w="7270" w:type="dxa"/>
            <w:vAlign w:val="center"/>
          </w:tcPr>
          <w:p>
            <w:pPr>
              <w:spacing w:line="360" w:lineRule="exact"/>
              <w:rPr>
                <w:rFonts w:eastAsia="仿宋_GB2312"/>
                <w:sz w:val="24"/>
              </w:rPr>
            </w:pPr>
            <w:r>
              <w:rPr>
                <w:rFonts w:hint="eastAsia" w:eastAsia="仿宋_GB2312"/>
                <w:sz w:val="24"/>
              </w:rPr>
              <w:t>因各种原因无法正常上下班，既不向部门领导汇报，又没有做好交接工作，使正在办理的事项被耽误或急需办理的事项无法进行。</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23</w:t>
            </w:r>
          </w:p>
        </w:tc>
        <w:tc>
          <w:tcPr>
            <w:tcW w:w="7270" w:type="dxa"/>
            <w:vAlign w:val="center"/>
          </w:tcPr>
          <w:p>
            <w:pPr>
              <w:spacing w:line="360" w:lineRule="exact"/>
              <w:rPr>
                <w:rFonts w:eastAsia="仿宋_GB2312"/>
                <w:sz w:val="24"/>
              </w:rPr>
            </w:pPr>
            <w:r>
              <w:rPr>
                <w:rFonts w:hint="eastAsia" w:eastAsia="仿宋_GB2312"/>
                <w:sz w:val="24"/>
              </w:rPr>
              <w:t>违反“四牌”工作制和事务公开制，经主管领导告诫后仍不纠正。</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24</w:t>
            </w:r>
          </w:p>
        </w:tc>
        <w:tc>
          <w:tcPr>
            <w:tcW w:w="7270" w:type="dxa"/>
            <w:vAlign w:val="center"/>
          </w:tcPr>
          <w:p>
            <w:pPr>
              <w:spacing w:line="360" w:lineRule="exact"/>
              <w:rPr>
                <w:rFonts w:eastAsia="仿宋_GB2312"/>
                <w:sz w:val="24"/>
              </w:rPr>
            </w:pPr>
            <w:r>
              <w:rPr>
                <w:rFonts w:hint="eastAsia" w:eastAsia="仿宋_GB2312"/>
                <w:sz w:val="24"/>
              </w:rPr>
              <w:t>不配合学院职能部门做好计生、纪检、监察、督查、审计、综合治理等工作（当事人、部门负责人）：情节较轻；</w:t>
            </w:r>
          </w:p>
          <w:p>
            <w:pPr>
              <w:spacing w:line="360" w:lineRule="exact"/>
              <w:rPr>
                <w:rFonts w:eastAsia="仿宋_GB2312"/>
                <w:sz w:val="24"/>
              </w:rPr>
            </w:pPr>
            <w:r>
              <w:rPr>
                <w:rFonts w:hint="eastAsia" w:eastAsia="仿宋_GB2312"/>
                <w:sz w:val="24"/>
              </w:rPr>
              <w:t>情节严重；</w:t>
            </w:r>
          </w:p>
          <w:p>
            <w:pPr>
              <w:spacing w:line="360" w:lineRule="exact"/>
              <w:rPr>
                <w:rFonts w:eastAsia="仿宋_GB2312"/>
                <w:sz w:val="24"/>
              </w:rPr>
            </w:pPr>
            <w:r>
              <w:rPr>
                <w:rFonts w:hint="eastAsia" w:eastAsia="仿宋_GB2312"/>
                <w:sz w:val="24"/>
              </w:rPr>
              <w:t>情节特别严重。</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25</w:t>
            </w:r>
          </w:p>
        </w:tc>
        <w:tc>
          <w:tcPr>
            <w:tcW w:w="7270" w:type="dxa"/>
            <w:vAlign w:val="center"/>
          </w:tcPr>
          <w:p>
            <w:pPr>
              <w:spacing w:line="360" w:lineRule="exact"/>
              <w:rPr>
                <w:rFonts w:eastAsia="仿宋_GB2312"/>
                <w:sz w:val="24"/>
              </w:rPr>
            </w:pPr>
            <w:r>
              <w:rPr>
                <w:rFonts w:hint="eastAsia" w:eastAsia="仿宋_GB2312"/>
                <w:sz w:val="24"/>
              </w:rPr>
              <w:t>因监管不严或工作失职引发火灾等安全事故（当事人、部门负责人）：情节较轻；</w:t>
            </w:r>
          </w:p>
          <w:p>
            <w:pPr>
              <w:spacing w:line="360" w:lineRule="exact"/>
              <w:rPr>
                <w:rFonts w:eastAsia="仿宋_GB2312"/>
                <w:sz w:val="24"/>
              </w:rPr>
            </w:pPr>
            <w:r>
              <w:rPr>
                <w:rFonts w:hint="eastAsia" w:eastAsia="仿宋_GB2312"/>
                <w:sz w:val="24"/>
              </w:rPr>
              <w:t>情节严重；</w:t>
            </w:r>
          </w:p>
          <w:p>
            <w:pPr>
              <w:spacing w:line="360" w:lineRule="exact"/>
              <w:rPr>
                <w:rFonts w:eastAsia="仿宋_GB2312"/>
                <w:sz w:val="24"/>
              </w:rPr>
            </w:pPr>
            <w:r>
              <w:rPr>
                <w:rFonts w:hint="eastAsia" w:eastAsia="仿宋_GB2312"/>
                <w:sz w:val="24"/>
              </w:rPr>
              <w:t>情节特别严重。</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26</w:t>
            </w:r>
          </w:p>
        </w:tc>
        <w:tc>
          <w:tcPr>
            <w:tcW w:w="7270" w:type="dxa"/>
            <w:vAlign w:val="center"/>
          </w:tcPr>
          <w:p>
            <w:pPr>
              <w:spacing w:line="360" w:lineRule="exact"/>
              <w:rPr>
                <w:rFonts w:eastAsia="仿宋_GB2312"/>
                <w:sz w:val="24"/>
              </w:rPr>
            </w:pPr>
            <w:r>
              <w:rPr>
                <w:rFonts w:hint="eastAsia" w:eastAsia="仿宋_GB2312"/>
                <w:sz w:val="24"/>
              </w:rPr>
              <w:t>违反工作程序或擅自离开工作岗位，造成经济、财产损失或人身伤害：</w:t>
            </w:r>
          </w:p>
          <w:p>
            <w:pPr>
              <w:spacing w:line="360" w:lineRule="exact"/>
              <w:rPr>
                <w:rFonts w:eastAsia="仿宋_GB2312"/>
                <w:sz w:val="24"/>
              </w:rPr>
            </w:pPr>
            <w:r>
              <w:rPr>
                <w:rFonts w:hint="eastAsia" w:eastAsia="仿宋_GB2312"/>
                <w:sz w:val="24"/>
              </w:rPr>
              <w:t>1000元以下（不含1000元，下同）；</w:t>
            </w:r>
          </w:p>
          <w:p>
            <w:pPr>
              <w:spacing w:line="360" w:lineRule="exact"/>
              <w:rPr>
                <w:rFonts w:eastAsia="仿宋_GB2312"/>
                <w:sz w:val="24"/>
              </w:rPr>
            </w:pPr>
            <w:r>
              <w:rPr>
                <w:rFonts w:hint="eastAsia" w:eastAsia="仿宋_GB2312"/>
                <w:sz w:val="24"/>
              </w:rPr>
              <w:t>1000—5000元（不含5000元，下同）；</w:t>
            </w:r>
          </w:p>
          <w:p>
            <w:pPr>
              <w:spacing w:line="360" w:lineRule="exact"/>
              <w:rPr>
                <w:rFonts w:eastAsia="仿宋_GB2312"/>
                <w:sz w:val="24"/>
              </w:rPr>
            </w:pPr>
            <w:r>
              <w:rPr>
                <w:rFonts w:hint="eastAsia" w:eastAsia="仿宋_GB2312"/>
                <w:sz w:val="24"/>
              </w:rPr>
              <w:t>5000元以上或人身伤害。</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27</w:t>
            </w:r>
          </w:p>
        </w:tc>
        <w:tc>
          <w:tcPr>
            <w:tcW w:w="7270" w:type="dxa"/>
            <w:vAlign w:val="center"/>
          </w:tcPr>
          <w:p>
            <w:pPr>
              <w:spacing w:line="360" w:lineRule="exact"/>
              <w:rPr>
                <w:rFonts w:eastAsia="仿宋_GB2312"/>
                <w:sz w:val="24"/>
              </w:rPr>
            </w:pPr>
            <w:r>
              <w:rPr>
                <w:rFonts w:hint="eastAsia" w:eastAsia="仿宋_GB2312"/>
                <w:sz w:val="24"/>
              </w:rPr>
              <w:t>财务工作人员失职，造成经济损失：1000元以下；</w:t>
            </w:r>
          </w:p>
          <w:p>
            <w:pPr>
              <w:spacing w:line="360" w:lineRule="exact"/>
              <w:rPr>
                <w:rFonts w:eastAsia="仿宋_GB2312"/>
                <w:sz w:val="24"/>
              </w:rPr>
            </w:pPr>
            <w:r>
              <w:rPr>
                <w:rFonts w:hint="eastAsia" w:eastAsia="仿宋_GB2312"/>
                <w:sz w:val="24"/>
              </w:rPr>
              <w:t>1000—5000；</w:t>
            </w:r>
          </w:p>
          <w:p>
            <w:pPr>
              <w:spacing w:line="360" w:lineRule="exact"/>
              <w:rPr>
                <w:rFonts w:eastAsia="仿宋_GB2312"/>
                <w:sz w:val="24"/>
              </w:rPr>
            </w:pPr>
            <w:r>
              <w:rPr>
                <w:rFonts w:hint="eastAsia" w:eastAsia="仿宋_GB2312"/>
                <w:sz w:val="24"/>
              </w:rPr>
              <w:t>5000元以上。</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28</w:t>
            </w:r>
          </w:p>
        </w:tc>
        <w:tc>
          <w:tcPr>
            <w:tcW w:w="7270" w:type="dxa"/>
            <w:vAlign w:val="center"/>
          </w:tcPr>
          <w:p>
            <w:pPr>
              <w:spacing w:line="360" w:lineRule="exact"/>
              <w:rPr>
                <w:rFonts w:eastAsia="仿宋_GB2312"/>
                <w:sz w:val="24"/>
              </w:rPr>
            </w:pPr>
            <w:r>
              <w:rPr>
                <w:rFonts w:hint="eastAsia" w:eastAsia="仿宋_GB2312"/>
                <w:sz w:val="24"/>
              </w:rPr>
              <w:t>未按设计或施工要求做好监督与管理，导致工程不达标（当事人、部门负责人）：</w:t>
            </w:r>
          </w:p>
          <w:p>
            <w:pPr>
              <w:spacing w:line="360" w:lineRule="exact"/>
              <w:rPr>
                <w:rFonts w:eastAsia="仿宋_GB2312"/>
                <w:sz w:val="24"/>
              </w:rPr>
            </w:pPr>
            <w:r>
              <w:rPr>
                <w:rFonts w:hint="eastAsia" w:eastAsia="仿宋_GB2312"/>
                <w:sz w:val="24"/>
              </w:rPr>
              <w:t>工程造价1万元—10万元的项目；</w:t>
            </w:r>
          </w:p>
          <w:p>
            <w:pPr>
              <w:spacing w:line="360" w:lineRule="exact"/>
              <w:rPr>
                <w:rFonts w:eastAsia="仿宋_GB2312"/>
                <w:sz w:val="24"/>
              </w:rPr>
            </w:pPr>
            <w:r>
              <w:rPr>
                <w:rFonts w:hint="eastAsia" w:eastAsia="仿宋_GB2312"/>
                <w:sz w:val="24"/>
              </w:rPr>
              <w:t>工程造价10万元—20万元的项目；</w:t>
            </w:r>
          </w:p>
          <w:p>
            <w:pPr>
              <w:spacing w:line="360" w:lineRule="exact"/>
              <w:rPr>
                <w:rFonts w:eastAsia="仿宋_GB2312"/>
                <w:sz w:val="24"/>
              </w:rPr>
            </w:pPr>
            <w:r>
              <w:rPr>
                <w:rFonts w:hint="eastAsia" w:eastAsia="仿宋_GB2312"/>
                <w:sz w:val="24"/>
              </w:rPr>
              <w:t>工程造价20万元以上的项目。</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29</w:t>
            </w:r>
          </w:p>
        </w:tc>
        <w:tc>
          <w:tcPr>
            <w:tcW w:w="7270" w:type="dxa"/>
            <w:vAlign w:val="center"/>
          </w:tcPr>
          <w:p>
            <w:pPr>
              <w:spacing w:line="360" w:lineRule="exact"/>
              <w:rPr>
                <w:rFonts w:eastAsia="仿宋_GB2312"/>
                <w:sz w:val="24"/>
              </w:rPr>
            </w:pPr>
            <w:r>
              <w:rPr>
                <w:rFonts w:hint="eastAsia" w:eastAsia="仿宋_GB2312"/>
                <w:sz w:val="24"/>
              </w:rPr>
              <w:t>违反规定和要求，采购不合规格或伪劣产品（仪器设备等），造成经济损失（当事人、部门负责人）：1000元以下；</w:t>
            </w:r>
          </w:p>
          <w:p>
            <w:pPr>
              <w:spacing w:line="360" w:lineRule="exact"/>
              <w:rPr>
                <w:rFonts w:eastAsia="仿宋_GB2312"/>
                <w:sz w:val="24"/>
              </w:rPr>
            </w:pPr>
            <w:r>
              <w:rPr>
                <w:rFonts w:hint="eastAsia" w:eastAsia="仿宋_GB2312"/>
                <w:sz w:val="24"/>
              </w:rPr>
              <w:t>1000—5000元；</w:t>
            </w:r>
          </w:p>
          <w:p>
            <w:pPr>
              <w:spacing w:line="360" w:lineRule="exact"/>
              <w:rPr>
                <w:rFonts w:eastAsia="仿宋_GB2312"/>
                <w:sz w:val="24"/>
              </w:rPr>
            </w:pPr>
            <w:r>
              <w:rPr>
                <w:rFonts w:hint="eastAsia" w:eastAsia="仿宋_GB2312"/>
                <w:sz w:val="24"/>
              </w:rPr>
              <w:t>5000元以上。</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30</w:t>
            </w:r>
          </w:p>
        </w:tc>
        <w:tc>
          <w:tcPr>
            <w:tcW w:w="7270" w:type="dxa"/>
            <w:vAlign w:val="center"/>
          </w:tcPr>
          <w:p>
            <w:pPr>
              <w:spacing w:line="360" w:lineRule="exact"/>
              <w:rPr>
                <w:rFonts w:eastAsia="仿宋_GB2312"/>
                <w:sz w:val="24"/>
              </w:rPr>
            </w:pPr>
            <w:r>
              <w:rPr>
                <w:rFonts w:hint="eastAsia" w:eastAsia="仿宋_GB2312"/>
                <w:sz w:val="24"/>
              </w:rPr>
              <w:t>因故意或工作失误泄露学院职务技术成果；或私自转让职务技术成果；或故意夸大技术价值，隐瞒技术风险，造成经济损失：</w:t>
            </w:r>
          </w:p>
          <w:p>
            <w:pPr>
              <w:spacing w:line="360" w:lineRule="exact"/>
              <w:rPr>
                <w:rFonts w:eastAsia="仿宋_GB2312"/>
                <w:sz w:val="24"/>
              </w:rPr>
            </w:pPr>
            <w:r>
              <w:rPr>
                <w:rFonts w:hint="eastAsia" w:eastAsia="仿宋_GB2312"/>
                <w:sz w:val="24"/>
              </w:rPr>
              <w:t>1万元以下；</w:t>
            </w:r>
          </w:p>
          <w:p>
            <w:pPr>
              <w:spacing w:line="360" w:lineRule="exact"/>
              <w:rPr>
                <w:rFonts w:eastAsia="仿宋_GB2312"/>
                <w:sz w:val="24"/>
              </w:rPr>
            </w:pPr>
            <w:r>
              <w:rPr>
                <w:rFonts w:hint="eastAsia" w:eastAsia="仿宋_GB2312"/>
                <w:sz w:val="24"/>
              </w:rPr>
              <w:t>1万元—5万元；</w:t>
            </w:r>
          </w:p>
          <w:p>
            <w:pPr>
              <w:spacing w:line="360" w:lineRule="exact"/>
              <w:rPr>
                <w:rFonts w:eastAsia="仿宋_GB2312"/>
                <w:sz w:val="24"/>
              </w:rPr>
            </w:pPr>
            <w:r>
              <w:rPr>
                <w:rFonts w:hint="eastAsia" w:eastAsia="仿宋_GB2312"/>
                <w:sz w:val="24"/>
              </w:rPr>
              <w:t>5万元以上。</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31</w:t>
            </w:r>
          </w:p>
        </w:tc>
        <w:tc>
          <w:tcPr>
            <w:tcW w:w="7270" w:type="dxa"/>
            <w:vAlign w:val="center"/>
          </w:tcPr>
          <w:p>
            <w:pPr>
              <w:spacing w:line="360" w:lineRule="exact"/>
              <w:rPr>
                <w:rFonts w:eastAsia="仿宋_GB2312"/>
                <w:sz w:val="24"/>
              </w:rPr>
            </w:pPr>
            <w:r>
              <w:rPr>
                <w:rFonts w:hint="eastAsia" w:eastAsia="仿宋_GB2312"/>
                <w:sz w:val="24"/>
              </w:rPr>
              <w:t>因管理不善，设备被盗或损坏（当事人，部门负责人）：</w:t>
            </w:r>
          </w:p>
          <w:p>
            <w:pPr>
              <w:spacing w:line="360" w:lineRule="exact"/>
              <w:rPr>
                <w:rFonts w:eastAsia="仿宋_GB2312"/>
                <w:sz w:val="24"/>
              </w:rPr>
            </w:pPr>
            <w:r>
              <w:rPr>
                <w:rFonts w:hint="eastAsia" w:eastAsia="仿宋_GB2312"/>
                <w:sz w:val="24"/>
              </w:rPr>
              <w:t>800元—1万元以下；</w:t>
            </w:r>
          </w:p>
          <w:p>
            <w:pPr>
              <w:spacing w:line="360" w:lineRule="exact"/>
              <w:rPr>
                <w:rFonts w:eastAsia="仿宋_GB2312"/>
                <w:sz w:val="24"/>
              </w:rPr>
            </w:pPr>
            <w:r>
              <w:rPr>
                <w:rFonts w:hint="eastAsia" w:eastAsia="仿宋_GB2312"/>
                <w:sz w:val="24"/>
              </w:rPr>
              <w:t>1万—2万元；</w:t>
            </w:r>
          </w:p>
          <w:p>
            <w:pPr>
              <w:spacing w:line="360" w:lineRule="exact"/>
              <w:rPr>
                <w:rFonts w:eastAsia="仿宋_GB2312"/>
                <w:sz w:val="24"/>
              </w:rPr>
            </w:pPr>
            <w:r>
              <w:rPr>
                <w:rFonts w:hint="eastAsia" w:eastAsia="仿宋_GB2312"/>
                <w:sz w:val="24"/>
              </w:rPr>
              <w:t>2万元以上。</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32</w:t>
            </w:r>
          </w:p>
        </w:tc>
        <w:tc>
          <w:tcPr>
            <w:tcW w:w="7270" w:type="dxa"/>
            <w:vAlign w:val="center"/>
          </w:tcPr>
          <w:p>
            <w:pPr>
              <w:spacing w:line="360" w:lineRule="exact"/>
              <w:rPr>
                <w:rFonts w:eastAsia="仿宋_GB2312"/>
                <w:sz w:val="24"/>
              </w:rPr>
            </w:pPr>
            <w:r>
              <w:rPr>
                <w:rFonts w:hint="eastAsia" w:eastAsia="仿宋_GB2312"/>
                <w:sz w:val="24"/>
              </w:rPr>
              <w:t>保卫人员因工作疏忽或失职导致公共设施被盗或严重损坏（当事人、部门负责人）：</w:t>
            </w:r>
          </w:p>
          <w:p>
            <w:pPr>
              <w:spacing w:line="360" w:lineRule="exact"/>
              <w:rPr>
                <w:rFonts w:eastAsia="仿宋_GB2312"/>
                <w:sz w:val="24"/>
              </w:rPr>
            </w:pPr>
            <w:r>
              <w:rPr>
                <w:rFonts w:hint="eastAsia" w:eastAsia="仿宋_GB2312"/>
                <w:sz w:val="24"/>
              </w:rPr>
              <w:t>损失1万元以下；</w:t>
            </w:r>
          </w:p>
          <w:p>
            <w:pPr>
              <w:spacing w:line="360" w:lineRule="exact"/>
              <w:rPr>
                <w:rFonts w:eastAsia="仿宋_GB2312"/>
                <w:sz w:val="24"/>
              </w:rPr>
            </w:pPr>
            <w:r>
              <w:rPr>
                <w:rFonts w:hint="eastAsia" w:eastAsia="仿宋_GB2312"/>
                <w:sz w:val="24"/>
              </w:rPr>
              <w:t>损失1万—2万元；</w:t>
            </w:r>
          </w:p>
          <w:p>
            <w:pPr>
              <w:spacing w:line="360" w:lineRule="exact"/>
              <w:rPr>
                <w:rFonts w:eastAsia="仿宋_GB2312"/>
                <w:sz w:val="24"/>
              </w:rPr>
            </w:pPr>
            <w:r>
              <w:rPr>
                <w:rFonts w:hint="eastAsia" w:eastAsia="仿宋_GB2312"/>
                <w:sz w:val="24"/>
              </w:rPr>
              <w:t>损失2万以上。</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33</w:t>
            </w:r>
          </w:p>
        </w:tc>
        <w:tc>
          <w:tcPr>
            <w:tcW w:w="7270" w:type="dxa"/>
            <w:vAlign w:val="center"/>
          </w:tcPr>
          <w:p>
            <w:pPr>
              <w:spacing w:line="360" w:lineRule="exact"/>
              <w:rPr>
                <w:rFonts w:eastAsia="仿宋_GB2312"/>
                <w:sz w:val="24"/>
              </w:rPr>
            </w:pPr>
            <w:r>
              <w:rPr>
                <w:rFonts w:hint="eastAsia" w:eastAsia="仿宋_GB2312"/>
                <w:sz w:val="24"/>
              </w:rPr>
              <w:t>对大型教学设备不能如期完成安装使用或不能让其发挥预期效益，设备值在：</w:t>
            </w:r>
          </w:p>
          <w:p>
            <w:pPr>
              <w:spacing w:line="360" w:lineRule="exact"/>
              <w:rPr>
                <w:rFonts w:eastAsia="仿宋_GB2312"/>
                <w:sz w:val="24"/>
              </w:rPr>
            </w:pPr>
            <w:r>
              <w:rPr>
                <w:rFonts w:hint="eastAsia" w:eastAsia="仿宋_GB2312"/>
                <w:sz w:val="24"/>
              </w:rPr>
              <w:t>5—20万元；</w:t>
            </w:r>
          </w:p>
          <w:p>
            <w:pPr>
              <w:spacing w:line="360" w:lineRule="exact"/>
              <w:rPr>
                <w:rFonts w:eastAsia="仿宋_GB2312"/>
                <w:sz w:val="24"/>
              </w:rPr>
            </w:pPr>
            <w:r>
              <w:rPr>
                <w:rFonts w:hint="eastAsia" w:eastAsia="仿宋_GB2312"/>
                <w:sz w:val="24"/>
              </w:rPr>
              <w:t>20—40万元；</w:t>
            </w:r>
          </w:p>
          <w:p>
            <w:pPr>
              <w:spacing w:line="360" w:lineRule="exact"/>
              <w:rPr>
                <w:rFonts w:eastAsia="仿宋_GB2312"/>
                <w:sz w:val="24"/>
              </w:rPr>
            </w:pPr>
            <w:r>
              <w:rPr>
                <w:rFonts w:hint="eastAsia" w:eastAsia="仿宋_GB2312"/>
                <w:sz w:val="24"/>
              </w:rPr>
              <w:t>40万元以上。</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34</w:t>
            </w:r>
          </w:p>
        </w:tc>
        <w:tc>
          <w:tcPr>
            <w:tcW w:w="7270" w:type="dxa"/>
            <w:vAlign w:val="center"/>
          </w:tcPr>
          <w:p>
            <w:pPr>
              <w:spacing w:line="360" w:lineRule="exact"/>
              <w:rPr>
                <w:rFonts w:eastAsia="仿宋_GB2312"/>
                <w:sz w:val="24"/>
              </w:rPr>
            </w:pPr>
            <w:r>
              <w:rPr>
                <w:rFonts w:hint="eastAsia" w:eastAsia="仿宋_GB2312"/>
                <w:sz w:val="24"/>
              </w:rPr>
              <w:t>未经批准擅自将学院的固定资产进行报废处理或变卖：情节较轻；</w:t>
            </w:r>
          </w:p>
          <w:p>
            <w:pPr>
              <w:spacing w:line="360" w:lineRule="exact"/>
              <w:rPr>
                <w:rFonts w:eastAsia="仿宋_GB2312"/>
                <w:sz w:val="24"/>
              </w:rPr>
            </w:pPr>
            <w:r>
              <w:rPr>
                <w:rFonts w:hint="eastAsia" w:eastAsia="仿宋_GB2312"/>
                <w:sz w:val="24"/>
              </w:rPr>
              <w:t>情节较重；</w:t>
            </w:r>
          </w:p>
          <w:p>
            <w:pPr>
              <w:spacing w:line="360" w:lineRule="exact"/>
              <w:rPr>
                <w:rFonts w:eastAsia="仿宋_GB2312"/>
                <w:sz w:val="24"/>
              </w:rPr>
            </w:pPr>
            <w:r>
              <w:rPr>
                <w:rFonts w:hint="eastAsia" w:eastAsia="仿宋_GB2312"/>
                <w:sz w:val="24"/>
              </w:rPr>
              <w:t>情节特别严重。</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35</w:t>
            </w:r>
          </w:p>
        </w:tc>
        <w:tc>
          <w:tcPr>
            <w:tcW w:w="7270" w:type="dxa"/>
            <w:vAlign w:val="center"/>
          </w:tcPr>
          <w:p>
            <w:pPr>
              <w:spacing w:line="360" w:lineRule="exact"/>
              <w:rPr>
                <w:rFonts w:eastAsia="仿宋_GB2312"/>
                <w:sz w:val="24"/>
              </w:rPr>
            </w:pPr>
            <w:r>
              <w:rPr>
                <w:rFonts w:hint="eastAsia" w:eastAsia="仿宋_GB2312"/>
                <w:sz w:val="24"/>
              </w:rPr>
              <w:t>决策人员违反工作程序决策失职，造成经济损失：1万元以下；</w:t>
            </w:r>
          </w:p>
          <w:p>
            <w:pPr>
              <w:spacing w:line="360" w:lineRule="exact"/>
              <w:rPr>
                <w:rFonts w:eastAsia="仿宋_GB2312"/>
                <w:sz w:val="24"/>
              </w:rPr>
            </w:pPr>
            <w:r>
              <w:rPr>
                <w:rFonts w:hint="eastAsia" w:eastAsia="仿宋_GB2312"/>
                <w:sz w:val="24"/>
              </w:rPr>
              <w:t>1万元—5万元；</w:t>
            </w:r>
          </w:p>
          <w:p>
            <w:pPr>
              <w:spacing w:line="360" w:lineRule="exact"/>
              <w:rPr>
                <w:rFonts w:eastAsia="仿宋_GB2312"/>
                <w:sz w:val="24"/>
              </w:rPr>
            </w:pPr>
            <w:r>
              <w:rPr>
                <w:rFonts w:hint="eastAsia" w:eastAsia="仿宋_GB2312"/>
                <w:sz w:val="24"/>
              </w:rPr>
              <w:t>5万元以上。</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36</w:t>
            </w:r>
          </w:p>
        </w:tc>
        <w:tc>
          <w:tcPr>
            <w:tcW w:w="7270" w:type="dxa"/>
            <w:vAlign w:val="center"/>
          </w:tcPr>
          <w:p>
            <w:pPr>
              <w:spacing w:line="360" w:lineRule="exact"/>
              <w:rPr>
                <w:rFonts w:eastAsia="仿宋_GB2312"/>
                <w:sz w:val="24"/>
              </w:rPr>
            </w:pPr>
            <w:r>
              <w:rPr>
                <w:rFonts w:hint="eastAsia" w:eastAsia="仿宋_GB2312"/>
                <w:sz w:val="24"/>
              </w:rPr>
              <w:t>无正当理由，上课迟到或提前下课（含行政人员上下班）：5-15分钟；</w:t>
            </w:r>
          </w:p>
          <w:p>
            <w:pPr>
              <w:spacing w:line="360" w:lineRule="exact"/>
              <w:rPr>
                <w:rFonts w:eastAsia="仿宋_GB2312"/>
                <w:sz w:val="24"/>
              </w:rPr>
            </w:pPr>
            <w:r>
              <w:rPr>
                <w:rFonts w:hint="eastAsia" w:eastAsia="仿宋_GB2312"/>
                <w:sz w:val="24"/>
              </w:rPr>
              <w:t>15分钟以上。</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37</w:t>
            </w:r>
          </w:p>
        </w:tc>
        <w:tc>
          <w:tcPr>
            <w:tcW w:w="7270" w:type="dxa"/>
            <w:vAlign w:val="center"/>
          </w:tcPr>
          <w:p>
            <w:pPr>
              <w:spacing w:line="360" w:lineRule="exact"/>
              <w:rPr>
                <w:rFonts w:eastAsia="仿宋_GB2312"/>
                <w:sz w:val="24"/>
              </w:rPr>
            </w:pPr>
            <w:r>
              <w:rPr>
                <w:rFonts w:hint="eastAsia" w:eastAsia="仿宋_GB2312"/>
                <w:sz w:val="24"/>
              </w:rPr>
              <w:t>（1）未经教务管理部门同意并办理有关手续，擅自变动上课时间或地点。</w:t>
            </w:r>
          </w:p>
          <w:p>
            <w:pPr>
              <w:spacing w:line="360" w:lineRule="exact"/>
              <w:rPr>
                <w:rFonts w:eastAsia="仿宋_GB2312"/>
                <w:sz w:val="24"/>
              </w:rPr>
            </w:pPr>
            <w:r>
              <w:rPr>
                <w:rFonts w:hint="eastAsia" w:eastAsia="仿宋_GB2312"/>
                <w:sz w:val="24"/>
              </w:rPr>
              <w:t>（2）未经系（部）教学主管领导同意，擅自请人代课：1—2节；</w:t>
            </w:r>
          </w:p>
          <w:p>
            <w:pPr>
              <w:spacing w:line="360" w:lineRule="exact"/>
              <w:rPr>
                <w:rFonts w:eastAsia="仿宋_GB2312"/>
                <w:sz w:val="24"/>
              </w:rPr>
            </w:pPr>
            <w:r>
              <w:rPr>
                <w:rFonts w:hint="eastAsia" w:eastAsia="仿宋_GB2312"/>
                <w:sz w:val="24"/>
              </w:rPr>
              <w:t>3节以上。</w:t>
            </w:r>
          </w:p>
          <w:p>
            <w:pPr>
              <w:spacing w:line="360" w:lineRule="exact"/>
              <w:rPr>
                <w:rFonts w:eastAsia="仿宋_GB2312"/>
                <w:sz w:val="24"/>
              </w:rPr>
            </w:pPr>
            <w:r>
              <w:rPr>
                <w:rFonts w:hint="eastAsia" w:eastAsia="仿宋_GB2312"/>
                <w:sz w:val="24"/>
              </w:rPr>
              <w:t>（3）无正当理由，擅自缺课一节（或行政人员旷工半天）。</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38</w:t>
            </w:r>
          </w:p>
        </w:tc>
        <w:tc>
          <w:tcPr>
            <w:tcW w:w="7270" w:type="dxa"/>
            <w:vAlign w:val="center"/>
          </w:tcPr>
          <w:p>
            <w:pPr>
              <w:spacing w:line="360" w:lineRule="exact"/>
              <w:rPr>
                <w:rFonts w:eastAsia="仿宋_GB2312"/>
                <w:sz w:val="24"/>
              </w:rPr>
            </w:pPr>
            <w:r>
              <w:rPr>
                <w:rFonts w:hint="eastAsia" w:eastAsia="仿宋_GB2312"/>
                <w:sz w:val="24"/>
              </w:rPr>
              <w:t>教师在教学过程中：</w:t>
            </w:r>
          </w:p>
          <w:p>
            <w:pPr>
              <w:spacing w:line="360" w:lineRule="exact"/>
              <w:rPr>
                <w:rFonts w:eastAsia="仿宋_GB2312"/>
                <w:sz w:val="24"/>
              </w:rPr>
            </w:pPr>
            <w:r>
              <w:rPr>
                <w:rFonts w:hint="eastAsia" w:eastAsia="仿宋_GB2312"/>
                <w:sz w:val="24"/>
              </w:rPr>
              <w:t>有违背党和国家大政方针、违背宪法、危害国家安全、破坏民族团结等言行；</w:t>
            </w:r>
          </w:p>
          <w:p>
            <w:pPr>
              <w:spacing w:line="360" w:lineRule="exact"/>
              <w:rPr>
                <w:rFonts w:eastAsia="仿宋_GB2312"/>
                <w:sz w:val="24"/>
              </w:rPr>
            </w:pPr>
            <w:r>
              <w:rPr>
                <w:rFonts w:hint="eastAsia" w:eastAsia="仿宋_GB2312"/>
                <w:sz w:val="24"/>
              </w:rPr>
              <w:t>有传播对社会安全稳定造成不良影响的言论；</w:t>
            </w:r>
          </w:p>
          <w:p>
            <w:pPr>
              <w:spacing w:line="360" w:lineRule="exact"/>
              <w:rPr>
                <w:rFonts w:eastAsia="仿宋_GB2312"/>
                <w:sz w:val="24"/>
              </w:rPr>
            </w:pPr>
            <w:r>
              <w:rPr>
                <w:rFonts w:hint="eastAsia" w:eastAsia="仿宋_GB2312"/>
                <w:sz w:val="24"/>
              </w:rPr>
              <w:t>歪曲党的历史、丑化党和国家领导人;</w:t>
            </w:r>
          </w:p>
          <w:p>
            <w:pPr>
              <w:spacing w:line="360" w:lineRule="exact"/>
              <w:rPr>
                <w:rFonts w:eastAsia="仿宋_GB2312"/>
                <w:sz w:val="24"/>
              </w:rPr>
            </w:pPr>
            <w:r>
              <w:rPr>
                <w:rFonts w:hint="eastAsia" w:eastAsia="仿宋_GB2312"/>
                <w:sz w:val="24"/>
              </w:rPr>
              <w:t>妄议现行党和国家的路线、方针、政策；</w:t>
            </w:r>
          </w:p>
          <w:p>
            <w:pPr>
              <w:spacing w:line="360" w:lineRule="exact"/>
              <w:rPr>
                <w:rFonts w:eastAsia="仿宋_GB2312"/>
                <w:b/>
                <w:color w:val="FF0000"/>
                <w:sz w:val="24"/>
              </w:rPr>
            </w:pPr>
            <w:r>
              <w:rPr>
                <w:rFonts w:hint="eastAsia" w:eastAsia="仿宋_GB2312"/>
                <w:sz w:val="24"/>
              </w:rPr>
              <w:t>引用未经考证的资料和各种谣传;课件内容中，引用格调低俗的图片、音视频。</w:t>
            </w:r>
          </w:p>
        </w:tc>
        <w:tc>
          <w:tcPr>
            <w:tcW w:w="851" w:type="dxa"/>
            <w:vAlign w:val="center"/>
          </w:tcPr>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39</w:t>
            </w:r>
          </w:p>
        </w:tc>
        <w:tc>
          <w:tcPr>
            <w:tcW w:w="7270" w:type="dxa"/>
            <w:vAlign w:val="center"/>
          </w:tcPr>
          <w:p>
            <w:pPr>
              <w:spacing w:line="360" w:lineRule="exact"/>
              <w:rPr>
                <w:rFonts w:eastAsia="仿宋_GB2312"/>
                <w:sz w:val="24"/>
              </w:rPr>
            </w:pPr>
            <w:r>
              <w:rPr>
                <w:rFonts w:hint="eastAsia" w:eastAsia="仿宋_GB2312"/>
                <w:sz w:val="24"/>
              </w:rPr>
              <w:t>教师上课期间：使用通讯工具；</w:t>
            </w:r>
          </w:p>
          <w:p>
            <w:pPr>
              <w:spacing w:line="360" w:lineRule="exact"/>
              <w:rPr>
                <w:rFonts w:eastAsia="仿宋_GB2312"/>
                <w:sz w:val="24"/>
              </w:rPr>
            </w:pPr>
            <w:r>
              <w:rPr>
                <w:rFonts w:hint="eastAsia" w:eastAsia="仿宋_GB2312"/>
                <w:sz w:val="24"/>
              </w:rPr>
              <w:t>辱骂或体罚学生；</w:t>
            </w:r>
          </w:p>
          <w:p>
            <w:pPr>
              <w:spacing w:line="360" w:lineRule="exact"/>
              <w:rPr>
                <w:rFonts w:eastAsia="仿宋_GB2312"/>
                <w:sz w:val="24"/>
              </w:rPr>
            </w:pPr>
            <w:r>
              <w:rPr>
                <w:rFonts w:hint="eastAsia" w:eastAsia="仿宋_GB2312"/>
                <w:sz w:val="24"/>
              </w:rPr>
              <w:t>辱骂或体罚学生造成严重影响或后果。</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40</w:t>
            </w:r>
          </w:p>
        </w:tc>
        <w:tc>
          <w:tcPr>
            <w:tcW w:w="7270" w:type="dxa"/>
            <w:vAlign w:val="center"/>
          </w:tcPr>
          <w:p>
            <w:pPr>
              <w:spacing w:line="360" w:lineRule="exact"/>
              <w:rPr>
                <w:rFonts w:eastAsia="仿宋_GB2312"/>
                <w:sz w:val="24"/>
              </w:rPr>
            </w:pPr>
            <w:r>
              <w:rPr>
                <w:rFonts w:hint="eastAsia" w:eastAsia="仿宋_GB2312"/>
                <w:sz w:val="24"/>
              </w:rPr>
              <w:t>不按教学大纲要求命题</w:t>
            </w:r>
          </w:p>
          <w:p>
            <w:pPr>
              <w:spacing w:line="360" w:lineRule="exact"/>
              <w:rPr>
                <w:rFonts w:eastAsia="仿宋_GB2312"/>
                <w:sz w:val="24"/>
              </w:rPr>
            </w:pPr>
            <w:r>
              <w:rPr>
                <w:rFonts w:hint="eastAsia" w:eastAsia="仿宋_GB2312"/>
                <w:sz w:val="24"/>
              </w:rPr>
              <w:t>试题严重出错致使考试受到严重影响。</w:t>
            </w:r>
          </w:p>
          <w:p>
            <w:pPr>
              <w:spacing w:line="360" w:lineRule="exact"/>
              <w:rPr>
                <w:rFonts w:eastAsia="仿宋_GB2312"/>
                <w:sz w:val="24"/>
              </w:rPr>
            </w:pPr>
            <w:r>
              <w:rPr>
                <w:rFonts w:hint="eastAsia" w:eastAsia="仿宋_GB2312"/>
                <w:sz w:val="24"/>
              </w:rPr>
              <w:t>试卷印刷、传送、保管或复习辅导过程中：过失泄密；</w:t>
            </w:r>
          </w:p>
          <w:p>
            <w:pPr>
              <w:spacing w:line="360" w:lineRule="exact"/>
              <w:rPr>
                <w:rFonts w:eastAsia="仿宋_GB2312"/>
                <w:sz w:val="24"/>
              </w:rPr>
            </w:pPr>
            <w:r>
              <w:rPr>
                <w:rFonts w:hint="eastAsia" w:eastAsia="仿宋_GB2312"/>
                <w:sz w:val="24"/>
              </w:rPr>
              <w:t>故意泄密。</w:t>
            </w:r>
          </w:p>
          <w:p>
            <w:pPr>
              <w:spacing w:line="360" w:lineRule="exact"/>
              <w:rPr>
                <w:rFonts w:eastAsia="仿宋_GB2312"/>
                <w:sz w:val="24"/>
              </w:rPr>
            </w:pPr>
            <w:r>
              <w:rPr>
                <w:rFonts w:hint="eastAsia" w:eastAsia="仿宋_GB2312"/>
                <w:sz w:val="24"/>
              </w:rPr>
              <w:t>试卷回收数与参加考试人数不符。</w:t>
            </w:r>
          </w:p>
          <w:p>
            <w:pPr>
              <w:spacing w:line="360" w:lineRule="exact"/>
              <w:rPr>
                <w:rFonts w:eastAsia="仿宋_GB2312"/>
                <w:sz w:val="24"/>
              </w:rPr>
            </w:pPr>
            <w:r>
              <w:rPr>
                <w:rFonts w:hint="eastAsia" w:eastAsia="仿宋_GB2312"/>
                <w:sz w:val="24"/>
              </w:rPr>
              <w:t>监考人员准备工作未按时做好，致使考试无法进行。</w:t>
            </w:r>
          </w:p>
          <w:p>
            <w:pPr>
              <w:spacing w:line="360" w:lineRule="exact"/>
              <w:rPr>
                <w:rFonts w:eastAsia="仿宋_GB2312"/>
                <w:sz w:val="24"/>
              </w:rPr>
            </w:pPr>
            <w:r>
              <w:rPr>
                <w:rFonts w:hint="eastAsia" w:eastAsia="仿宋_GB2312"/>
                <w:sz w:val="24"/>
              </w:rPr>
              <w:t>监考人员开考时未按时到位。</w:t>
            </w:r>
          </w:p>
          <w:p>
            <w:pPr>
              <w:spacing w:line="360" w:lineRule="exact"/>
              <w:rPr>
                <w:rFonts w:eastAsia="仿宋_GB2312"/>
                <w:sz w:val="24"/>
              </w:rPr>
            </w:pPr>
            <w:r>
              <w:rPr>
                <w:rFonts w:hint="eastAsia" w:eastAsia="仿宋_GB2312"/>
                <w:sz w:val="24"/>
              </w:rPr>
              <w:t>监考人员缺席。</w:t>
            </w:r>
          </w:p>
          <w:p>
            <w:pPr>
              <w:spacing w:line="360" w:lineRule="exact"/>
              <w:rPr>
                <w:rFonts w:eastAsia="仿宋_GB2312"/>
                <w:sz w:val="24"/>
              </w:rPr>
            </w:pPr>
            <w:r>
              <w:rPr>
                <w:rFonts w:hint="eastAsia" w:eastAsia="仿宋_GB2312"/>
                <w:sz w:val="24"/>
              </w:rPr>
              <w:t>私自请人代替监考。</w:t>
            </w:r>
          </w:p>
          <w:p>
            <w:pPr>
              <w:spacing w:line="360" w:lineRule="exact"/>
              <w:rPr>
                <w:rFonts w:eastAsia="仿宋_GB2312"/>
                <w:sz w:val="24"/>
              </w:rPr>
            </w:pPr>
            <w:r>
              <w:rPr>
                <w:rFonts w:hint="eastAsia" w:eastAsia="仿宋_GB2312"/>
                <w:sz w:val="24"/>
              </w:rPr>
              <w:t>监考人员在监考过程中，不认真履行监考职责：造成较大不良影响或后果。</w:t>
            </w:r>
          </w:p>
          <w:p>
            <w:pPr>
              <w:spacing w:line="360" w:lineRule="exact"/>
              <w:rPr>
                <w:rFonts w:eastAsia="仿宋_GB2312"/>
                <w:sz w:val="24"/>
              </w:rPr>
            </w:pPr>
            <w:r>
              <w:rPr>
                <w:rFonts w:hint="eastAsia" w:eastAsia="仿宋_GB2312"/>
                <w:sz w:val="24"/>
              </w:rPr>
              <w:t>造成严重不良影响或后果。</w:t>
            </w:r>
          </w:p>
          <w:p>
            <w:pPr>
              <w:spacing w:line="360" w:lineRule="exact"/>
              <w:rPr>
                <w:rFonts w:eastAsia="仿宋_GB2312"/>
                <w:sz w:val="24"/>
              </w:rPr>
            </w:pPr>
            <w:r>
              <w:rPr>
                <w:rFonts w:hint="eastAsia" w:eastAsia="仿宋_GB2312"/>
                <w:sz w:val="24"/>
              </w:rPr>
              <w:t>利用考试或其他教学活动谋取私利。</w:t>
            </w:r>
          </w:p>
        </w:tc>
        <w:tc>
          <w:tcPr>
            <w:tcW w:w="851" w:type="dxa"/>
            <w:vAlign w:val="center"/>
          </w:tcPr>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41</w:t>
            </w:r>
          </w:p>
        </w:tc>
        <w:tc>
          <w:tcPr>
            <w:tcW w:w="7270" w:type="dxa"/>
            <w:vAlign w:val="center"/>
          </w:tcPr>
          <w:p>
            <w:pPr>
              <w:spacing w:line="360" w:lineRule="exact"/>
              <w:rPr>
                <w:rFonts w:eastAsia="仿宋_GB2312"/>
                <w:sz w:val="24"/>
              </w:rPr>
            </w:pPr>
            <w:r>
              <w:rPr>
                <w:rFonts w:hint="eastAsia" w:eastAsia="仿宋_GB2312"/>
                <w:sz w:val="24"/>
              </w:rPr>
              <w:t>登记学生成绩时错漏严重。</w:t>
            </w:r>
          </w:p>
          <w:p>
            <w:pPr>
              <w:spacing w:line="360" w:lineRule="exact"/>
              <w:rPr>
                <w:rFonts w:eastAsia="仿宋_GB2312"/>
                <w:sz w:val="24"/>
              </w:rPr>
            </w:pPr>
            <w:r>
              <w:rPr>
                <w:rFonts w:hint="eastAsia" w:eastAsia="仿宋_GB2312"/>
                <w:sz w:val="24"/>
              </w:rPr>
              <w:t>故意提高或压低学生考试成绩：5—10分。</w:t>
            </w:r>
          </w:p>
          <w:p>
            <w:pPr>
              <w:spacing w:line="360" w:lineRule="exact"/>
              <w:rPr>
                <w:rFonts w:eastAsia="仿宋_GB2312"/>
                <w:sz w:val="24"/>
              </w:rPr>
            </w:pPr>
            <w:r>
              <w:rPr>
                <w:rFonts w:hint="eastAsia" w:eastAsia="仿宋_GB2312"/>
                <w:sz w:val="24"/>
              </w:rPr>
              <w:t>10分以上。</w:t>
            </w:r>
          </w:p>
          <w:p>
            <w:pPr>
              <w:spacing w:line="360" w:lineRule="exact"/>
              <w:rPr>
                <w:rFonts w:eastAsia="仿宋_GB2312"/>
                <w:sz w:val="24"/>
              </w:rPr>
            </w:pPr>
            <w:r>
              <w:rPr>
                <w:rFonts w:hint="eastAsia" w:eastAsia="仿宋_GB2312"/>
                <w:sz w:val="24"/>
              </w:rPr>
              <w:t>成绩评定后未按规定报送试卷（含毕业设计或论文）、试卷分析表及成绩登记表等。</w:t>
            </w:r>
          </w:p>
          <w:p>
            <w:pPr>
              <w:spacing w:line="360" w:lineRule="exact"/>
              <w:rPr>
                <w:rFonts w:eastAsia="仿宋_GB2312"/>
                <w:sz w:val="24"/>
              </w:rPr>
            </w:pPr>
            <w:r>
              <w:rPr>
                <w:rFonts w:hint="eastAsia" w:eastAsia="仿宋_GB2312"/>
                <w:sz w:val="24"/>
              </w:rPr>
              <w:t>因违反工作规程造成教室使用冲突，未能在接报后20分钟内妥善解决（经办人或负责人）。</w:t>
            </w:r>
          </w:p>
          <w:p>
            <w:pPr>
              <w:spacing w:line="360" w:lineRule="exact"/>
              <w:rPr>
                <w:rFonts w:eastAsia="仿宋_GB2312"/>
                <w:sz w:val="24"/>
              </w:rPr>
            </w:pPr>
            <w:r>
              <w:rPr>
                <w:rFonts w:hint="eastAsia" w:eastAsia="仿宋_GB2312"/>
                <w:sz w:val="24"/>
              </w:rPr>
              <w:t>因违反工作规程排课失误造成教师、学生迟到，或致使教师、学生空等（负责人）。</w:t>
            </w:r>
          </w:p>
        </w:tc>
        <w:tc>
          <w:tcPr>
            <w:tcW w:w="851" w:type="dxa"/>
            <w:vAlign w:val="center"/>
          </w:tcPr>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42</w:t>
            </w:r>
          </w:p>
        </w:tc>
        <w:tc>
          <w:tcPr>
            <w:tcW w:w="7270" w:type="dxa"/>
            <w:vAlign w:val="center"/>
          </w:tcPr>
          <w:p>
            <w:pPr>
              <w:spacing w:line="360" w:lineRule="exact"/>
              <w:rPr>
                <w:rFonts w:eastAsia="仿宋_GB2312"/>
                <w:sz w:val="24"/>
              </w:rPr>
            </w:pPr>
            <w:r>
              <w:rPr>
                <w:rFonts w:hint="eastAsia" w:eastAsia="仿宋_GB2312"/>
                <w:sz w:val="24"/>
              </w:rPr>
              <w:t>因工作大意，不及时发放或明显错发学生毕业证书。</w:t>
            </w:r>
          </w:p>
        </w:tc>
        <w:tc>
          <w:tcPr>
            <w:tcW w:w="851" w:type="dxa"/>
            <w:vAlign w:val="center"/>
          </w:tcPr>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43</w:t>
            </w:r>
          </w:p>
        </w:tc>
        <w:tc>
          <w:tcPr>
            <w:tcW w:w="7270" w:type="dxa"/>
            <w:vAlign w:val="center"/>
          </w:tcPr>
          <w:p>
            <w:pPr>
              <w:spacing w:line="360" w:lineRule="exact"/>
              <w:rPr>
                <w:rFonts w:eastAsia="仿宋_GB2312"/>
                <w:sz w:val="24"/>
              </w:rPr>
            </w:pPr>
            <w:r>
              <w:rPr>
                <w:rFonts w:hint="eastAsia" w:eastAsia="仿宋_GB2312"/>
                <w:sz w:val="24"/>
              </w:rPr>
              <w:t>因没有及时提交使用教材计划，致使学生在上课第2周内尚未得到教材。</w:t>
            </w:r>
          </w:p>
          <w:p>
            <w:pPr>
              <w:spacing w:line="360" w:lineRule="exact"/>
              <w:rPr>
                <w:rFonts w:eastAsia="仿宋_GB2312"/>
                <w:sz w:val="24"/>
              </w:rPr>
            </w:pPr>
            <w:r>
              <w:rPr>
                <w:rFonts w:hint="eastAsia" w:eastAsia="仿宋_GB2312"/>
                <w:sz w:val="24"/>
              </w:rPr>
              <w:t>开学第2周后，仍缺供教材15%以上。</w:t>
            </w:r>
          </w:p>
        </w:tc>
        <w:tc>
          <w:tcPr>
            <w:tcW w:w="851" w:type="dxa"/>
            <w:vAlign w:val="center"/>
          </w:tcPr>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44</w:t>
            </w:r>
          </w:p>
        </w:tc>
        <w:tc>
          <w:tcPr>
            <w:tcW w:w="7270" w:type="dxa"/>
            <w:vAlign w:val="center"/>
          </w:tcPr>
          <w:p>
            <w:pPr>
              <w:spacing w:line="360" w:lineRule="exact"/>
              <w:rPr>
                <w:rFonts w:eastAsia="仿宋_GB2312"/>
                <w:sz w:val="24"/>
              </w:rPr>
            </w:pPr>
            <w:r>
              <w:rPr>
                <w:rFonts w:hint="eastAsia" w:eastAsia="仿宋_GB2312"/>
                <w:sz w:val="24"/>
              </w:rPr>
              <w:t>已承诺完成的水电等修缮未完成，又未提早说明，致使已到场的师生无法上课。</w:t>
            </w:r>
          </w:p>
        </w:tc>
        <w:tc>
          <w:tcPr>
            <w:tcW w:w="851" w:type="dxa"/>
            <w:vAlign w:val="center"/>
          </w:tcPr>
          <w:p>
            <w:pPr>
              <w:spacing w:line="360" w:lineRule="exact"/>
              <w:jc w:val="center"/>
              <w:rPr>
                <w:rFonts w:eastAsia="仿宋_GB2312"/>
                <w:sz w:val="24"/>
              </w:rPr>
            </w:pPr>
            <w:r>
              <w:rPr>
                <w:rFonts w:hint="eastAsia" w:eastAsia="仿宋_GB2312"/>
                <w:sz w:val="24"/>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45</w:t>
            </w:r>
          </w:p>
        </w:tc>
        <w:tc>
          <w:tcPr>
            <w:tcW w:w="7270" w:type="dxa"/>
            <w:vAlign w:val="center"/>
          </w:tcPr>
          <w:p>
            <w:pPr>
              <w:spacing w:line="360" w:lineRule="exact"/>
              <w:rPr>
                <w:rFonts w:eastAsia="仿宋_GB2312"/>
                <w:sz w:val="24"/>
              </w:rPr>
            </w:pPr>
            <w:r>
              <w:rPr>
                <w:rFonts w:hint="eastAsia" w:eastAsia="仿宋_GB2312"/>
                <w:sz w:val="24"/>
              </w:rPr>
              <w:t>实践教学期间：</w:t>
            </w:r>
          </w:p>
          <w:p>
            <w:pPr>
              <w:spacing w:line="360" w:lineRule="exact"/>
              <w:rPr>
                <w:rFonts w:eastAsia="仿宋_GB2312"/>
                <w:sz w:val="24"/>
              </w:rPr>
            </w:pPr>
            <w:r>
              <w:rPr>
                <w:rFonts w:hint="eastAsia" w:eastAsia="仿宋_GB2312"/>
                <w:sz w:val="24"/>
              </w:rPr>
              <w:t>（1）教学人员擅离工作岗位。</w:t>
            </w:r>
          </w:p>
          <w:p>
            <w:pPr>
              <w:spacing w:line="360" w:lineRule="exact"/>
              <w:rPr>
                <w:rFonts w:eastAsia="仿宋_GB2312"/>
                <w:sz w:val="24"/>
              </w:rPr>
            </w:pPr>
            <w:r>
              <w:rPr>
                <w:rFonts w:hint="eastAsia" w:eastAsia="仿宋_GB2312"/>
                <w:sz w:val="24"/>
              </w:rPr>
              <w:t>（2）教学人员因错误指导、违章操作或擅离岗位等，造成公共财产损失或学生受伤：财产损失300元以上或学生必须就医；</w:t>
            </w:r>
          </w:p>
          <w:p>
            <w:pPr>
              <w:spacing w:line="360" w:lineRule="exact"/>
              <w:rPr>
                <w:rFonts w:eastAsia="仿宋_GB2312"/>
                <w:sz w:val="24"/>
              </w:rPr>
            </w:pPr>
            <w:r>
              <w:rPr>
                <w:rFonts w:hint="eastAsia" w:eastAsia="仿宋_GB2312"/>
                <w:sz w:val="24"/>
              </w:rPr>
              <w:t>财产损失1000元以上或学生必须住院。</w:t>
            </w:r>
          </w:p>
          <w:p>
            <w:pPr>
              <w:spacing w:line="360" w:lineRule="exact"/>
              <w:rPr>
                <w:rFonts w:eastAsia="仿宋_GB2312"/>
                <w:sz w:val="24"/>
              </w:rPr>
            </w:pPr>
            <w:r>
              <w:rPr>
                <w:rFonts w:hint="eastAsia" w:eastAsia="仿宋_GB2312"/>
                <w:sz w:val="24"/>
              </w:rPr>
              <w:t>（3）指导教师（带队教师）未经批准推迟到实习地或提前离开实习地。</w:t>
            </w:r>
          </w:p>
          <w:p>
            <w:pPr>
              <w:spacing w:line="360" w:lineRule="exact"/>
              <w:rPr>
                <w:rFonts w:eastAsia="仿宋_GB2312"/>
                <w:sz w:val="24"/>
              </w:rPr>
            </w:pPr>
            <w:r>
              <w:rPr>
                <w:rFonts w:hint="eastAsia" w:eastAsia="仿宋_GB2312"/>
                <w:sz w:val="24"/>
              </w:rPr>
              <w:t>（4）指导教师（实验员）对危险性物品管理或使用不当造成严重后果。</w:t>
            </w:r>
          </w:p>
          <w:p>
            <w:pPr>
              <w:spacing w:line="360" w:lineRule="exact"/>
              <w:rPr>
                <w:rFonts w:eastAsia="仿宋_GB2312"/>
                <w:sz w:val="24"/>
              </w:rPr>
            </w:pPr>
            <w:r>
              <w:rPr>
                <w:rFonts w:hint="eastAsia" w:eastAsia="仿宋_GB2312"/>
                <w:sz w:val="24"/>
              </w:rPr>
              <w:t>（5）指导实习（社会调查）教师未按教学计划要求布置学生应完成的任务，致使实习未能达到预期目的。</w:t>
            </w:r>
          </w:p>
        </w:tc>
        <w:tc>
          <w:tcPr>
            <w:tcW w:w="851" w:type="dxa"/>
            <w:vAlign w:val="center"/>
          </w:tcPr>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Ⅲ级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Ⅰ级</w:t>
            </w:r>
          </w:p>
          <w:p>
            <w:pPr>
              <w:spacing w:line="360" w:lineRule="exact"/>
              <w:jc w:val="center"/>
              <w:rPr>
                <w:rFonts w:eastAsia="仿宋_GB2312"/>
                <w:sz w:val="24"/>
              </w:rPr>
            </w:pPr>
          </w:p>
          <w:p>
            <w:pPr>
              <w:spacing w:line="360" w:lineRule="exact"/>
              <w:jc w:val="center"/>
              <w:rPr>
                <w:rFonts w:eastAsia="仿宋_GB2312"/>
                <w:sz w:val="24"/>
              </w:rPr>
            </w:pPr>
            <w:r>
              <w:rPr>
                <w:rFonts w:hint="eastAsia" w:eastAsia="仿宋_GB2312"/>
                <w:sz w:val="24"/>
              </w:rPr>
              <w:t>Ⅱ级</w:t>
            </w:r>
          </w:p>
          <w:p>
            <w:pPr>
              <w:spacing w:line="36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57" w:type="dxa"/>
            <w:bottom w:w="14" w:type="dxa"/>
            <w:right w:w="57" w:type="dxa"/>
          </w:tblCellMar>
        </w:tblPrEx>
        <w:trPr>
          <w:trHeight w:val="567" w:hRule="atLeast"/>
          <w:jc w:val="center"/>
        </w:trPr>
        <w:tc>
          <w:tcPr>
            <w:tcW w:w="641" w:type="dxa"/>
            <w:vAlign w:val="center"/>
          </w:tcPr>
          <w:p>
            <w:pPr>
              <w:spacing w:line="360" w:lineRule="exact"/>
              <w:jc w:val="center"/>
              <w:rPr>
                <w:rFonts w:eastAsia="仿宋_GB2312"/>
                <w:sz w:val="24"/>
              </w:rPr>
            </w:pPr>
            <w:r>
              <w:rPr>
                <w:rFonts w:hint="eastAsia" w:eastAsia="仿宋_GB2312"/>
                <w:sz w:val="24"/>
              </w:rPr>
              <w:t>46</w:t>
            </w:r>
          </w:p>
        </w:tc>
        <w:tc>
          <w:tcPr>
            <w:tcW w:w="7270" w:type="dxa"/>
            <w:vAlign w:val="center"/>
          </w:tcPr>
          <w:p>
            <w:pPr>
              <w:spacing w:line="360" w:lineRule="exact"/>
              <w:rPr>
                <w:rFonts w:eastAsia="仿宋_GB2312"/>
                <w:sz w:val="24"/>
              </w:rPr>
            </w:pPr>
            <w:r>
              <w:rPr>
                <w:rFonts w:hint="eastAsia" w:eastAsia="仿宋_GB2312"/>
                <w:sz w:val="24"/>
              </w:rPr>
              <w:t>其它情形</w:t>
            </w:r>
          </w:p>
        </w:tc>
        <w:tc>
          <w:tcPr>
            <w:tcW w:w="851" w:type="dxa"/>
            <w:vAlign w:val="center"/>
          </w:tcPr>
          <w:p>
            <w:pPr>
              <w:spacing w:line="360" w:lineRule="exact"/>
              <w:jc w:val="center"/>
              <w:rPr>
                <w:rFonts w:eastAsia="仿宋_GB2312"/>
                <w:sz w:val="24"/>
              </w:rPr>
            </w:pPr>
            <w:r>
              <w:rPr>
                <w:rFonts w:hint="eastAsia" w:eastAsia="仿宋_GB2312"/>
                <w:sz w:val="24"/>
              </w:rPr>
              <w:t>视情节、后果程度认定</w:t>
            </w:r>
          </w:p>
        </w:tc>
      </w:tr>
    </w:tbl>
    <w:p>
      <w:pPr>
        <w:ind w:firstLine="560"/>
        <w:rPr>
          <w:rFonts w:eastAsia="仿宋_GB2312"/>
        </w:rPr>
      </w:pPr>
    </w:p>
    <w:p>
      <w:pPr>
        <w:spacing w:line="380" w:lineRule="exact"/>
        <w:jc w:val="left"/>
        <w:outlineLvl w:val="9"/>
        <w:rPr>
          <w:rFonts w:ascii="黑体" w:eastAsia="黑体"/>
          <w:sz w:val="30"/>
          <w:szCs w:val="30"/>
        </w:rPr>
      </w:pPr>
      <w:r>
        <w:rPr>
          <w:rFonts w:eastAsia="仿宋_GB2312"/>
        </w:rPr>
        <w:br w:type="page"/>
      </w:r>
      <w:r>
        <w:rPr>
          <w:rFonts w:hint="eastAsia" w:ascii="黑体" w:eastAsia="黑体"/>
          <w:sz w:val="30"/>
          <w:szCs w:val="30"/>
        </w:rPr>
        <w:t>附件2：</w:t>
      </w:r>
    </w:p>
    <w:p>
      <w:pPr>
        <w:spacing w:line="590" w:lineRule="exact"/>
        <w:jc w:val="center"/>
        <w:outlineLvl w:val="9"/>
        <w:rPr>
          <w:b/>
          <w:color w:val="000000"/>
          <w:sz w:val="32"/>
          <w:szCs w:val="32"/>
        </w:rPr>
      </w:pPr>
      <w:r>
        <w:rPr>
          <w:rFonts w:hint="eastAsia"/>
          <w:b/>
          <w:color w:val="000000"/>
          <w:sz w:val="32"/>
          <w:szCs w:val="32"/>
        </w:rPr>
        <w:t>柳州职业技术学院工作事故认定及处理表</w:t>
      </w:r>
    </w:p>
    <w:p>
      <w:pPr>
        <w:ind w:firstLine="560"/>
        <w:rPr>
          <w:rFonts w:eastAsia="仿宋_GB2312"/>
        </w:rPr>
      </w:pPr>
      <w:r>
        <w:rPr>
          <w:rFonts w:hint="eastAsia" w:eastAsia="仿宋_GB2312"/>
        </w:rPr>
        <w:t>　　　　　　　　　　　　　　　　　　　　　编号：</w:t>
      </w:r>
    </w:p>
    <w:tbl>
      <w:tblPr>
        <w:tblStyle w:val="17"/>
        <w:tblW w:w="88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80"/>
        <w:gridCol w:w="2535"/>
        <w:gridCol w:w="2520"/>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77" w:hRule="atLeast"/>
          <w:jc w:val="center"/>
        </w:trPr>
        <w:tc>
          <w:tcPr>
            <w:tcW w:w="1980" w:type="dxa"/>
            <w:vAlign w:val="center"/>
          </w:tcPr>
          <w:p>
            <w:pPr>
              <w:spacing w:line="400" w:lineRule="exact"/>
              <w:jc w:val="center"/>
              <w:rPr>
                <w:rFonts w:eastAsia="仿宋_GB2312"/>
                <w:sz w:val="24"/>
              </w:rPr>
            </w:pPr>
            <w:r>
              <w:rPr>
                <w:rFonts w:hint="eastAsia" w:eastAsia="仿宋_GB2312"/>
                <w:sz w:val="24"/>
              </w:rPr>
              <w:t>事故责任人</w:t>
            </w:r>
          </w:p>
        </w:tc>
        <w:tc>
          <w:tcPr>
            <w:tcW w:w="2535" w:type="dxa"/>
            <w:vAlign w:val="center"/>
          </w:tcPr>
          <w:p>
            <w:pPr>
              <w:spacing w:line="400" w:lineRule="exact"/>
              <w:jc w:val="center"/>
              <w:rPr>
                <w:rFonts w:eastAsia="仿宋_GB2312"/>
                <w:sz w:val="24"/>
              </w:rPr>
            </w:pPr>
          </w:p>
        </w:tc>
        <w:tc>
          <w:tcPr>
            <w:tcW w:w="2520" w:type="dxa"/>
            <w:vAlign w:val="center"/>
          </w:tcPr>
          <w:p>
            <w:pPr>
              <w:spacing w:line="400" w:lineRule="exact"/>
              <w:jc w:val="center"/>
              <w:rPr>
                <w:rFonts w:eastAsia="仿宋_GB2312"/>
                <w:sz w:val="24"/>
              </w:rPr>
            </w:pPr>
            <w:r>
              <w:rPr>
                <w:rFonts w:hint="eastAsia" w:eastAsia="仿宋_GB2312"/>
                <w:sz w:val="24"/>
              </w:rPr>
              <w:t>事故责任人所属部门</w:t>
            </w:r>
          </w:p>
        </w:tc>
        <w:tc>
          <w:tcPr>
            <w:tcW w:w="1807" w:type="dxa"/>
            <w:vAlign w:val="center"/>
          </w:tcPr>
          <w:p>
            <w:pPr>
              <w:spacing w:line="40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68" w:hRule="atLeast"/>
          <w:jc w:val="center"/>
        </w:trPr>
        <w:tc>
          <w:tcPr>
            <w:tcW w:w="1980" w:type="dxa"/>
            <w:vAlign w:val="center"/>
          </w:tcPr>
          <w:p>
            <w:pPr>
              <w:spacing w:line="400" w:lineRule="exact"/>
              <w:jc w:val="center"/>
              <w:rPr>
                <w:rFonts w:eastAsia="仿宋_GB2312"/>
                <w:sz w:val="24"/>
              </w:rPr>
            </w:pPr>
            <w:r>
              <w:rPr>
                <w:rFonts w:hint="eastAsia" w:eastAsia="仿宋_GB2312"/>
                <w:sz w:val="24"/>
              </w:rPr>
              <w:t>事故内容摘要</w:t>
            </w:r>
          </w:p>
        </w:tc>
        <w:tc>
          <w:tcPr>
            <w:tcW w:w="6862" w:type="dxa"/>
            <w:gridSpan w:val="3"/>
            <w:vAlign w:val="center"/>
          </w:tcPr>
          <w:p>
            <w:pPr>
              <w:pStyle w:val="12"/>
              <w:tabs>
                <w:tab w:val="right" w:leader="dot" w:pos="9240"/>
              </w:tabs>
              <w:spacing w:line="400" w:lineRule="exact"/>
              <w:rPr>
                <w:rFonts w:eastAsia="仿宋_GB2312"/>
              </w:rPr>
            </w:pPr>
          </w:p>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ind w:firstLine="960" w:firstLineChars="400"/>
              <w:rPr>
                <w:rFonts w:eastAsia="仿宋_GB2312"/>
                <w:sz w:val="24"/>
              </w:rPr>
            </w:pPr>
            <w:r>
              <w:rPr>
                <w:rFonts w:hint="eastAsia" w:eastAsia="仿宋_GB2312"/>
                <w:sz w:val="24"/>
              </w:rPr>
              <w:t>督导室（公章）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410" w:hRule="atLeast"/>
          <w:jc w:val="center"/>
        </w:trPr>
        <w:tc>
          <w:tcPr>
            <w:tcW w:w="1980" w:type="dxa"/>
            <w:vAlign w:val="center"/>
          </w:tcPr>
          <w:p>
            <w:pPr>
              <w:spacing w:line="400" w:lineRule="exact"/>
              <w:jc w:val="center"/>
              <w:rPr>
                <w:rFonts w:eastAsia="仿宋_GB2312"/>
                <w:sz w:val="24"/>
              </w:rPr>
            </w:pPr>
            <w:r>
              <w:rPr>
                <w:rFonts w:hint="eastAsia" w:eastAsia="仿宋_GB2312"/>
                <w:sz w:val="24"/>
              </w:rPr>
              <w:t>所属部门对事故的核实情况（附事故责任人书面陈述）</w:t>
            </w:r>
          </w:p>
        </w:tc>
        <w:tc>
          <w:tcPr>
            <w:tcW w:w="6862" w:type="dxa"/>
            <w:gridSpan w:val="3"/>
            <w:vAlign w:val="center"/>
          </w:tcPr>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ind w:right="65"/>
              <w:jc w:val="center"/>
              <w:rPr>
                <w:rFonts w:eastAsia="仿宋_GB2312"/>
                <w:sz w:val="24"/>
              </w:rPr>
            </w:pPr>
            <w:r>
              <w:rPr>
                <w:rFonts w:hint="eastAsia" w:eastAsia="仿宋_GB2312"/>
                <w:sz w:val="24"/>
              </w:rPr>
              <w:t>　　　　部门负责人签名（公章）：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81" w:hRule="atLeast"/>
          <w:jc w:val="center"/>
        </w:trPr>
        <w:tc>
          <w:tcPr>
            <w:tcW w:w="1980" w:type="dxa"/>
            <w:vAlign w:val="center"/>
          </w:tcPr>
          <w:p>
            <w:pPr>
              <w:spacing w:line="400" w:lineRule="exact"/>
              <w:jc w:val="center"/>
              <w:rPr>
                <w:rFonts w:eastAsia="仿宋_GB2312"/>
                <w:sz w:val="24"/>
              </w:rPr>
            </w:pPr>
            <w:r>
              <w:rPr>
                <w:rFonts w:hint="eastAsia" w:eastAsia="仿宋_GB2312"/>
                <w:sz w:val="24"/>
              </w:rPr>
              <w:t>督导室处理建议</w:t>
            </w:r>
          </w:p>
        </w:tc>
        <w:tc>
          <w:tcPr>
            <w:tcW w:w="6862" w:type="dxa"/>
            <w:gridSpan w:val="3"/>
            <w:vAlign w:val="center"/>
          </w:tcPr>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rPr>
                <w:rFonts w:eastAsia="仿宋_GB2312"/>
                <w:sz w:val="24"/>
              </w:rPr>
            </w:pPr>
          </w:p>
          <w:p>
            <w:pPr>
              <w:spacing w:line="400" w:lineRule="exact"/>
              <w:ind w:right="65"/>
              <w:jc w:val="center"/>
              <w:rPr>
                <w:rFonts w:eastAsia="仿宋_GB2312"/>
                <w:sz w:val="24"/>
              </w:rPr>
            </w:pPr>
            <w:r>
              <w:rPr>
                <w:rFonts w:hint="eastAsia" w:eastAsia="仿宋_GB2312"/>
                <w:sz w:val="24"/>
              </w:rPr>
              <w:t>　     督导室主任签名：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399" w:hRule="atLeast"/>
          <w:jc w:val="center"/>
        </w:trPr>
        <w:tc>
          <w:tcPr>
            <w:tcW w:w="1980" w:type="dxa"/>
            <w:vAlign w:val="center"/>
          </w:tcPr>
          <w:p>
            <w:pPr>
              <w:spacing w:line="400" w:lineRule="exact"/>
              <w:jc w:val="center"/>
              <w:rPr>
                <w:rFonts w:eastAsia="仿宋_GB2312"/>
                <w:sz w:val="24"/>
              </w:rPr>
            </w:pPr>
            <w:r>
              <w:rPr>
                <w:rFonts w:hint="eastAsia" w:eastAsia="仿宋_GB2312"/>
                <w:sz w:val="24"/>
              </w:rPr>
              <w:t>分管院领导（或院长办公会）审定</w:t>
            </w:r>
          </w:p>
          <w:p>
            <w:pPr>
              <w:spacing w:line="400" w:lineRule="exact"/>
              <w:jc w:val="center"/>
              <w:rPr>
                <w:rFonts w:eastAsia="仿宋_GB2312"/>
                <w:sz w:val="24"/>
              </w:rPr>
            </w:pPr>
            <w:r>
              <w:rPr>
                <w:rFonts w:hint="eastAsia" w:eastAsia="仿宋_GB2312"/>
                <w:sz w:val="24"/>
              </w:rPr>
              <w:t>意见</w:t>
            </w:r>
          </w:p>
        </w:tc>
        <w:tc>
          <w:tcPr>
            <w:tcW w:w="6862" w:type="dxa"/>
            <w:gridSpan w:val="3"/>
            <w:vAlign w:val="center"/>
          </w:tcPr>
          <w:p>
            <w:pPr>
              <w:spacing w:line="400" w:lineRule="exact"/>
              <w:rPr>
                <w:rFonts w:eastAsia="仿宋_GB2312"/>
                <w:sz w:val="24"/>
              </w:rPr>
            </w:pPr>
          </w:p>
          <w:p>
            <w:pPr>
              <w:spacing w:line="400" w:lineRule="exact"/>
              <w:rPr>
                <w:rFonts w:eastAsia="仿宋_GB2312"/>
                <w:sz w:val="24"/>
              </w:rPr>
            </w:pPr>
          </w:p>
          <w:p>
            <w:pPr>
              <w:spacing w:line="400" w:lineRule="exact"/>
              <w:jc w:val="center"/>
              <w:rPr>
                <w:rFonts w:eastAsia="仿宋_GB2312"/>
                <w:sz w:val="24"/>
              </w:rPr>
            </w:pPr>
            <w:r>
              <w:rPr>
                <w:rFonts w:hint="eastAsia" w:eastAsia="仿宋_GB2312"/>
                <w:sz w:val="24"/>
              </w:rPr>
              <w:t xml:space="preserve">      分管院领导签名：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60" w:hRule="atLeast"/>
          <w:jc w:val="center"/>
        </w:trPr>
        <w:tc>
          <w:tcPr>
            <w:tcW w:w="1980" w:type="dxa"/>
            <w:vAlign w:val="center"/>
          </w:tcPr>
          <w:p>
            <w:pPr>
              <w:spacing w:line="400" w:lineRule="exact"/>
              <w:jc w:val="center"/>
              <w:rPr>
                <w:rFonts w:eastAsia="仿宋_GB2312"/>
                <w:sz w:val="24"/>
              </w:rPr>
            </w:pPr>
            <w:r>
              <w:rPr>
                <w:rFonts w:hint="eastAsia" w:eastAsia="仿宋_GB2312"/>
                <w:sz w:val="24"/>
              </w:rPr>
              <w:t>执行情况</w:t>
            </w:r>
          </w:p>
        </w:tc>
        <w:tc>
          <w:tcPr>
            <w:tcW w:w="6862" w:type="dxa"/>
            <w:gridSpan w:val="3"/>
            <w:vAlign w:val="center"/>
          </w:tcPr>
          <w:p>
            <w:pPr>
              <w:spacing w:line="400" w:lineRule="exact"/>
              <w:rPr>
                <w:rFonts w:eastAsia="仿宋_GB2312"/>
                <w:sz w:val="24"/>
              </w:rPr>
            </w:pPr>
          </w:p>
          <w:p>
            <w:pPr>
              <w:spacing w:line="400" w:lineRule="exact"/>
              <w:rPr>
                <w:rFonts w:eastAsia="仿宋_GB2312"/>
                <w:sz w:val="24"/>
              </w:rPr>
            </w:pPr>
          </w:p>
          <w:p>
            <w:pPr>
              <w:spacing w:line="400" w:lineRule="exact"/>
              <w:ind w:right="65"/>
              <w:jc w:val="center"/>
              <w:rPr>
                <w:rFonts w:eastAsia="仿宋_GB2312"/>
                <w:sz w:val="24"/>
              </w:rPr>
            </w:pPr>
            <w:r>
              <w:rPr>
                <w:rFonts w:hint="eastAsia" w:eastAsia="仿宋_GB2312"/>
                <w:sz w:val="24"/>
              </w:rPr>
              <w:t>　　督导室经办责任人签名：     　　   年   月   日</w:t>
            </w:r>
          </w:p>
        </w:tc>
      </w:tr>
    </w:tbl>
    <w:p>
      <w:pPr>
        <w:rPr>
          <w:rFonts w:hint="eastAsia" w:eastAsiaTheme="minorEastAsia"/>
          <w:sz w:val="32"/>
          <w:szCs w:val="32"/>
          <w:lang w:eastAsia="zh-CN"/>
        </w:rPr>
        <w:sectPr>
          <w:pgSz w:w="11906" w:h="16838"/>
          <w:pgMar w:top="1440" w:right="1800" w:bottom="1440" w:left="1800" w:header="851" w:footer="992" w:gutter="0"/>
          <w:pgNumType w:fmt="decimal"/>
          <w:cols w:space="425" w:num="1"/>
          <w:docGrid w:type="lines" w:linePitch="312" w:charSpace="0"/>
        </w:sectPr>
      </w:pPr>
    </w:p>
    <w:p>
      <w:pPr>
        <w:spacing w:line="596" w:lineRule="exact"/>
        <w:jc w:val="center"/>
        <w:outlineLvl w:val="9"/>
        <w:rPr>
          <w:rFonts w:hint="eastAsia"/>
          <w:b/>
          <w:color w:val="000000"/>
          <w:sz w:val="36"/>
          <w:szCs w:val="36"/>
        </w:rPr>
      </w:pPr>
      <w:bookmarkStart w:id="293" w:name="_Toc16082"/>
      <w:bookmarkStart w:id="294" w:name="_Toc32230"/>
      <w:bookmarkStart w:id="295" w:name="_Toc9934"/>
      <w:bookmarkStart w:id="296" w:name="_Toc10459"/>
      <w:r>
        <w:rPr>
          <w:rFonts w:hint="eastAsia"/>
          <w:b/>
          <w:color w:val="000000"/>
          <w:sz w:val="36"/>
          <w:szCs w:val="36"/>
        </w:rPr>
        <w:t>柳州职业技术学院</w:t>
      </w:r>
      <w:bookmarkEnd w:id="293"/>
      <w:bookmarkStart w:id="297" w:name="_Toc4741"/>
      <w:r>
        <w:rPr>
          <w:rFonts w:hint="eastAsia"/>
          <w:b/>
          <w:color w:val="000000"/>
          <w:sz w:val="36"/>
          <w:szCs w:val="36"/>
        </w:rPr>
        <w:t>高技能人才培训基地建设项目实施管理办法</w:t>
      </w:r>
      <w:bookmarkEnd w:id="294"/>
      <w:bookmarkEnd w:id="295"/>
      <w:bookmarkEnd w:id="296"/>
      <w:bookmarkEnd w:id="297"/>
    </w:p>
    <w:p>
      <w:pPr>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b w:val="0"/>
          <w:bCs/>
          <w:sz w:val="32"/>
          <w:szCs w:val="32"/>
        </w:rPr>
        <w:t>柳职院字〔2019〕7 号</w:t>
      </w:r>
      <w:r>
        <w:rPr>
          <w:rFonts w:hint="eastAsia"/>
          <w:b w:val="0"/>
          <w:bCs/>
          <w:color w:val="000000"/>
          <w:sz w:val="36"/>
          <w:szCs w:val="36"/>
          <w:lang w:eastAsia="zh-CN"/>
        </w:rPr>
        <w:t>）</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b w:val="0"/>
          <w:bCs/>
          <w:color w:val="000000"/>
          <w:sz w:val="36"/>
          <w:szCs w:val="36"/>
          <w:lang w:eastAsia="zh-CN"/>
        </w:rPr>
      </w:pP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第一章  总  则</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w:t>
      </w:r>
      <w:r>
        <w:rPr>
          <w:rFonts w:hint="eastAsia" w:ascii="仿宋_GB2312" w:hAnsi="宋体" w:eastAsia="仿宋_GB2312"/>
          <w:sz w:val="32"/>
          <w:szCs w:val="32"/>
        </w:rPr>
        <w:t>规范和加强</w:t>
      </w:r>
      <w:r>
        <w:rPr>
          <w:rFonts w:hint="eastAsia" w:ascii="仿宋_GB2312" w:eastAsia="仿宋_GB2312"/>
          <w:sz w:val="32"/>
          <w:szCs w:val="32"/>
        </w:rPr>
        <w:t>学校高技能人才培训基地建设项目（以下简称高技能培训基地建设项目）的顺利实施，实现预期建设目标，按照有关法规、政策和文件的精神，</w:t>
      </w:r>
      <w:r>
        <w:rPr>
          <w:rFonts w:hint="eastAsia" w:ascii="仿宋_GB2312" w:hAnsi="宋体" w:eastAsia="仿宋_GB2312"/>
          <w:sz w:val="32"/>
          <w:szCs w:val="32"/>
        </w:rPr>
        <w:t>结合学校</w:t>
      </w:r>
      <w:r>
        <w:rPr>
          <w:rFonts w:hint="eastAsia" w:ascii="仿宋_GB2312" w:eastAsia="仿宋_GB2312"/>
          <w:sz w:val="32"/>
          <w:szCs w:val="32"/>
        </w:rPr>
        <w:t>高技能培训基地</w:t>
      </w:r>
      <w:r>
        <w:rPr>
          <w:rFonts w:hint="eastAsia" w:ascii="仿宋_GB2312" w:hAnsi="宋体" w:eastAsia="仿宋_GB2312"/>
          <w:sz w:val="32"/>
          <w:szCs w:val="32"/>
        </w:rPr>
        <w:t>建设项目的实际情况，特</w:t>
      </w:r>
      <w:r>
        <w:rPr>
          <w:rFonts w:hint="eastAsia" w:ascii="仿宋_GB2312" w:eastAsia="仿宋_GB2312"/>
          <w:sz w:val="32"/>
          <w:szCs w:val="32"/>
        </w:rPr>
        <w:t>制定本管理办法。</w:t>
      </w:r>
    </w:p>
    <w:p>
      <w:pPr>
        <w:spacing w:line="596" w:lineRule="exact"/>
        <w:ind w:firstLine="551"/>
        <w:rPr>
          <w:rFonts w:hint="eastAsia" w:ascii="仿宋_GB2312" w:hAnsi="宋体"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w:t>
      </w:r>
      <w:r>
        <w:rPr>
          <w:rFonts w:hint="eastAsia" w:ascii="仿宋_GB2312" w:hAnsi="宋体" w:eastAsia="仿宋_GB2312"/>
          <w:sz w:val="32"/>
          <w:szCs w:val="32"/>
        </w:rPr>
        <w:t>学校</w:t>
      </w:r>
      <w:r>
        <w:rPr>
          <w:rFonts w:hint="eastAsia" w:ascii="仿宋_GB2312" w:eastAsia="仿宋_GB2312"/>
          <w:sz w:val="32"/>
          <w:szCs w:val="32"/>
        </w:rPr>
        <w:t>高技能培训基地建设项目</w:t>
      </w:r>
      <w:r>
        <w:rPr>
          <w:rFonts w:hint="eastAsia" w:ascii="仿宋_GB2312" w:hAnsi="宋体" w:eastAsia="仿宋_GB2312"/>
          <w:sz w:val="32"/>
          <w:szCs w:val="32"/>
        </w:rPr>
        <w:t>，系指学校利用</w:t>
      </w:r>
      <w:r>
        <w:rPr>
          <w:rFonts w:hint="eastAsia" w:ascii="仿宋_GB2312" w:eastAsia="仿宋_GB2312"/>
          <w:sz w:val="32"/>
          <w:szCs w:val="32"/>
        </w:rPr>
        <w:t>高技能培训基地建设项目</w:t>
      </w:r>
      <w:r>
        <w:rPr>
          <w:rFonts w:hint="eastAsia" w:ascii="仿宋_GB2312" w:hAnsi="宋体" w:eastAsia="仿宋_GB2312"/>
          <w:sz w:val="32"/>
          <w:szCs w:val="32"/>
        </w:rPr>
        <w:t>专项资金进行投资建设的项目。主要建设内容包括：工业机器人技术、汽车维修与检测、通信工程、机电一体化技术、机械设计与制造专业。</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高技能培训基地建设项目的管理，包括规划、立项、审核、批准、实施、检查、总结评估、验收等项目建设过程的管理，以及建设专项资金的管理与审计、仪器设备的验收等。</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w:t>
      </w:r>
      <w:r>
        <w:rPr>
          <w:rFonts w:hint="eastAsia" w:ascii="仿宋_GB2312" w:hAnsi="宋体" w:eastAsia="仿宋_GB2312"/>
          <w:sz w:val="32"/>
          <w:szCs w:val="32"/>
        </w:rPr>
        <w:t>建设专项资金包括地方财政投入资金、行业企业投入资金和学校投入三部分，按照统一规划、专账核算、专款专用、结余留用的原则，实行项目管理。</w:t>
      </w:r>
    </w:p>
    <w:p>
      <w:pPr>
        <w:tabs>
          <w:tab w:val="left" w:pos="1065"/>
        </w:tabs>
        <w:spacing w:line="596" w:lineRule="exact"/>
        <w:ind w:firstLine="551"/>
        <w:rPr>
          <w:rFonts w:hint="eastAsia" w:ascii="仿宋_GB2312" w:eastAsia="仿宋_GB2312"/>
          <w:color w:val="000000"/>
          <w:sz w:val="32"/>
          <w:szCs w:val="32"/>
        </w:rPr>
      </w:pPr>
      <w:r>
        <w:rPr>
          <w:rFonts w:hint="eastAsia" w:ascii="仿宋_GB2312" w:eastAsia="仿宋_GB2312"/>
          <w:b/>
          <w:sz w:val="32"/>
          <w:szCs w:val="32"/>
        </w:rPr>
        <w:t>第五条</w:t>
      </w:r>
      <w:r>
        <w:rPr>
          <w:rFonts w:hint="eastAsia" w:ascii="仿宋_GB2312" w:eastAsia="仿宋_GB2312"/>
          <w:sz w:val="32"/>
          <w:szCs w:val="32"/>
        </w:rPr>
        <w:t xml:space="preserve">  </w:t>
      </w:r>
      <w:r>
        <w:rPr>
          <w:rFonts w:hint="eastAsia" w:ascii="仿宋_GB2312" w:hAnsi="宋体" w:eastAsia="仿宋_GB2312"/>
          <w:sz w:val="32"/>
          <w:szCs w:val="32"/>
        </w:rPr>
        <w:t>学校</w:t>
      </w:r>
      <w:r>
        <w:rPr>
          <w:rFonts w:hint="eastAsia" w:ascii="仿宋_GB2312" w:eastAsia="仿宋_GB2312"/>
          <w:sz w:val="32"/>
          <w:szCs w:val="32"/>
        </w:rPr>
        <w:t>高技能培训基地建设</w:t>
      </w:r>
      <w:r>
        <w:rPr>
          <w:rFonts w:hint="eastAsia" w:ascii="仿宋_GB2312" w:eastAsia="仿宋_GB2312"/>
          <w:color w:val="000000"/>
          <w:sz w:val="32"/>
          <w:szCs w:val="32"/>
        </w:rPr>
        <w:t>项目</w:t>
      </w:r>
      <w:r>
        <w:rPr>
          <w:rFonts w:hint="eastAsia" w:ascii="仿宋_GB2312" w:hAnsi="宋体" w:eastAsia="仿宋_GB2312"/>
          <w:color w:val="000000"/>
          <w:sz w:val="32"/>
          <w:szCs w:val="32"/>
        </w:rPr>
        <w:t>的总目标是：紧紧围绕广西汽车、机械制造、工程机械、电子信息等装备制造产业发展目标和柳州市“产业升级、城市转型”战略目标对技能人才的需求，依托广西汽车工业职教集团、广西机械工业职教集团，深化产教融合、校企合作的办学模式；创建“</w:t>
      </w:r>
      <w:r>
        <w:rPr>
          <w:rFonts w:hint="eastAsia" w:ascii="仿宋_GB2312" w:hAnsi="宋体" w:eastAsia="仿宋_GB2312"/>
          <w:b/>
          <w:color w:val="000000"/>
          <w:sz w:val="32"/>
          <w:szCs w:val="32"/>
        </w:rPr>
        <w:t>工学有机结合、校企紧密合作</w:t>
      </w:r>
      <w:r>
        <w:rPr>
          <w:rFonts w:hint="eastAsia" w:ascii="仿宋_GB2312" w:hAnsi="宋体" w:eastAsia="仿宋_GB2312"/>
          <w:color w:val="000000"/>
          <w:sz w:val="32"/>
          <w:szCs w:val="32"/>
        </w:rPr>
        <w:t>”的人才培养模式；对接行业、产业，构建以工作任务为导向的课程体系；建立教师的“</w:t>
      </w:r>
      <w:r>
        <w:rPr>
          <w:rFonts w:hint="eastAsia" w:ascii="仿宋_GB2312" w:hAnsi="宋体" w:eastAsia="仿宋_GB2312"/>
          <w:b/>
          <w:color w:val="000000"/>
          <w:sz w:val="32"/>
          <w:szCs w:val="32"/>
        </w:rPr>
        <w:t>内培外引</w:t>
      </w:r>
      <w:r>
        <w:rPr>
          <w:rFonts w:hint="eastAsia" w:ascii="仿宋_GB2312" w:hAnsi="宋体" w:eastAsia="仿宋_GB2312"/>
          <w:color w:val="000000"/>
          <w:sz w:val="32"/>
          <w:szCs w:val="32"/>
        </w:rPr>
        <w:t>”机制，加大“</w:t>
      </w:r>
      <w:r>
        <w:rPr>
          <w:rFonts w:hint="eastAsia" w:ascii="仿宋_GB2312" w:hAnsi="宋体" w:eastAsia="仿宋_GB2312"/>
          <w:b/>
          <w:color w:val="000000"/>
          <w:sz w:val="32"/>
          <w:szCs w:val="32"/>
        </w:rPr>
        <w:t>双高型</w:t>
      </w:r>
      <w:r>
        <w:rPr>
          <w:rFonts w:hint="eastAsia" w:ascii="仿宋_GB2312" w:hAnsi="宋体" w:eastAsia="仿宋_GB2312"/>
          <w:color w:val="000000"/>
          <w:sz w:val="32"/>
          <w:szCs w:val="32"/>
        </w:rPr>
        <w:t>”教师的培养力度，构建一支名师引领、素质优良、结构合理、技术精湛的教师队伍；加大与办学集团内企业合作的深度和广度，完善学校“校企合作委员会”的职能和运行机制；建成一批集教学、培训、鉴定和生产服务为一体校内外实训基地；以岗位技能和职业素养为核心，建立系统的人才培养评价体系；强化内部管理，提升学校管理水平和管理创新能力，适应装备制造业的升级、转型，把学校建设</w:t>
      </w:r>
      <w:r>
        <w:rPr>
          <w:rFonts w:hint="eastAsia" w:ascii="仿宋_GB2312" w:eastAsia="仿宋_GB2312"/>
          <w:color w:val="000000"/>
          <w:sz w:val="32"/>
          <w:szCs w:val="32"/>
        </w:rPr>
        <w:t>成为立足柳州、面向广西、辐射全国，办学理念先进、综合实力强、办学特色鲜明的高级技能人才培育基地，为柳州、为广西经济发展提供优秀高技能型人才。</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第二章  管理机构和职责</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学校成立项目建设领导机构、项目建设工作机构</w:t>
      </w:r>
      <w:r>
        <w:rPr>
          <w:rFonts w:hint="eastAsia" w:ascii="仿宋_GB2312" w:hAnsi="宋体" w:eastAsia="仿宋_GB2312"/>
          <w:sz w:val="32"/>
          <w:szCs w:val="32"/>
        </w:rPr>
        <w:t>、项目建设督察机构和项目建设咨询机构</w:t>
      </w:r>
      <w:r>
        <w:rPr>
          <w:rFonts w:hint="eastAsia" w:ascii="仿宋_GB2312" w:eastAsia="仿宋_GB2312"/>
          <w:sz w:val="32"/>
          <w:szCs w:val="32"/>
        </w:rPr>
        <w:t>。项目建设领导机构由校长担任组长、学校领导班子全体参与“高技能人才培训基地项目建设”工作领导小组。根据国家有关政策和要求领导项目建设工作，研究议定项目建设中的重大事项，争取各级政府部门的支持，落实建设资金和相关政策，申报项目阶段性验收并审定相关材料及文件。</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学校设立项目建设办公室，下设由学校相关部门负责人和专业带头人参加的项目建设工作组。对所有建设项目，按照各项目负责人制进行实施，各工作组具体负责本项目的建设实施。</w:t>
      </w:r>
    </w:p>
    <w:p>
      <w:pPr>
        <w:spacing w:line="596" w:lineRule="exact"/>
        <w:ind w:firstLine="551"/>
        <w:rPr>
          <w:rFonts w:hint="eastAsia" w:ascii="仿宋_GB2312" w:hAnsi="宋体"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学校设立项目建设督查小组，以学校纪委监察室人员为主组成，</w:t>
      </w:r>
      <w:r>
        <w:rPr>
          <w:rFonts w:hint="eastAsia" w:ascii="仿宋_GB2312" w:hAnsi="宋体" w:eastAsia="仿宋_GB2312"/>
          <w:sz w:val="32"/>
          <w:szCs w:val="32"/>
        </w:rPr>
        <w:t>负责</w:t>
      </w:r>
      <w:r>
        <w:rPr>
          <w:rFonts w:hint="eastAsia" w:ascii="仿宋_GB2312" w:eastAsia="仿宋_GB2312"/>
          <w:sz w:val="32"/>
          <w:szCs w:val="32"/>
        </w:rPr>
        <w:t>对所有建设项目的建设过程进行监督，</w:t>
      </w:r>
      <w:r>
        <w:rPr>
          <w:rFonts w:hint="eastAsia" w:ascii="仿宋_GB2312" w:hAnsi="宋体" w:eastAsia="仿宋_GB2312"/>
          <w:sz w:val="32"/>
          <w:szCs w:val="32"/>
        </w:rPr>
        <w:t>按照任务书的要求，重点监督和检查建设经费的投向和使用。</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第九条</w:t>
      </w:r>
      <w:r>
        <w:rPr>
          <w:rFonts w:hint="eastAsia" w:ascii="仿宋_GB2312" w:eastAsia="仿宋_GB2312"/>
          <w:sz w:val="32"/>
          <w:szCs w:val="32"/>
        </w:rPr>
        <w:t xml:space="preserve">  高技能培训基地建设项目分为：五个重点专业建设项目部分。建设项目分别由分管副校长和有关职能部门、二级学院负责有关项目的实施与管理，直接对领导小组负责。各建设项目成立项目建设工作小组，负责专业建设项目的组织实施，组长由专业负责人担任，成员由该专业的骨干教师和行业专家组成。</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第十条</w:t>
      </w:r>
      <w:r>
        <w:rPr>
          <w:rFonts w:hint="eastAsia" w:ascii="仿宋_GB2312" w:eastAsia="仿宋_GB2312"/>
          <w:sz w:val="32"/>
          <w:szCs w:val="32"/>
        </w:rPr>
        <w:t xml:space="preserve">  成立学校“高技能培训基地建设项目”专家指导委员会(以下简称“专家指导委员会”)，负责对高技能培训基地建设工作提供宏观指导与支持。</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第十一条</w:t>
      </w:r>
      <w:r>
        <w:rPr>
          <w:rFonts w:hint="eastAsia" w:ascii="仿宋_GB2312" w:eastAsia="仿宋_GB2312"/>
          <w:sz w:val="32"/>
          <w:szCs w:val="32"/>
        </w:rPr>
        <w:t xml:space="preserve">  成立学校“高技能培训基地建设项目”专家指导小组（以下简称“项目建设专家指导小组”），负责对各项目建设工作提供具体指导与支持。</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第三章  项目管理</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在项目建设办公室统一指挥和协调下，学校教务处、继续教育学院、校企合作处、各二级学院配合项目建设工作小组组织建设项目的具体实施工作。</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学校信息技术中心负责数字化校园建设项目的实施与管理。由学校后勤与资产管理处牵头组成设备采购管理组，负责项目建设所需设备的招标工作。</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第十四条</w:t>
      </w:r>
      <w:r>
        <w:rPr>
          <w:rFonts w:hint="eastAsia" w:ascii="仿宋_GB2312" w:eastAsia="仿宋_GB2312"/>
          <w:sz w:val="32"/>
          <w:szCs w:val="32"/>
        </w:rPr>
        <w:t xml:space="preserve">  学校后勤与资产管理处负责校内相关教学基础工程项目的实施与管理。</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学校人事处负责师资队伍建设的实施与管理。</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学校财务处负责建设资金的管理，学校审计室负责建设资金的审计。</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各职能部门根据项目建设的具体要求，制订管理办法和实施细则。</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第四章  项目实施</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第十八条</w:t>
      </w:r>
      <w:r>
        <w:rPr>
          <w:rFonts w:hint="eastAsia" w:ascii="仿宋_GB2312" w:eastAsia="仿宋_GB2312"/>
          <w:sz w:val="32"/>
          <w:szCs w:val="32"/>
        </w:rPr>
        <w:t xml:space="preserve">  高技能培训基地建设项目由各重点专业建设小组按《专业（职业）建设计划》和《建设内容与进度》负责落实和实施。</w:t>
      </w:r>
    </w:p>
    <w:p>
      <w:pPr>
        <w:spacing w:line="596" w:lineRule="exact"/>
        <w:ind w:firstLine="551"/>
        <w:rPr>
          <w:rFonts w:hint="eastAsia" w:ascii="仿宋_GB2312" w:eastAsia="仿宋_GB2312"/>
          <w:sz w:val="32"/>
          <w:szCs w:val="32"/>
        </w:rPr>
      </w:pPr>
      <w:r>
        <w:rPr>
          <w:rFonts w:hint="eastAsia" w:ascii="仿宋_GB2312" w:hAnsi="宋体" w:eastAsia="仿宋_GB2312"/>
          <w:b/>
          <w:sz w:val="32"/>
          <w:szCs w:val="32"/>
        </w:rPr>
        <w:t>第十九条</w:t>
      </w:r>
      <w:r>
        <w:rPr>
          <w:rFonts w:hint="eastAsia" w:ascii="仿宋_GB2312" w:hAnsi="宋体" w:eastAsia="仿宋_GB2312"/>
          <w:sz w:val="32"/>
          <w:szCs w:val="32"/>
        </w:rPr>
        <w:t xml:space="preserve">  建设项目的设备仪器招标采购工作由设备采购管理组负责。所购置的设备仪器验收工作由项目建设工作小组负责，产权归学校所有。对于所采购的设备仪器，项目建设小组要落实专人负责，做好正常运转、功能开发和维修等日常管理工作。</w:t>
      </w:r>
    </w:p>
    <w:p>
      <w:pPr>
        <w:spacing w:line="596" w:lineRule="exact"/>
        <w:ind w:firstLine="551"/>
        <w:rPr>
          <w:rFonts w:hint="eastAsia" w:ascii="仿宋_GB2312" w:eastAsia="仿宋_GB2312"/>
          <w:sz w:val="32"/>
          <w:szCs w:val="32"/>
        </w:rPr>
      </w:pPr>
      <w:r>
        <w:rPr>
          <w:rFonts w:hint="eastAsia" w:ascii="仿宋_GB2312" w:hAnsi="宋体" w:eastAsia="仿宋_GB2312"/>
          <w:b/>
          <w:sz w:val="32"/>
          <w:szCs w:val="32"/>
        </w:rPr>
        <w:t>第二十条</w:t>
      </w:r>
      <w:r>
        <w:rPr>
          <w:rFonts w:hint="eastAsia" w:ascii="仿宋_GB2312" w:hAnsi="宋体" w:eastAsia="仿宋_GB2312"/>
          <w:sz w:val="32"/>
          <w:szCs w:val="32"/>
        </w:rPr>
        <w:t xml:space="preserve">  建设项目需按年度报送建设计划，年度计划审批与执行程序为：</w:t>
      </w:r>
    </w:p>
    <w:p>
      <w:pPr>
        <w:spacing w:line="596" w:lineRule="exact"/>
        <w:ind w:firstLine="560"/>
        <w:rPr>
          <w:rFonts w:hint="eastAsia" w:ascii="仿宋_GB2312" w:eastAsia="仿宋_GB2312"/>
          <w:sz w:val="32"/>
          <w:szCs w:val="32"/>
        </w:rPr>
      </w:pPr>
      <w:r>
        <w:rPr>
          <w:rFonts w:hint="eastAsia" w:ascii="仿宋_GB2312" w:hAnsi="宋体" w:eastAsia="仿宋_GB2312"/>
          <w:sz w:val="32"/>
          <w:szCs w:val="32"/>
        </w:rPr>
        <w:t>1.各项目单位于每年十月三十日前提交下一年度建设计划。</w:t>
      </w:r>
    </w:p>
    <w:p>
      <w:pPr>
        <w:spacing w:line="596" w:lineRule="exact"/>
        <w:ind w:firstLine="560"/>
        <w:rPr>
          <w:rFonts w:hint="eastAsia" w:ascii="仿宋_GB2312" w:eastAsia="仿宋_GB2312"/>
          <w:sz w:val="32"/>
          <w:szCs w:val="32"/>
        </w:rPr>
      </w:pPr>
      <w:r>
        <w:rPr>
          <w:rFonts w:hint="eastAsia" w:ascii="仿宋_GB2312" w:hAnsi="宋体" w:eastAsia="仿宋_GB2312"/>
          <w:sz w:val="32"/>
          <w:szCs w:val="32"/>
        </w:rPr>
        <w:t>2.项目建设专家指导小组协助项目建设办公室审核年度建设计划。</w:t>
      </w:r>
    </w:p>
    <w:p>
      <w:pPr>
        <w:spacing w:line="596" w:lineRule="exact"/>
        <w:ind w:firstLine="560"/>
        <w:rPr>
          <w:rFonts w:hint="eastAsia" w:ascii="仿宋_GB2312" w:eastAsia="仿宋_GB2312"/>
          <w:sz w:val="32"/>
          <w:szCs w:val="32"/>
        </w:rPr>
      </w:pPr>
      <w:r>
        <w:rPr>
          <w:rFonts w:hint="eastAsia" w:ascii="仿宋_GB2312" w:hAnsi="宋体" w:eastAsia="仿宋_GB2312"/>
          <w:sz w:val="32"/>
          <w:szCs w:val="32"/>
        </w:rPr>
        <w:t>3.主管校领导审批年度建设计划。</w:t>
      </w:r>
    </w:p>
    <w:p>
      <w:pPr>
        <w:spacing w:line="596" w:lineRule="exact"/>
        <w:ind w:firstLine="560"/>
        <w:rPr>
          <w:rFonts w:hint="eastAsia" w:ascii="仿宋_GB2312" w:eastAsia="仿宋_GB2312"/>
          <w:sz w:val="32"/>
          <w:szCs w:val="32"/>
        </w:rPr>
      </w:pPr>
      <w:r>
        <w:rPr>
          <w:rFonts w:hint="eastAsia" w:ascii="仿宋_GB2312" w:hAnsi="宋体" w:eastAsia="仿宋_GB2312"/>
          <w:sz w:val="32"/>
          <w:szCs w:val="32"/>
        </w:rPr>
        <w:t>4.各项目建设工作小组按年度建设计划实施。</w:t>
      </w:r>
    </w:p>
    <w:p>
      <w:pPr>
        <w:spacing w:line="596" w:lineRule="exact"/>
        <w:ind w:firstLine="551"/>
        <w:rPr>
          <w:rFonts w:hint="eastAsia" w:ascii="仿宋_GB2312" w:eastAsia="仿宋_GB2312"/>
          <w:sz w:val="32"/>
          <w:szCs w:val="32"/>
        </w:rPr>
      </w:pPr>
      <w:r>
        <w:rPr>
          <w:rFonts w:hint="eastAsia" w:ascii="仿宋_GB2312" w:hAnsi="宋体" w:eastAsia="仿宋_GB2312"/>
          <w:b/>
          <w:sz w:val="32"/>
          <w:szCs w:val="32"/>
        </w:rPr>
        <w:t>第二十一条</w:t>
      </w:r>
      <w:r>
        <w:rPr>
          <w:rFonts w:hint="eastAsia" w:ascii="仿宋_GB2312" w:hAnsi="宋体" w:eastAsia="仿宋_GB2312"/>
          <w:sz w:val="32"/>
          <w:szCs w:val="32"/>
        </w:rPr>
        <w:t xml:space="preserve">  项目建设要严格按立项内容进行，如需变更必须向项目建设办公室提交申请报告并附相关材料，由项目建设专家</w:t>
      </w:r>
      <w:r>
        <w:rPr>
          <w:rFonts w:hint="eastAsia" w:ascii="仿宋_GB2312" w:eastAsia="仿宋_GB2312"/>
          <w:sz w:val="32"/>
          <w:szCs w:val="32"/>
        </w:rPr>
        <w:t>指导小组协助项目建设办公室审核、主管校领导批准。经费超出原计划的，需经领导小组批准。对于私自变更计划、挪用、占用项目资金者，将严肃处理。</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第五章  检查评估</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第二十二条</w:t>
      </w:r>
      <w:r>
        <w:rPr>
          <w:rFonts w:hint="eastAsia" w:ascii="仿宋_GB2312" w:eastAsia="仿宋_GB2312"/>
          <w:sz w:val="32"/>
          <w:szCs w:val="32"/>
        </w:rPr>
        <w:t xml:space="preserve">  学校高技能培训基地建设项目领导小组根据国家有关规定，制定建设项目评估办法和评估指标体系，对建设项目实行检查评估。</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第二十三条</w:t>
      </w:r>
      <w:r>
        <w:rPr>
          <w:rFonts w:hint="eastAsia" w:ascii="仿宋_GB2312" w:eastAsia="仿宋_GB2312"/>
          <w:sz w:val="32"/>
          <w:szCs w:val="32"/>
        </w:rPr>
        <w:t xml:space="preserve">  各重点专业项目建设小组每年年底提交项目本年度完成情况报告和经费使用情况报告，交项目建设办公室，由学校“高技能培训基地建设项目”领导小组组织审核。</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第二十四条</w:t>
      </w:r>
      <w:r>
        <w:rPr>
          <w:rFonts w:hint="eastAsia" w:ascii="仿宋_GB2312" w:eastAsia="仿宋_GB2312"/>
          <w:sz w:val="32"/>
          <w:szCs w:val="32"/>
        </w:rPr>
        <w:t xml:space="preserve">  学校建设领导小组将组织有关专家，对立项在建的重点专业建设项目进行中期评估，根据评估结果，必要时对该项目的阶段目标、资金投入进行调整。</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第二十五条</w:t>
      </w:r>
      <w:r>
        <w:rPr>
          <w:rFonts w:hint="eastAsia" w:ascii="仿宋_GB2312" w:eastAsia="仿宋_GB2312"/>
          <w:sz w:val="32"/>
          <w:szCs w:val="32"/>
        </w:rPr>
        <w:t xml:space="preserve">  项目完成后，各重点专业项目小组提交完成项目情况的总结报告，全面阐述项目执行情况和取得的成效。由领导小组组织委派专家组进行审计、评估和验收。高技能培训基地建设项目实行奖惩机制，根据考核结果，评选先进集体和先进个人，按照精神奖励和物质奖励相结合原则，对优秀的集体或个人进行表彰奖励。对不能如期完成工作目标，给学校造成影响或损失的，或实施不力造成一定后果的，对相关部门和责任人，视情节轻重和责任大小，扣发绩效奖金。</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第二十六条</w:t>
      </w:r>
      <w:r>
        <w:rPr>
          <w:rFonts w:hint="eastAsia" w:ascii="仿宋_GB2312" w:eastAsia="仿宋_GB2312"/>
          <w:sz w:val="32"/>
          <w:szCs w:val="32"/>
        </w:rPr>
        <w:t xml:space="preserve">  学校高技能培训基地建设项目在实施过程中，所产生的重要成果，按国家有关规定组织鉴定，并进行成果登记。成果所有权归国家，使用权、专利权归学校，成果可按有关规定申报各级奖励。</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第六章  附  则</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第二十七条</w:t>
      </w:r>
      <w:r>
        <w:rPr>
          <w:rFonts w:hint="eastAsia" w:ascii="仿宋_GB2312" w:eastAsia="仿宋_GB2312"/>
          <w:sz w:val="32"/>
          <w:szCs w:val="32"/>
        </w:rPr>
        <w:t xml:space="preserve">  学校高技能培训基地建设项目领导小组将根据人力资源和社会保障部、财政部对高技能培训基地建设后颁发的规定和文件，对本规定进行修改和补充。</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第二十八条</w:t>
      </w:r>
      <w:r>
        <w:rPr>
          <w:rFonts w:hint="eastAsia" w:ascii="仿宋_GB2312" w:eastAsia="仿宋_GB2312"/>
          <w:sz w:val="32"/>
          <w:szCs w:val="32"/>
        </w:rPr>
        <w:t xml:space="preserve">  本规定解释权属学校高技能培训基地建设领导小组。</w:t>
      </w:r>
    </w:p>
    <w:p>
      <w:pPr>
        <w:spacing w:line="596" w:lineRule="exact"/>
        <w:ind w:firstLine="551"/>
        <w:rPr>
          <w:rFonts w:hint="eastAsia" w:ascii="仿宋_GB2312" w:eastAsia="仿宋_GB2312"/>
          <w:sz w:val="32"/>
          <w:szCs w:val="32"/>
        </w:rPr>
      </w:pPr>
      <w:r>
        <w:rPr>
          <w:rFonts w:hint="eastAsia" w:ascii="仿宋_GB2312" w:eastAsia="仿宋_GB2312"/>
          <w:b/>
          <w:sz w:val="32"/>
          <w:szCs w:val="32"/>
        </w:rPr>
        <w:t>第二十九条</w:t>
      </w:r>
      <w:r>
        <w:rPr>
          <w:rFonts w:hint="eastAsia" w:ascii="仿宋_GB2312" w:eastAsia="仿宋_GB2312"/>
          <w:sz w:val="32"/>
          <w:szCs w:val="32"/>
        </w:rPr>
        <w:t xml:space="preserve">  本办法经学校高技能培训基地建设项目领导小组批准后，自颁布之日起试行。</w:t>
      </w:r>
    </w:p>
    <w:p>
      <w:pPr>
        <w:rPr>
          <w:rFonts w:hint="eastAsia"/>
          <w:b w:val="0"/>
          <w:bCs/>
          <w:color w:val="000000"/>
          <w:sz w:val="36"/>
          <w:szCs w:val="36"/>
          <w:lang w:eastAsia="zh-CN"/>
        </w:rPr>
      </w:pPr>
      <w:r>
        <w:rPr>
          <w:rFonts w:hint="eastAsia"/>
          <w:b w:val="0"/>
          <w:bCs/>
          <w:color w:val="000000"/>
          <w:sz w:val="36"/>
          <w:szCs w:val="36"/>
          <w:lang w:eastAsia="zh-CN"/>
        </w:rPr>
        <w:br w:type="page"/>
      </w:r>
    </w:p>
    <w:p>
      <w:pPr>
        <w:spacing w:line="596" w:lineRule="exact"/>
        <w:jc w:val="center"/>
        <w:outlineLvl w:val="9"/>
        <w:rPr>
          <w:rFonts w:hint="eastAsia"/>
          <w:b/>
          <w:color w:val="000000"/>
          <w:sz w:val="36"/>
          <w:szCs w:val="36"/>
        </w:rPr>
      </w:pPr>
      <w:bookmarkStart w:id="298" w:name="_Toc21142"/>
      <w:bookmarkStart w:id="299" w:name="_Toc26539"/>
      <w:bookmarkStart w:id="300" w:name="_Toc5841"/>
      <w:bookmarkStart w:id="301" w:name="_Toc13457"/>
      <w:r>
        <w:rPr>
          <w:rFonts w:hint="eastAsia"/>
          <w:b/>
          <w:color w:val="000000"/>
          <w:sz w:val="36"/>
          <w:szCs w:val="36"/>
        </w:rPr>
        <w:t>柳州职业技术学院</w:t>
      </w:r>
      <w:bookmarkEnd w:id="298"/>
      <w:bookmarkStart w:id="302" w:name="_Toc10966"/>
      <w:r>
        <w:rPr>
          <w:rFonts w:hint="eastAsia"/>
          <w:b/>
          <w:color w:val="000000"/>
          <w:sz w:val="36"/>
          <w:szCs w:val="36"/>
        </w:rPr>
        <w:t>高技能人才培训基地</w:t>
      </w:r>
      <w:bookmarkEnd w:id="299"/>
      <w:bookmarkEnd w:id="300"/>
    </w:p>
    <w:p>
      <w:pPr>
        <w:spacing w:line="596" w:lineRule="exact"/>
        <w:jc w:val="center"/>
        <w:outlineLvl w:val="9"/>
        <w:rPr>
          <w:rFonts w:hint="eastAsia"/>
          <w:b/>
          <w:color w:val="000000"/>
          <w:sz w:val="36"/>
          <w:szCs w:val="36"/>
        </w:rPr>
      </w:pPr>
      <w:bookmarkStart w:id="303" w:name="_Toc2511"/>
      <w:bookmarkStart w:id="304" w:name="_Toc23032"/>
      <w:r>
        <w:rPr>
          <w:rFonts w:hint="eastAsia"/>
          <w:b/>
          <w:color w:val="000000"/>
          <w:sz w:val="36"/>
          <w:szCs w:val="36"/>
        </w:rPr>
        <w:t>建设项目经费管理实施细则</w:t>
      </w:r>
      <w:bookmarkEnd w:id="301"/>
      <w:bookmarkEnd w:id="302"/>
      <w:bookmarkEnd w:id="303"/>
      <w:bookmarkEnd w:id="304"/>
    </w:p>
    <w:p>
      <w:pPr>
        <w:spacing w:line="596" w:lineRule="exact"/>
        <w:jc w:val="center"/>
        <w:outlineLvl w:val="9"/>
        <w:rPr>
          <w:rFonts w:hint="eastAsia"/>
          <w:b w:val="0"/>
          <w:bCs/>
          <w:color w:val="000000"/>
          <w:sz w:val="36"/>
          <w:szCs w:val="36"/>
          <w:lang w:eastAsia="zh-CN"/>
        </w:rPr>
      </w:pPr>
      <w:r>
        <w:rPr>
          <w:rFonts w:hint="eastAsia"/>
          <w:b w:val="0"/>
          <w:bCs/>
          <w:color w:val="000000"/>
          <w:sz w:val="36"/>
          <w:szCs w:val="36"/>
          <w:lang w:eastAsia="zh-CN"/>
        </w:rPr>
        <w:t>（</w:t>
      </w:r>
      <w:r>
        <w:rPr>
          <w:rFonts w:hint="eastAsia" w:ascii="仿宋_GB2312" w:eastAsia="仿宋_GB2312"/>
          <w:sz w:val="32"/>
          <w:szCs w:val="32"/>
        </w:rPr>
        <w:t>柳职院字〔2019〕8 号</w:t>
      </w:r>
      <w:r>
        <w:rPr>
          <w:rFonts w:hint="eastAsia"/>
          <w:b w:val="0"/>
          <w:bCs/>
          <w:color w:val="000000"/>
          <w:sz w:val="36"/>
          <w:szCs w:val="36"/>
          <w:lang w:eastAsia="zh-CN"/>
        </w:rPr>
        <w:t>）</w:t>
      </w:r>
    </w:p>
    <w:p>
      <w:pPr>
        <w:spacing w:before="292" w:beforeLines="50" w:after="292" w:afterLines="50" w:line="596" w:lineRule="exact"/>
        <w:jc w:val="center"/>
        <w:rPr>
          <w:rFonts w:hint="eastAsia" w:ascii="楷体_GB2312" w:eastAsia="楷体_GB2312"/>
          <w:b/>
          <w:sz w:val="32"/>
          <w:szCs w:val="32"/>
        </w:rPr>
      </w:pP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第一章  总  则</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为加强学校对高技能人才培训基地建设项目（以下简称高技能培训基地建设项目）专项资金的规范管理，保障项目顺利实施，提高资金使用效益，根据《中华人民共和国预算法》、《中华人民共和国审计法》、《财政违法行为处罚处分条例》等国家有关法律法规，结合学校实际情况，特制定本办法。</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高技能培训基地建设项目专项资金主要来源为中央财政补助资金、地方财政投入资金、行业企业投入资金和学校投入资金。</w:t>
      </w:r>
    </w:p>
    <w:p>
      <w:pPr>
        <w:widowControl/>
        <w:snapToGrid w:val="0"/>
        <w:spacing w:line="596" w:lineRule="exact"/>
        <w:ind w:firstLine="561"/>
        <w:jc w:val="left"/>
        <w:rPr>
          <w:rFonts w:hint="eastAsia" w:ascii="仿宋_GB2312" w:hAnsi="宋体" w:eastAsia="仿宋_GB2312"/>
          <w:sz w:val="32"/>
          <w:szCs w:val="32"/>
        </w:rPr>
      </w:pPr>
      <w:r>
        <w:rPr>
          <w:rFonts w:hint="eastAsia" w:ascii="仿宋_GB2312" w:eastAsia="仿宋_GB2312"/>
          <w:b/>
          <w:sz w:val="32"/>
          <w:szCs w:val="32"/>
        </w:rPr>
        <w:t>第三条</w:t>
      </w:r>
      <w:r>
        <w:rPr>
          <w:rFonts w:hint="eastAsia" w:ascii="仿宋_GB2312" w:eastAsia="仿宋_GB2312"/>
          <w:sz w:val="32"/>
          <w:szCs w:val="32"/>
        </w:rPr>
        <w:t xml:space="preserve">  高技能培训基地</w:t>
      </w:r>
      <w:r>
        <w:rPr>
          <w:rFonts w:hint="eastAsia" w:ascii="仿宋_GB2312" w:hAnsi="宋体" w:eastAsia="仿宋_GB2312"/>
          <w:sz w:val="32"/>
          <w:szCs w:val="32"/>
        </w:rPr>
        <w:t>建设项目专项资金遵循</w:t>
      </w:r>
      <w:r>
        <w:rPr>
          <w:rFonts w:hint="eastAsia" w:ascii="仿宋_GB2312" w:eastAsia="仿宋_GB2312"/>
          <w:sz w:val="32"/>
          <w:szCs w:val="32"/>
        </w:rPr>
        <w:t>“</w:t>
      </w:r>
      <w:r>
        <w:rPr>
          <w:rFonts w:hint="eastAsia" w:ascii="仿宋_GB2312" w:hAnsi="宋体" w:eastAsia="仿宋_GB2312"/>
          <w:sz w:val="32"/>
          <w:szCs w:val="32"/>
        </w:rPr>
        <w:t>专款专用，突出重点、总体规划、分年实施、项目管理、绩效考评</w:t>
      </w:r>
      <w:r>
        <w:rPr>
          <w:rFonts w:hint="eastAsia" w:ascii="仿宋_GB2312" w:eastAsia="仿宋_GB2312"/>
          <w:sz w:val="32"/>
          <w:szCs w:val="32"/>
        </w:rPr>
        <w:t>”</w:t>
      </w:r>
      <w:r>
        <w:rPr>
          <w:rFonts w:hint="eastAsia" w:ascii="仿宋_GB2312" w:hAnsi="宋体" w:eastAsia="仿宋_GB2312"/>
          <w:sz w:val="32"/>
          <w:szCs w:val="32"/>
        </w:rPr>
        <w:t>的管理原则，实行“专项管理、统一核算”的管理模式，实行结合建设方案的建设内容、建设经费年度预算，按国库管理制度的有关规定办理支付，纳入学校财务处统一管理，并设置单独账簿进行核算，专款专用。学校</w:t>
      </w:r>
      <w:r>
        <w:rPr>
          <w:rFonts w:hint="eastAsia" w:ascii="仿宋_GB2312" w:eastAsia="仿宋_GB2312"/>
          <w:sz w:val="32"/>
          <w:szCs w:val="32"/>
        </w:rPr>
        <w:t>高技能培训基地</w:t>
      </w:r>
      <w:r>
        <w:rPr>
          <w:rFonts w:hint="eastAsia" w:ascii="仿宋_GB2312" w:hAnsi="宋体" w:eastAsia="仿宋_GB2312"/>
          <w:sz w:val="32"/>
          <w:szCs w:val="32"/>
        </w:rPr>
        <w:t>项目建设工作领导小组负责组织对建设项目的论证和审定工作，各项目建设组按建设方案进行项目的组织和实施。</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第二章  预算管理</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高技能培训基地建设项目专项资金是学校财务收支的重要组成部分，纳入学校的综合财务收支预算，并严格按照人力资源和社会保障部、财政部及市级财政批复的专项资金预算进行项目控制。</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统筹安排使用财政行业企业及学校专项投入资金，由项目建设计划领导小组负责做好学校建设项目的总预算，每年年底由学校各建设专业实施小组根据项目建设计划及总预算，科学、合理编制下一年底资金使用的年度预算，并报学校校长办公会审议、党委会通过后执行。预算一经下达，年度内一般不予调整，确有必要调整时，要按项目预算审批程序重新报批。</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第三章  支出管理</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第六条</w:t>
      </w:r>
      <w:r>
        <w:rPr>
          <w:rFonts w:hint="eastAsia" w:ascii="仿宋_GB2312" w:eastAsia="仿宋_GB2312"/>
          <w:sz w:val="32"/>
          <w:szCs w:val="32"/>
        </w:rPr>
        <w:t xml:space="preserve">  专项资金支出仅允许在以下范围内列支：</w:t>
      </w:r>
    </w:p>
    <w:p>
      <w:pPr>
        <w:widowControl/>
        <w:snapToGrid w:val="0"/>
        <w:spacing w:line="596" w:lineRule="exact"/>
        <w:ind w:firstLine="700"/>
        <w:jc w:val="left"/>
        <w:rPr>
          <w:rFonts w:hint="eastAsia" w:ascii="仿宋_GB2312" w:eastAsia="仿宋_GB2312"/>
          <w:sz w:val="32"/>
          <w:szCs w:val="32"/>
        </w:rPr>
      </w:pPr>
      <w:r>
        <w:rPr>
          <w:rFonts w:hint="eastAsia" w:ascii="仿宋_GB2312" w:eastAsia="仿宋_GB2312"/>
          <w:sz w:val="32"/>
          <w:szCs w:val="32"/>
        </w:rPr>
        <w:t>1. 构建完善的高技能人才培训体系建设费（详见资金投入预算总表）</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sz w:val="32"/>
          <w:szCs w:val="32"/>
        </w:rPr>
        <w:t xml:space="preserve"> 2. 校企合作提升培训能力建设费</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sz w:val="32"/>
          <w:szCs w:val="32"/>
        </w:rPr>
        <w:t xml:space="preserve"> 3. 提炼培训基地建设工作经验建设费</w:t>
      </w:r>
    </w:p>
    <w:p>
      <w:pPr>
        <w:widowControl/>
        <w:snapToGrid w:val="0"/>
        <w:spacing w:line="596" w:lineRule="exact"/>
        <w:ind w:firstLine="561"/>
        <w:jc w:val="left"/>
        <w:rPr>
          <w:rFonts w:hint="eastAsia" w:ascii="仿宋_GB2312" w:eastAsia="仿宋_GB2312"/>
          <w:sz w:val="32"/>
          <w:szCs w:val="32"/>
        </w:rPr>
      </w:pPr>
      <w:r>
        <w:rPr>
          <w:rFonts w:hint="eastAsia" w:ascii="仿宋_GB2312" w:hAnsi="宋体" w:eastAsia="仿宋_GB2312"/>
          <w:sz w:val="32"/>
          <w:szCs w:val="32"/>
        </w:rPr>
        <w:t xml:space="preserve"> 4.其它、项目管理费等：建设计划领导小组办公室在实施项目建设中所必须开支的项目论证、评审、考核、验收所需的会议费、差旅费、办公费、交通费、专家费等。</w:t>
      </w:r>
    </w:p>
    <w:p>
      <w:pPr>
        <w:widowControl/>
        <w:snapToGrid w:val="0"/>
        <w:spacing w:line="596" w:lineRule="exact"/>
        <w:ind w:firstLine="561"/>
        <w:jc w:val="left"/>
        <w:rPr>
          <w:rFonts w:hint="eastAsia" w:ascii="仿宋_GB2312" w:eastAsia="仿宋_GB2312"/>
          <w:sz w:val="32"/>
          <w:szCs w:val="32"/>
        </w:rPr>
      </w:pPr>
      <w:r>
        <w:rPr>
          <w:rFonts w:hint="eastAsia" w:ascii="仿宋_GB2312" w:hAnsi="宋体" w:eastAsia="仿宋_GB2312"/>
          <w:b/>
          <w:sz w:val="32"/>
          <w:szCs w:val="32"/>
        </w:rPr>
        <w:t>第七条</w:t>
      </w:r>
      <w:r>
        <w:rPr>
          <w:rFonts w:hint="eastAsia" w:ascii="仿宋_GB2312" w:hAnsi="宋体" w:eastAsia="仿宋_GB2312"/>
          <w:sz w:val="32"/>
          <w:szCs w:val="32"/>
        </w:rPr>
        <w:t xml:space="preserve">  专项资金的使用以各建设项目为子项目进行管理，审批签字实行校长</w:t>
      </w:r>
      <w:r>
        <w:rPr>
          <w:rFonts w:hint="eastAsia" w:ascii="仿宋_GB2312" w:eastAsia="仿宋_GB2312"/>
          <w:sz w:val="32"/>
          <w:szCs w:val="32"/>
        </w:rPr>
        <w:t>审批</w:t>
      </w:r>
      <w:r>
        <w:rPr>
          <w:rFonts w:hint="eastAsia" w:ascii="仿宋_GB2312" w:hAnsi="宋体" w:eastAsia="仿宋_GB2312"/>
          <w:sz w:val="32"/>
          <w:szCs w:val="32"/>
        </w:rPr>
        <w:t>制度，具体审批权限按学校财务有关规定执行。</w:t>
      </w:r>
    </w:p>
    <w:p>
      <w:pPr>
        <w:widowControl/>
        <w:snapToGrid w:val="0"/>
        <w:spacing w:line="596" w:lineRule="exact"/>
        <w:ind w:firstLine="561"/>
        <w:jc w:val="left"/>
        <w:rPr>
          <w:rFonts w:hint="eastAsia" w:ascii="仿宋_GB2312" w:eastAsia="仿宋_GB2312"/>
          <w:sz w:val="32"/>
          <w:szCs w:val="32"/>
        </w:rPr>
      </w:pPr>
      <w:r>
        <w:rPr>
          <w:rFonts w:hint="eastAsia" w:ascii="仿宋_GB2312" w:hAnsi="宋体" w:eastAsia="仿宋_GB2312"/>
          <w:b/>
          <w:sz w:val="32"/>
          <w:szCs w:val="32"/>
        </w:rPr>
        <w:t>第八条</w:t>
      </w:r>
      <w:r>
        <w:rPr>
          <w:rFonts w:hint="eastAsia" w:ascii="仿宋_GB2312" w:hAnsi="宋体" w:eastAsia="仿宋_GB2312"/>
          <w:sz w:val="32"/>
          <w:szCs w:val="32"/>
        </w:rPr>
        <w:t xml:space="preserve">  设备购置</w:t>
      </w:r>
      <w:r>
        <w:rPr>
          <w:rFonts w:hint="eastAsia" w:ascii="仿宋_GB2312" w:eastAsia="仿宋_GB2312"/>
          <w:sz w:val="32"/>
          <w:szCs w:val="32"/>
        </w:rPr>
        <w:t>、基本建设支出要由各项目建设小组提出采购立项方案，报学校建设计划领导小组评估，论证通过后报校长办公会审批，凡纳入政府采购的支出项目，必须按照《中华人民共和国政府采购法》的有关规定，经过招投标、集中采购等规范程序后方可列支。建设过程中购置的所有资产均为国有资产，要由学校资产管理部门建帐管理，合理使用，认真维护。</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第四章  决算管理</w:t>
      </w:r>
    </w:p>
    <w:p>
      <w:pPr>
        <w:widowControl/>
        <w:snapToGrid w:val="0"/>
        <w:spacing w:line="596" w:lineRule="exact"/>
        <w:ind w:firstLine="560"/>
        <w:jc w:val="left"/>
        <w:rPr>
          <w:rFonts w:hint="eastAsia" w:ascii="仿宋_GB2312" w:eastAsia="仿宋_GB2312"/>
          <w:sz w:val="32"/>
          <w:szCs w:val="32"/>
        </w:rPr>
      </w:pPr>
      <w:r>
        <w:rPr>
          <w:rFonts w:hint="eastAsia" w:ascii="仿宋_GB2312" w:eastAsia="仿宋_GB2312"/>
          <w:b/>
          <w:sz w:val="32"/>
          <w:szCs w:val="32"/>
        </w:rPr>
        <w:t>第九条</w:t>
      </w:r>
      <w:r>
        <w:rPr>
          <w:rFonts w:hint="eastAsia" w:ascii="仿宋_GB2312" w:eastAsia="仿宋_GB2312"/>
          <w:sz w:val="32"/>
          <w:szCs w:val="32"/>
        </w:rPr>
        <w:t xml:space="preserve">  学校需将高技能培训基地建设项目专项资金收支情况纳入年度决算统一编报，经主管部门审核汇总后报财政部门，由财政部门审批。学校在上报决算时应对专项资金使用情况进行必要的文字说明。文字说明的主要内容包括：预算执行情况、资金使用效益情况、资金管理情况、存在的问题和建议等。</w:t>
      </w:r>
    </w:p>
    <w:p>
      <w:pPr>
        <w:spacing w:line="596" w:lineRule="exact"/>
        <w:ind w:left="-31" w:right="25" w:firstLine="506"/>
        <w:rPr>
          <w:rFonts w:hint="eastAsia" w:ascii="仿宋_GB2312" w:hAnsi="宋体" w:eastAsia="仿宋_GB2312"/>
          <w:sz w:val="32"/>
          <w:szCs w:val="32"/>
        </w:rPr>
      </w:pPr>
      <w:r>
        <w:rPr>
          <w:rFonts w:hint="eastAsia" w:ascii="仿宋_GB2312" w:hAnsi="宋体" w:eastAsia="仿宋_GB2312"/>
          <w:b/>
          <w:sz w:val="32"/>
          <w:szCs w:val="32"/>
        </w:rPr>
        <w:t xml:space="preserve">第十条  </w:t>
      </w:r>
      <w:r>
        <w:rPr>
          <w:rFonts w:hint="eastAsia" w:ascii="仿宋_GB2312" w:hAnsi="宋体" w:eastAsia="仿宋_GB2312"/>
          <w:sz w:val="32"/>
          <w:szCs w:val="32"/>
        </w:rPr>
        <w:t>学校</w:t>
      </w:r>
      <w:r>
        <w:rPr>
          <w:rFonts w:hint="eastAsia" w:ascii="仿宋_GB2312" w:eastAsia="仿宋_GB2312"/>
          <w:sz w:val="32"/>
          <w:szCs w:val="32"/>
        </w:rPr>
        <w:t>高技能培训基地</w:t>
      </w:r>
      <w:r>
        <w:rPr>
          <w:rFonts w:hint="eastAsia" w:ascii="仿宋_GB2312" w:hAnsi="宋体" w:eastAsia="仿宋_GB2312"/>
          <w:sz w:val="32"/>
          <w:szCs w:val="32"/>
        </w:rPr>
        <w:t>建设领导小组和项目专项经费管理组要督促各项目建设组负责人，定期报送项目建设资金使用情况文字说明，内容包括：预算执行情况、资金使用效益情况，项目完成情况和存在问题等等，做好建设项目执行情况及专项资金使用情况汇报材料的整理工作。</w:t>
      </w:r>
    </w:p>
    <w:p>
      <w:pPr>
        <w:spacing w:line="596" w:lineRule="exact"/>
        <w:ind w:left="-31" w:right="25" w:firstLine="506"/>
        <w:rPr>
          <w:rFonts w:hint="eastAsia" w:ascii="仿宋_GB2312" w:hAnsi="宋体" w:eastAsia="仿宋_GB2312"/>
          <w:sz w:val="32"/>
          <w:szCs w:val="32"/>
        </w:rPr>
      </w:pPr>
      <w:r>
        <w:rPr>
          <w:rFonts w:hint="eastAsia" w:ascii="仿宋_GB2312" w:hAnsi="宋体" w:eastAsia="仿宋_GB2312"/>
          <w:b/>
          <w:sz w:val="32"/>
          <w:szCs w:val="32"/>
        </w:rPr>
        <w:t xml:space="preserve">第十一条 </w:t>
      </w:r>
      <w:r>
        <w:rPr>
          <w:rFonts w:hint="eastAsia" w:ascii="仿宋_GB2312" w:hAnsi="宋体" w:eastAsia="仿宋_GB2312"/>
          <w:sz w:val="32"/>
          <w:szCs w:val="32"/>
        </w:rPr>
        <w:t xml:space="preserve"> 各项目建设组在建设项目预算执行过程中，可能因政府采购及其他原因，造成专项资金预算额度结余，可结转下年度按建设方案计划继续使用，不得挪作他用。</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第五章  监督检查与绩效考评</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所有与高技能培训基地建设项目专项资金有关的各级领导、项目负责人和财务人员，都应自觉维护国家财经纪律，同时接受有关领导机关、财政、审计、银行等部门的监督和检查，发现问题及时纠正。</w:t>
      </w:r>
    </w:p>
    <w:p>
      <w:pPr>
        <w:widowControl/>
        <w:snapToGrid w:val="0"/>
        <w:spacing w:line="596" w:lineRule="exact"/>
        <w:ind w:firstLine="561"/>
        <w:jc w:val="left"/>
        <w:rPr>
          <w:rFonts w:hint="eastAsia"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学校将组织专门人员依照有关法规和政策，对高技能培训基地建设项目专项资金的使用进行审计监督，对投入效益进行审计分析及绩效考评，根据绩效考评结果，对建设成效突出的部门给予必要的奖励；对违规违法情节严重的责任人员，将按照国家有关规定追究其行政或法律责任。</w:t>
      </w:r>
    </w:p>
    <w:p>
      <w:pPr>
        <w:spacing w:before="292" w:beforeLines="50" w:after="292" w:afterLines="50" w:line="596" w:lineRule="exact"/>
        <w:jc w:val="center"/>
        <w:outlineLvl w:val="9"/>
        <w:rPr>
          <w:rFonts w:hint="eastAsia" w:ascii="楷体_GB2312" w:eastAsia="楷体_GB2312"/>
          <w:b/>
          <w:sz w:val="32"/>
          <w:szCs w:val="32"/>
        </w:rPr>
      </w:pPr>
      <w:r>
        <w:rPr>
          <w:rFonts w:hint="eastAsia" w:ascii="楷体_GB2312" w:eastAsia="楷体_GB2312"/>
          <w:b/>
          <w:sz w:val="32"/>
          <w:szCs w:val="32"/>
        </w:rPr>
        <w:t>第六章  附  则</w:t>
      </w:r>
    </w:p>
    <w:p>
      <w:pPr>
        <w:widowControl/>
        <w:snapToGrid w:val="0"/>
        <w:spacing w:line="596" w:lineRule="exact"/>
        <w:ind w:firstLine="560"/>
        <w:jc w:val="left"/>
        <w:rPr>
          <w:rFonts w:hint="eastAsia" w:ascii="仿宋_GB2312" w:eastAsia="仿宋_GB2312"/>
          <w:sz w:val="32"/>
          <w:szCs w:val="32"/>
        </w:rPr>
      </w:pPr>
      <w:r>
        <w:rPr>
          <w:rFonts w:hint="eastAsia" w:ascii="仿宋_GB2312" w:eastAsia="仿宋_GB2312"/>
          <w:b/>
          <w:sz w:val="32"/>
          <w:szCs w:val="32"/>
        </w:rPr>
        <w:t>第十四条</w:t>
      </w:r>
      <w:r>
        <w:rPr>
          <w:rFonts w:hint="eastAsia" w:ascii="仿宋_GB2312" w:eastAsia="仿宋_GB2312"/>
          <w:sz w:val="32"/>
          <w:szCs w:val="32"/>
        </w:rPr>
        <w:t xml:space="preserve">  学校高技能培训基地建设项目领导小组将根据人力资源和社会保障部、财政部对高技能培训基地建设后颁发的规定和文件，对本规定进行修改和补充。</w:t>
      </w:r>
    </w:p>
    <w:p>
      <w:pPr>
        <w:widowControl/>
        <w:snapToGrid w:val="0"/>
        <w:spacing w:line="596" w:lineRule="exact"/>
        <w:ind w:firstLine="560"/>
        <w:jc w:val="left"/>
        <w:rPr>
          <w:rFonts w:hint="eastAsia"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本规定解释权属学校高技能培训基地建设领导小组。</w:t>
      </w:r>
    </w:p>
    <w:p>
      <w:pPr>
        <w:spacing w:line="596" w:lineRule="exact"/>
        <w:ind w:firstLine="562"/>
        <w:rPr>
          <w:rFonts w:hint="eastAsia" w:ascii="仿宋_GB2312" w:eastAsia="仿宋_GB2312"/>
          <w:sz w:val="32"/>
          <w:szCs w:val="32"/>
        </w:rPr>
      </w:pPr>
      <w:r>
        <w:rPr>
          <w:rFonts w:hint="eastAsia" w:ascii="仿宋_GB2312" w:eastAsia="仿宋_GB2312"/>
          <w:b/>
          <w:sz w:val="32"/>
          <w:szCs w:val="32"/>
        </w:rPr>
        <w:t>第十六条</w:t>
      </w:r>
      <w:r>
        <w:rPr>
          <w:rFonts w:hint="eastAsia" w:ascii="仿宋_GB2312" w:eastAsia="仿宋_GB2312"/>
          <w:sz w:val="32"/>
          <w:szCs w:val="32"/>
        </w:rPr>
        <w:t xml:space="preserve">  本办法经学校高技能培训基地建设项目领导小组批准后，自颁布之日起试行。 </w:t>
      </w:r>
    </w:p>
    <w:p>
      <w:pPr>
        <w:rPr>
          <w:rFonts w:hint="eastAsia"/>
          <w:b w:val="0"/>
          <w:bCs/>
          <w:color w:val="000000"/>
          <w:sz w:val="36"/>
          <w:szCs w:val="36"/>
          <w:lang w:eastAsia="zh-CN"/>
        </w:rPr>
      </w:pPr>
      <w:r>
        <w:rPr>
          <w:rFonts w:hint="eastAsia"/>
          <w:b w:val="0"/>
          <w:bCs/>
          <w:color w:val="000000"/>
          <w:sz w:val="36"/>
          <w:szCs w:val="36"/>
          <w:lang w:eastAsia="zh-CN"/>
        </w:rPr>
        <w:br w:type="page"/>
      </w:r>
    </w:p>
    <w:p>
      <w:pPr>
        <w:rPr>
          <w:rFonts w:hint="eastAsia" w:ascii="仿宋_GB2312" w:eastAsia="仿宋_GB2312"/>
          <w:sz w:val="32"/>
          <w:szCs w:val="32"/>
          <w:lang w:eastAsia="zh-CN"/>
        </w:rPr>
      </w:pPr>
    </w:p>
    <w:p>
      <w:pPr>
        <w:snapToGrid w:val="0"/>
        <w:spacing w:line="596" w:lineRule="exact"/>
        <w:jc w:val="center"/>
        <w:textAlignment w:val="baseline"/>
        <w:outlineLvl w:val="9"/>
        <w:rPr>
          <w:rFonts w:hint="eastAsia"/>
          <w:b/>
          <w:color w:val="000000"/>
          <w:sz w:val="36"/>
          <w:szCs w:val="36"/>
        </w:rPr>
      </w:pPr>
      <w:bookmarkStart w:id="305" w:name="_Toc6401"/>
      <w:bookmarkStart w:id="306" w:name="_Toc3861"/>
      <w:bookmarkStart w:id="307" w:name="_Toc7485"/>
      <w:r>
        <w:rPr>
          <w:rFonts w:hint="eastAsia"/>
          <w:b/>
          <w:color w:val="000000"/>
          <w:sz w:val="36"/>
          <w:szCs w:val="36"/>
        </w:rPr>
        <w:t>柳州职业技术学院控烟管理办法（2021年修订版）</w:t>
      </w:r>
      <w:bookmarkEnd w:id="305"/>
      <w:bookmarkEnd w:id="306"/>
      <w:bookmarkEnd w:id="307"/>
    </w:p>
    <w:p>
      <w:pPr>
        <w:widowControl/>
        <w:jc w:val="center"/>
        <w:outlineLvl w:val="9"/>
        <w:rPr>
          <w:rFonts w:hint="eastAsia" w:ascii="仿宋_GB2312" w:eastAsia="仿宋_GB2312"/>
          <w:sz w:val="32"/>
          <w:szCs w:val="32"/>
        </w:rPr>
      </w:pPr>
      <w:r>
        <w:rPr>
          <w:rFonts w:hint="eastAsia" w:ascii="仿宋_GB2312" w:eastAsia="仿宋_GB2312"/>
          <w:sz w:val="32"/>
          <w:szCs w:val="32"/>
        </w:rPr>
        <w:t xml:space="preserve"> (柳职院字〔2021〕39 号)</w:t>
      </w:r>
    </w:p>
    <w:p>
      <w:pPr>
        <w:pStyle w:val="5"/>
        <w:snapToGrid w:val="0"/>
        <w:spacing w:before="11" w:after="0" w:line="596" w:lineRule="exact"/>
        <w:textAlignment w:val="baseline"/>
        <w:rPr>
          <w:rFonts w:ascii="宋体" w:hAnsi="宋体" w:cs="宋体"/>
          <w:b/>
          <w:color w:val="000000"/>
          <w:sz w:val="19"/>
        </w:rPr>
      </w:pP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为了全面营造校园无烟环境，保障全校师生的身体健康，控制吸烟造成的危害，保持学校公共场所环境卫生，倡导良好社会公德，更好地构建和谐校园，根据国家卫生健康委、教育部《关于进一步加强无烟学校建设工作的通知》(国卫规划函[2020]455号)和自治区卫生健康委、教育厅《关于进一步加强无烟学校建设工作的通知》(桂卫规划发[2021]2号)文件精神，结合学校实际，特对《柳州职业技术学院控烟管理办法》进行了修订。</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一、工作原则</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学校控烟工作实行“限定场所、分类管理、部门负责、公众参与”的原则，将履行控烟职责纳入教职工考核和学生评价体系。</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二、适用范围</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学校所有场所和所有人员（包括教职工、学生、外来人员） 均适用本办法。</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三、禁烟区和吸烟点设置</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（一）全体教职工应当树立从我做起的意识，争当控烟表率，自觉做到不在禁烟区域、不在学生面前吸烟、递烟或敬烟，并有责任及时劝阻、教育吸烟学生。</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（二）校园建筑物内一律禁止吸烟，不设置吸烟室，不摆放烟灰缸及其他烟具。校园内除吸烟点外，其它区域为禁烟区，禁烟区要求做到无烟蒂、无吸烟者。</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（三）校园内禁烟区，特别是校门口、教学楼门口、教室内、会议室、图书馆、食堂、卫生间、走廊、楼梯、电梯等重点区域的醒目位置悬挂、张贴禁烟标识和禁烟监督电话。</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（四）校园内少量设置吸烟点，吸烟点的设置应满足建筑物外、通风、偏僻三个条件，符合消防要求，远离师生集中场地和必经通道。</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（五）吸烟点悬挂、张贴统一标识和烟草危害标识，放置烟灰缸。</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（六）校园内禁止销售烟草制品，张贴烟草广告和变相烟草广告，各部门、各二级学院不得接受烟草商赞助。</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四、控烟职责</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为全面推进</w:t>
      </w:r>
      <w:bookmarkStart w:id="308" w:name="_Hlk69845274"/>
      <w:r>
        <w:rPr>
          <w:rFonts w:hint="eastAsia" w:ascii="仿宋_GB2312" w:eastAsia="仿宋_GB2312"/>
          <w:sz w:val="32"/>
          <w:szCs w:val="32"/>
        </w:rPr>
        <w:t>无烟校园建设</w:t>
      </w:r>
      <w:bookmarkEnd w:id="308"/>
      <w:r>
        <w:rPr>
          <w:rFonts w:hint="eastAsia" w:ascii="仿宋_GB2312" w:eastAsia="仿宋_GB2312"/>
          <w:sz w:val="32"/>
          <w:szCs w:val="32"/>
        </w:rPr>
        <w:t>，切实维护教职工和学生身体健康，成立无烟校园建设领导小组，领导小组组长由分管后勤校领导担任，成员包括后勤处、人事处、学工处、团委、宣传部、督导室等部门负责同志组成，下设控烟工作办公室，办公室设在后勤保障处，各部门职责规定如下：</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（一）后勤保障处负责学校控烟日常管理工作，按分类管理、部门负责的原则，建立管理机制，负责禁烟区、吸烟点的设置和控烟标识的设计、悬挂、张贴工作。</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（二）人事处负责将履行控烟职责纳入部门和教职工绩效考核， 建立考核机制。将履行控烟职责的情况作为部门和个人评优、评先的指标之一。</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（三）学生工作处、各二级学院负责学生控烟宣传教育，建立教育评价机制，将控烟教育纳入学生健康教育课程，利用课堂、教学、班会、讲座等形式对学生开展控烟教育，将控烟工作纳入学生评价体系。</w:t>
      </w:r>
    </w:p>
    <w:p>
      <w:pPr>
        <w:snapToGrid w:val="0"/>
        <w:spacing w:line="596" w:lineRule="exact"/>
        <w:ind w:firstLine="640" w:firstLineChars="200"/>
        <w:textAlignment w:val="baseline"/>
        <w:rPr>
          <w:rFonts w:ascii="仿宋_GB2312" w:eastAsia="仿宋_GB2312"/>
          <w:sz w:val="32"/>
          <w:szCs w:val="32"/>
        </w:rPr>
      </w:pPr>
      <w:r>
        <w:rPr>
          <w:rFonts w:hint="eastAsia" w:ascii="仿宋_GB2312" w:eastAsia="仿宋_GB2312"/>
          <w:sz w:val="32"/>
          <w:szCs w:val="32"/>
        </w:rPr>
        <w:t>（四）团委负责组织校内学生社团、志愿者定期开展和参与禁烟宣传活动。</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（五）党委宣传部负责控烟的宣传工作，定期开辟控烟宣传栏，宣传吸烟的危害，引导师生员工珍爱健康、拒绝烟草。</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（六）督导室负责控烟的监督巡查工作。建立检查机制，设立兼职控烟监督巡查员，并接受相关的控烟知识培训，对违规吸烟者进行劝阻和处理。全校教职工及学生均有义务对违规吸烟者进行劝阻。</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五、违规处理</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一）凡在禁烟区内吸烟的教职工，第一次由监督部门责成其所在部门进行批评教育，一学期内两次在禁烟区吸烟的，在“督导通报”上给予点名通报批评，一学期内三次或三次以上在禁烟区吸烟的，在点名通报批评的同时按学院绩效考核相关规定进行处罚。</w:t>
      </w:r>
    </w:p>
    <w:p>
      <w:pPr>
        <w:snapToGrid w:val="0"/>
        <w:spacing w:line="596"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（二）凡在禁烟区内吸烟的学生，每查处一次扣诚信分 20 分，一学年内被查处三次及三次以上的，给予警告及以上纪律处分，并取消该学年度学生评优资格，取消下一学年度勤工助学聘用资格。</w:t>
      </w:r>
    </w:p>
    <w:p>
      <w:p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六、本办法自发布之日起施行</w:t>
      </w:r>
    </w:p>
    <w:p>
      <w:pPr>
        <w:pStyle w:val="5"/>
        <w:snapToGrid w:val="0"/>
        <w:spacing w:after="0" w:line="596" w:lineRule="exact"/>
        <w:ind w:left="735"/>
        <w:textAlignment w:val="baseline"/>
        <w:rPr>
          <w:rFonts w:ascii="宋体" w:hAnsi="宋体" w:cs="宋体"/>
          <w:sz w:val="32"/>
        </w:rPr>
      </w:pPr>
    </w:p>
    <w:p>
      <w:pPr>
        <w:pStyle w:val="5"/>
        <w:snapToGrid w:val="0"/>
        <w:spacing w:before="2" w:after="0"/>
        <w:textAlignment w:val="baseline"/>
        <w:rPr>
          <w:rFonts w:hint="eastAsia" w:ascii="黑体"/>
          <w:b/>
          <w:bCs/>
          <w:sz w:val="30"/>
          <w:szCs w:val="30"/>
        </w:rPr>
      </w:pPr>
    </w:p>
    <w:p>
      <w:pPr>
        <w:pStyle w:val="5"/>
        <w:snapToGrid w:val="0"/>
        <w:spacing w:before="2" w:after="0"/>
        <w:ind w:firstLine="640" w:firstLineChars="200"/>
        <w:textAlignment w:val="baseline"/>
        <w:rPr>
          <w:rFonts w:hint="eastAsia" w:ascii="黑体"/>
          <w:b/>
          <w:bCs/>
          <w:sz w:val="36"/>
          <w:szCs w:val="36"/>
        </w:rPr>
      </w:pPr>
      <w:r>
        <w:rPr>
          <w:rFonts w:hint="eastAsia" w:ascii="仿宋_GB2312" w:eastAsia="仿宋_GB2312"/>
          <w:sz w:val="32"/>
          <w:szCs w:val="32"/>
        </w:rPr>
        <w:t>附件：</w:t>
      </w:r>
      <w:r>
        <w:rPr>
          <w:rFonts w:hint="eastAsia" w:ascii="仿宋_GB2312" w:eastAsia="仿宋_GB2312"/>
          <w:sz w:val="32"/>
          <w:szCs w:val="32"/>
          <w:lang w:bidi="zh-CN"/>
        </w:rPr>
        <w:t>校园内吸烟点分布图</w:t>
      </w:r>
    </w:p>
    <w:p>
      <w:pPr>
        <w:rPr>
          <w:rFonts w:hint="eastAsia" w:ascii="黑体" w:eastAsia="黑体"/>
          <w:sz w:val="32"/>
          <w:szCs w:val="32"/>
        </w:rPr>
      </w:pPr>
      <w:r>
        <w:rPr>
          <w:rFonts w:hint="eastAsia" w:ascii="黑体" w:eastAsia="黑体"/>
          <w:sz w:val="32"/>
          <w:szCs w:val="32"/>
        </w:rPr>
        <w:br w:type="page"/>
      </w:r>
    </w:p>
    <w:p>
      <w:pPr>
        <w:snapToGrid w:val="0"/>
        <w:spacing w:line="596" w:lineRule="exact"/>
        <w:jc w:val="left"/>
        <w:textAlignment w:val="baseline"/>
        <w:rPr>
          <w:rFonts w:hint="eastAsia" w:ascii="黑体" w:eastAsia="黑体"/>
          <w:sz w:val="32"/>
          <w:szCs w:val="32"/>
        </w:rPr>
      </w:pPr>
      <w:r>
        <w:rPr>
          <w:rFonts w:hint="eastAsia" w:ascii="黑体" w:eastAsia="黑体"/>
          <w:sz w:val="32"/>
          <w:szCs w:val="32"/>
        </w:rPr>
        <w:t>附件：</w:t>
      </w:r>
    </w:p>
    <w:p>
      <w:pPr>
        <w:pStyle w:val="5"/>
        <w:snapToGrid w:val="0"/>
        <w:spacing w:before="2" w:after="0"/>
        <w:jc w:val="center"/>
        <w:textAlignment w:val="baseline"/>
        <w:outlineLvl w:val="9"/>
        <w:rPr>
          <w:rFonts w:hint="eastAsia"/>
          <w:b/>
          <w:color w:val="000000"/>
          <w:sz w:val="36"/>
          <w:szCs w:val="36"/>
        </w:rPr>
      </w:pPr>
      <w:r>
        <w:rPr>
          <w:rFonts w:hint="eastAsia"/>
          <w:b/>
          <w:color w:val="000000"/>
          <w:sz w:val="36"/>
          <w:szCs w:val="36"/>
        </w:rPr>
        <w:t>校园内吸烟点分布图</w:t>
      </w:r>
    </w:p>
    <w:p>
      <w:pPr>
        <w:pStyle w:val="5"/>
        <w:snapToGrid w:val="0"/>
        <w:spacing w:before="2" w:after="0"/>
        <w:jc w:val="center"/>
        <w:textAlignment w:val="baseline"/>
        <w:outlineLvl w:val="9"/>
        <w:rPr>
          <w:rFonts w:hint="eastAsia"/>
          <w:b/>
          <w:color w:val="000000"/>
          <w:sz w:val="36"/>
          <w:szCs w:val="36"/>
        </w:rPr>
      </w:pPr>
      <w:r>
        <w:rPr>
          <w:rFonts w:hint="eastAsia"/>
          <w:b/>
          <w:color w:val="000000"/>
          <w:sz w:val="36"/>
          <w:szCs w:val="36"/>
        </w:rPr>
        <w:t>（注：标识</w:t>
      </w:r>
      <w:r>
        <w:rPr>
          <w:rFonts w:hint="eastAsia"/>
          <w:b/>
          <w:color w:val="FF0000"/>
          <w:sz w:val="36"/>
          <w:szCs w:val="36"/>
        </w:rPr>
        <w:t>★</w:t>
      </w:r>
      <w:r>
        <w:rPr>
          <w:rFonts w:hint="eastAsia"/>
          <w:b/>
          <w:color w:val="000000"/>
          <w:sz w:val="36"/>
          <w:szCs w:val="36"/>
        </w:rPr>
        <w:t>的地点为吸烟点）</w:t>
      </w:r>
    </w:p>
    <w:p>
      <w:pPr>
        <w:pStyle w:val="5"/>
        <w:snapToGrid w:val="0"/>
        <w:spacing w:before="2" w:after="0"/>
        <w:jc w:val="left"/>
        <w:textAlignment w:val="baseline"/>
        <w:rPr>
          <w:rFonts w:hint="eastAsia" w:ascii="仿宋" w:hAnsi="仿宋" w:eastAsia="仿宋" w:cs="仿宋"/>
          <w:b/>
          <w:bCs/>
          <w:sz w:val="32"/>
          <w:szCs w:val="32"/>
        </w:rPr>
      </w:pPr>
    </w:p>
    <w:p>
      <w:pPr>
        <w:numPr>
          <w:ilvl w:val="0"/>
          <w:numId w:val="3"/>
        </w:num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社湾校区</w:t>
      </w:r>
    </w:p>
    <w:p>
      <w:pPr>
        <w:numPr>
          <w:ilvl w:val="0"/>
          <w:numId w:val="4"/>
        </w:numPr>
        <w:snapToGrid w:val="0"/>
        <w:spacing w:line="596" w:lineRule="exact"/>
        <w:ind w:firstLine="643" w:firstLineChars="200"/>
        <w:textAlignment w:val="baseline"/>
        <w:outlineLvl w:val="9"/>
        <w:rPr>
          <w:rFonts w:hint="eastAsia" w:ascii="黑体" w:hAnsi="黑体" w:eastAsia="黑体"/>
          <w:b/>
          <w:sz w:val="32"/>
          <w:szCs w:val="32"/>
        </w:rPr>
      </w:pPr>
      <w:r>
        <w:rPr>
          <w:rFonts w:hint="eastAsia" w:ascii="黑体" w:hAnsi="黑体" w:eastAsia="黑体"/>
          <w:b/>
          <w:sz w:val="32"/>
          <w:szCs w:val="32"/>
        </w:rPr>
        <w:t>A区</w:t>
      </w:r>
    </w:p>
    <w:p>
      <w:pPr>
        <w:snapToGrid w:val="0"/>
        <w:spacing w:line="596" w:lineRule="exact"/>
        <w:ind w:firstLine="643" w:firstLineChars="200"/>
        <w:textAlignment w:val="baseline"/>
        <w:rPr>
          <w:rFonts w:hint="eastAsia" w:ascii="楷体_GB2312" w:eastAsia="楷体_GB2312"/>
          <w:b/>
          <w:sz w:val="32"/>
          <w:szCs w:val="32"/>
        </w:rPr>
      </w:pPr>
      <w:r>
        <w:rPr>
          <w:rFonts w:hint="eastAsia" w:ascii="楷体_GB2312" w:eastAsia="楷体_GB2312"/>
          <w:b/>
          <w:sz w:val="32"/>
          <w:szCs w:val="32"/>
        </w:rPr>
        <w:t>行政办公楼100后门拐角</w:t>
      </w:r>
    </w:p>
    <w:p>
      <w:pPr>
        <w:pStyle w:val="5"/>
        <w:snapToGrid w:val="0"/>
        <w:spacing w:before="2" w:after="0"/>
        <w:jc w:val="left"/>
        <w:textAlignment w:val="baseline"/>
        <w:rPr>
          <w:rFonts w:ascii="黑体"/>
        </w:rPr>
      </w:pPr>
      <w:r>
        <w:rPr>
          <w:rFonts w:ascii="黑体"/>
        </w:rPr>
        <w:drawing>
          <wp:inline distT="0" distB="0" distL="0" distR="0">
            <wp:extent cx="3911600" cy="3238500"/>
            <wp:effectExtent l="0" t="0" r="12700" b="0"/>
            <wp:docPr id="269" name="图片 269" descr="社湾A区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社湾A区_副本_副本"/>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911600" cy="3238500"/>
                    </a:xfrm>
                    <a:prstGeom prst="rect">
                      <a:avLst/>
                    </a:prstGeom>
                    <a:noFill/>
                    <a:ln>
                      <a:noFill/>
                    </a:ln>
                  </pic:spPr>
                </pic:pic>
              </a:graphicData>
            </a:graphic>
          </wp:inline>
        </w:drawing>
      </w:r>
    </w:p>
    <w:p>
      <w:pPr>
        <w:snapToGrid w:val="0"/>
        <w:spacing w:line="596" w:lineRule="exact"/>
        <w:textAlignment w:val="baseline"/>
        <w:rPr>
          <w:rFonts w:hint="eastAsia" w:ascii="黑体" w:hAnsi="黑体" w:eastAsia="黑体"/>
          <w:b/>
          <w:sz w:val="32"/>
          <w:szCs w:val="32"/>
        </w:rPr>
      </w:pPr>
    </w:p>
    <w:p>
      <w:pPr>
        <w:snapToGrid w:val="0"/>
        <w:spacing w:line="596" w:lineRule="exact"/>
        <w:ind w:firstLine="643" w:firstLineChars="200"/>
        <w:textAlignment w:val="baseline"/>
        <w:outlineLvl w:val="9"/>
        <w:rPr>
          <w:rFonts w:ascii="黑体" w:hAnsi="黑体" w:eastAsia="黑体"/>
          <w:b/>
          <w:sz w:val="32"/>
          <w:szCs w:val="32"/>
        </w:rPr>
      </w:pPr>
      <w:r>
        <w:rPr>
          <w:rFonts w:hint="eastAsia" w:ascii="黑体" w:hAnsi="黑体" w:eastAsia="黑体"/>
          <w:b/>
          <w:sz w:val="32"/>
          <w:szCs w:val="32"/>
        </w:rPr>
        <w:t>（二）B区</w:t>
      </w:r>
    </w:p>
    <w:p>
      <w:pPr>
        <w:pStyle w:val="5"/>
        <w:snapToGrid w:val="0"/>
        <w:spacing w:before="2" w:after="0" w:line="596" w:lineRule="exact"/>
        <w:ind w:firstLine="643" w:firstLineChars="200"/>
        <w:jc w:val="left"/>
        <w:textAlignment w:val="baseline"/>
        <w:rPr>
          <w:rFonts w:ascii="楷体_GB2312" w:eastAsia="楷体_GB2312"/>
          <w:b/>
          <w:sz w:val="32"/>
          <w:szCs w:val="32"/>
        </w:rPr>
      </w:pPr>
      <w:r>
        <w:rPr>
          <w:rFonts w:hint="eastAsia" w:ascii="楷体_GB2312" w:eastAsia="楷体_GB2312"/>
          <w:b/>
          <w:sz w:val="32"/>
          <w:szCs w:val="32"/>
        </w:rPr>
        <w:t>思贤楼北侧空地</w:t>
      </w:r>
    </w:p>
    <w:p>
      <w:pPr>
        <w:pStyle w:val="5"/>
        <w:snapToGrid w:val="0"/>
        <w:spacing w:before="2" w:after="0"/>
        <w:jc w:val="left"/>
        <w:textAlignment w:val="baseline"/>
        <w:rPr>
          <w:rFonts w:ascii="仿宋" w:hAnsi="仿宋" w:eastAsia="仿宋" w:cs="仿宋"/>
          <w:b/>
          <w:bCs/>
        </w:rPr>
      </w:pPr>
      <w:r>
        <w:rPr>
          <w:rFonts w:ascii="仿宋" w:hAnsi="仿宋" w:eastAsia="仿宋" w:cs="仿宋"/>
          <w:b/>
          <w:bCs/>
        </w:rPr>
        <w:drawing>
          <wp:inline distT="0" distB="0" distL="0" distR="0">
            <wp:extent cx="4102100" cy="2755900"/>
            <wp:effectExtent l="0" t="0" r="12700" b="6350"/>
            <wp:docPr id="268" name="图片 268" descr="社湾B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社湾B区_副本"/>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102100" cy="2755900"/>
                    </a:xfrm>
                    <a:prstGeom prst="rect">
                      <a:avLst/>
                    </a:prstGeom>
                    <a:noFill/>
                    <a:ln>
                      <a:noFill/>
                    </a:ln>
                  </pic:spPr>
                </pic:pic>
              </a:graphicData>
            </a:graphic>
          </wp:inline>
        </w:drawing>
      </w:r>
    </w:p>
    <w:p>
      <w:pPr>
        <w:snapToGrid w:val="0"/>
        <w:spacing w:line="596" w:lineRule="exact"/>
        <w:textAlignment w:val="baseline"/>
        <w:rPr>
          <w:rFonts w:hint="eastAsia" w:ascii="黑体" w:hAnsi="黑体" w:eastAsia="黑体"/>
          <w:b/>
          <w:sz w:val="32"/>
          <w:szCs w:val="32"/>
        </w:rPr>
      </w:pPr>
    </w:p>
    <w:p>
      <w:pPr>
        <w:snapToGrid w:val="0"/>
        <w:spacing w:line="596" w:lineRule="exact"/>
        <w:ind w:firstLine="643" w:firstLineChars="200"/>
        <w:textAlignment w:val="baseline"/>
        <w:outlineLvl w:val="9"/>
        <w:rPr>
          <w:rFonts w:ascii="黑体" w:hAnsi="黑体" w:eastAsia="黑体"/>
          <w:b/>
          <w:sz w:val="32"/>
          <w:szCs w:val="32"/>
        </w:rPr>
      </w:pPr>
      <w:r>
        <w:rPr>
          <w:rFonts w:hint="eastAsia" w:ascii="黑体" w:hAnsi="黑体" w:eastAsia="黑体"/>
          <w:b/>
          <w:sz w:val="32"/>
          <w:szCs w:val="32"/>
        </w:rPr>
        <w:t>（三）D区</w:t>
      </w:r>
    </w:p>
    <w:p>
      <w:pPr>
        <w:pStyle w:val="5"/>
        <w:snapToGrid w:val="0"/>
        <w:spacing w:before="2" w:after="0" w:line="596" w:lineRule="exact"/>
        <w:ind w:firstLine="643" w:firstLineChars="200"/>
        <w:jc w:val="left"/>
        <w:textAlignment w:val="baseline"/>
        <w:rPr>
          <w:rFonts w:hint="eastAsia" w:ascii="楷体_GB2312" w:eastAsia="楷体_GB2312"/>
          <w:b/>
          <w:sz w:val="32"/>
          <w:szCs w:val="32"/>
        </w:rPr>
      </w:pPr>
      <w:r>
        <w:rPr>
          <w:rFonts w:hint="eastAsia" w:ascii="楷体_GB2312" w:eastAsia="楷体_GB2312"/>
          <w:b/>
          <w:sz w:val="32"/>
          <w:szCs w:val="32"/>
        </w:rPr>
        <w:t>1.德馨楼东侧空地</w:t>
      </w:r>
    </w:p>
    <w:p>
      <w:pPr>
        <w:pStyle w:val="5"/>
        <w:snapToGrid w:val="0"/>
        <w:spacing w:before="2" w:after="0" w:line="596" w:lineRule="exact"/>
        <w:ind w:firstLine="643" w:firstLineChars="200"/>
        <w:jc w:val="left"/>
        <w:textAlignment w:val="baseline"/>
        <w:rPr>
          <w:rFonts w:hint="eastAsia" w:ascii="楷体_GB2312" w:eastAsia="楷体_GB2312"/>
          <w:b/>
          <w:sz w:val="32"/>
          <w:szCs w:val="32"/>
        </w:rPr>
      </w:pPr>
      <w:r>
        <w:rPr>
          <w:rFonts w:hint="eastAsia" w:ascii="楷体_GB2312" w:eastAsia="楷体_GB2312"/>
          <w:b/>
          <w:sz w:val="32"/>
          <w:szCs w:val="32"/>
        </w:rPr>
        <w:t>(取消原设在行健楼东侧榕树下、图书馆东面侧门外通道两处吸烟点)</w:t>
      </w:r>
    </w:p>
    <w:p>
      <w:pPr>
        <w:pStyle w:val="5"/>
        <w:snapToGrid w:val="0"/>
        <w:spacing w:before="2" w:after="0" w:line="596" w:lineRule="exact"/>
        <w:ind w:firstLine="643" w:firstLineChars="200"/>
        <w:jc w:val="left"/>
        <w:textAlignment w:val="baseline"/>
        <w:rPr>
          <w:rFonts w:ascii="楷体_GB2312" w:eastAsia="楷体_GB2312"/>
          <w:b/>
          <w:sz w:val="32"/>
          <w:szCs w:val="32"/>
        </w:rPr>
      </w:pPr>
    </w:p>
    <w:p>
      <w:pPr>
        <w:pStyle w:val="5"/>
        <w:snapToGrid w:val="0"/>
        <w:spacing w:before="2" w:after="0"/>
        <w:jc w:val="left"/>
        <w:textAlignment w:val="baseline"/>
        <w:rPr>
          <w:rFonts w:ascii="仿宋" w:hAnsi="仿宋" w:eastAsia="仿宋" w:cs="仿宋"/>
          <w:b/>
          <w:bCs/>
          <w:sz w:val="32"/>
          <w:szCs w:val="32"/>
        </w:rPr>
      </w:pPr>
      <w:r>
        <w:rPr>
          <w:rFonts w:ascii="仿宋" w:hAnsi="仿宋" w:eastAsia="仿宋" w:cs="仿宋"/>
          <w:b/>
          <w:bCs/>
          <w:sz w:val="32"/>
          <w:szCs w:val="32"/>
        </w:rPr>
        <w:drawing>
          <wp:inline distT="0" distB="0" distL="0" distR="0">
            <wp:extent cx="4241800" cy="3022600"/>
            <wp:effectExtent l="0" t="0" r="6350" b="6350"/>
            <wp:docPr id="267" name="图片 267" descr="社湾D区2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社湾D区2_副本_副本"/>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41800" cy="3022600"/>
                    </a:xfrm>
                    <a:prstGeom prst="rect">
                      <a:avLst/>
                    </a:prstGeom>
                    <a:noFill/>
                    <a:ln>
                      <a:noFill/>
                    </a:ln>
                  </pic:spPr>
                </pic:pic>
              </a:graphicData>
            </a:graphic>
          </wp:inline>
        </w:drawing>
      </w:r>
    </w:p>
    <w:p>
      <w:pPr>
        <w:pStyle w:val="5"/>
        <w:snapToGrid w:val="0"/>
        <w:spacing w:before="2" w:after="0"/>
        <w:ind w:left="420" w:leftChars="200"/>
        <w:jc w:val="left"/>
        <w:textAlignment w:val="baseline"/>
        <w:rPr>
          <w:rFonts w:hint="eastAsia" w:ascii="仿宋" w:hAnsi="仿宋" w:eastAsia="仿宋" w:cs="仿宋"/>
          <w:b/>
          <w:bCs/>
          <w:sz w:val="32"/>
          <w:szCs w:val="32"/>
        </w:rPr>
      </w:pPr>
    </w:p>
    <w:p>
      <w:pPr>
        <w:pStyle w:val="5"/>
        <w:snapToGrid w:val="0"/>
        <w:spacing w:before="2" w:after="0" w:line="596" w:lineRule="exact"/>
        <w:ind w:firstLine="643" w:firstLineChars="200"/>
        <w:jc w:val="left"/>
        <w:textAlignment w:val="baseline"/>
        <w:rPr>
          <w:rFonts w:hint="eastAsia" w:ascii="楷体_GB2312" w:eastAsia="楷体_GB2312"/>
          <w:b/>
          <w:sz w:val="32"/>
          <w:szCs w:val="32"/>
        </w:rPr>
      </w:pPr>
      <w:r>
        <w:rPr>
          <w:rFonts w:hint="eastAsia" w:ascii="楷体_GB2312" w:eastAsia="楷体_GB2312"/>
          <w:b/>
          <w:sz w:val="32"/>
          <w:szCs w:val="32"/>
        </w:rPr>
        <w:t>2.天工楼与体育馆之间空地</w:t>
      </w:r>
    </w:p>
    <w:p>
      <w:pPr>
        <w:pStyle w:val="5"/>
        <w:snapToGrid w:val="0"/>
        <w:spacing w:before="2" w:after="0" w:line="596" w:lineRule="exact"/>
        <w:jc w:val="left"/>
        <w:textAlignment w:val="baseline"/>
        <w:rPr>
          <w:rFonts w:hint="eastAsia" w:ascii="楷体_GB2312" w:eastAsia="楷体_GB2312"/>
          <w:b/>
          <w:sz w:val="32"/>
          <w:szCs w:val="32"/>
        </w:rPr>
      </w:pPr>
    </w:p>
    <w:p>
      <w:pPr>
        <w:pStyle w:val="5"/>
        <w:snapToGrid w:val="0"/>
        <w:spacing w:before="2" w:after="0"/>
        <w:jc w:val="left"/>
        <w:textAlignment w:val="baseline"/>
        <w:rPr>
          <w:rFonts w:ascii="仿宋" w:hAnsi="仿宋" w:eastAsia="仿宋" w:cs="仿宋"/>
          <w:b/>
          <w:bCs/>
          <w:sz w:val="32"/>
          <w:szCs w:val="32"/>
        </w:rPr>
      </w:pPr>
      <w:r>
        <w:rPr>
          <w:rFonts w:ascii="仿宋" w:hAnsi="仿宋" w:eastAsia="仿宋" w:cs="仿宋"/>
          <w:b/>
          <w:bCs/>
          <w:sz w:val="32"/>
          <w:szCs w:val="32"/>
        </w:rPr>
        <w:drawing>
          <wp:inline distT="0" distB="0" distL="0" distR="0">
            <wp:extent cx="4076700" cy="2552700"/>
            <wp:effectExtent l="0" t="0" r="0" b="0"/>
            <wp:docPr id="266" name="图片 266" descr="社湾D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社湾D区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076700" cy="2552700"/>
                    </a:xfrm>
                    <a:prstGeom prst="rect">
                      <a:avLst/>
                    </a:prstGeom>
                    <a:noFill/>
                    <a:ln>
                      <a:noFill/>
                    </a:ln>
                  </pic:spPr>
                </pic:pic>
              </a:graphicData>
            </a:graphic>
          </wp:inline>
        </w:drawing>
      </w:r>
    </w:p>
    <w:p>
      <w:pPr>
        <w:pStyle w:val="5"/>
        <w:snapToGrid w:val="0"/>
        <w:spacing w:before="2" w:after="0"/>
        <w:jc w:val="left"/>
        <w:textAlignment w:val="baseline"/>
        <w:rPr>
          <w:rFonts w:ascii="仿宋" w:hAnsi="仿宋" w:eastAsia="仿宋" w:cs="仿宋"/>
          <w:b/>
          <w:bCs/>
          <w:sz w:val="32"/>
          <w:szCs w:val="32"/>
        </w:rPr>
      </w:pPr>
    </w:p>
    <w:p>
      <w:pPr>
        <w:numPr>
          <w:ilvl w:val="0"/>
          <w:numId w:val="3"/>
        </w:numPr>
        <w:snapToGrid w:val="0"/>
        <w:spacing w:line="596" w:lineRule="exact"/>
        <w:ind w:firstLine="643" w:firstLineChars="200"/>
        <w:textAlignment w:val="baseline"/>
        <w:outlineLvl w:val="9"/>
        <w:rPr>
          <w:rFonts w:ascii="黑体" w:hAnsi="黑体" w:eastAsia="黑体"/>
          <w:b/>
          <w:sz w:val="32"/>
          <w:szCs w:val="32"/>
        </w:rPr>
      </w:pPr>
      <w:r>
        <w:rPr>
          <w:rFonts w:hint="eastAsia" w:ascii="黑体" w:hAnsi="黑体" w:eastAsia="黑体"/>
          <w:b/>
          <w:sz w:val="32"/>
          <w:szCs w:val="32"/>
        </w:rPr>
        <w:t>官塘校区</w:t>
      </w:r>
    </w:p>
    <w:p>
      <w:pPr>
        <w:pStyle w:val="5"/>
        <w:numPr>
          <w:ilvl w:val="0"/>
          <w:numId w:val="5"/>
        </w:numPr>
        <w:snapToGrid w:val="0"/>
        <w:spacing w:before="2" w:after="0" w:line="596" w:lineRule="exact"/>
        <w:ind w:firstLine="321" w:firstLineChars="100"/>
        <w:jc w:val="left"/>
        <w:textAlignment w:val="baseline"/>
        <w:outlineLvl w:val="9"/>
        <w:rPr>
          <w:rFonts w:hint="eastAsia" w:ascii="楷体_GB2312" w:eastAsia="楷体_GB2312"/>
          <w:b/>
          <w:sz w:val="32"/>
          <w:szCs w:val="32"/>
        </w:rPr>
      </w:pPr>
      <w:r>
        <w:rPr>
          <w:rFonts w:hint="eastAsia" w:ascii="楷体_GB2312" w:eastAsia="楷体_GB2312"/>
          <w:b/>
          <w:sz w:val="32"/>
          <w:szCs w:val="32"/>
        </w:rPr>
        <w:t>教学楼T1、T2、T3、T4各栋一楼D区架空层区域</w:t>
      </w:r>
    </w:p>
    <w:p>
      <w:pPr>
        <w:pStyle w:val="5"/>
        <w:snapToGrid w:val="0"/>
        <w:spacing w:before="2" w:after="0" w:line="596" w:lineRule="exact"/>
        <w:jc w:val="left"/>
        <w:textAlignment w:val="baseline"/>
        <w:rPr>
          <w:rFonts w:ascii="楷体_GB2312" w:eastAsia="楷体_GB2312"/>
          <w:b/>
          <w:sz w:val="32"/>
          <w:szCs w:val="32"/>
        </w:rPr>
      </w:pPr>
    </w:p>
    <w:p>
      <w:pPr>
        <w:pStyle w:val="5"/>
        <w:snapToGrid w:val="0"/>
        <w:spacing w:before="2" w:after="0"/>
        <w:jc w:val="left"/>
        <w:textAlignment w:val="baseline"/>
        <w:rPr>
          <w:rFonts w:hint="eastAsia" w:ascii="仿宋" w:hAnsi="仿宋" w:eastAsia="仿宋" w:cs="仿宋"/>
          <w:b/>
          <w:bCs/>
          <w:sz w:val="32"/>
          <w:szCs w:val="32"/>
        </w:rPr>
      </w:pPr>
      <w:r>
        <w:rPr>
          <w:rFonts w:hint="eastAsia" w:ascii="仿宋" w:hAnsi="仿宋" w:eastAsia="仿宋" w:cs="仿宋"/>
          <w:b/>
          <w:bCs/>
          <w:sz w:val="32"/>
          <w:szCs w:val="32"/>
        </w:rPr>
        <w:t xml:space="preserve">   </w:t>
      </w:r>
      <w:r>
        <w:rPr>
          <w:rFonts w:hint="eastAsia" w:ascii="仿宋" w:hAnsi="仿宋" w:eastAsia="仿宋" w:cs="仿宋"/>
          <w:b/>
          <w:bCs/>
          <w:sz w:val="32"/>
          <w:szCs w:val="32"/>
        </w:rPr>
        <w:drawing>
          <wp:inline distT="0" distB="0" distL="0" distR="0">
            <wp:extent cx="3860800" cy="2895600"/>
            <wp:effectExtent l="0" t="0" r="6350" b="0"/>
            <wp:docPr id="265" name="图片 265" descr="官塘教学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官塘教学区_副本"/>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860800" cy="2895600"/>
                    </a:xfrm>
                    <a:prstGeom prst="rect">
                      <a:avLst/>
                    </a:prstGeom>
                    <a:noFill/>
                    <a:ln>
                      <a:noFill/>
                    </a:ln>
                  </pic:spPr>
                </pic:pic>
              </a:graphicData>
            </a:graphic>
          </wp:inline>
        </w:drawing>
      </w:r>
    </w:p>
    <w:p>
      <w:pPr>
        <w:pStyle w:val="5"/>
        <w:snapToGrid w:val="0"/>
        <w:spacing w:before="2" w:after="0"/>
        <w:jc w:val="left"/>
        <w:textAlignment w:val="baseline"/>
        <w:rPr>
          <w:rFonts w:ascii="仿宋" w:hAnsi="仿宋" w:eastAsia="仿宋" w:cs="仿宋"/>
          <w:b/>
          <w:bCs/>
          <w:sz w:val="32"/>
          <w:szCs w:val="32"/>
        </w:rPr>
      </w:pPr>
    </w:p>
    <w:p>
      <w:pPr>
        <w:pStyle w:val="5"/>
        <w:snapToGrid w:val="0"/>
        <w:spacing w:before="2" w:after="0" w:line="596" w:lineRule="exact"/>
        <w:ind w:firstLine="321" w:firstLineChars="100"/>
        <w:jc w:val="left"/>
        <w:textAlignment w:val="baseline"/>
        <w:outlineLvl w:val="9"/>
        <w:rPr>
          <w:rFonts w:hint="eastAsia" w:ascii="楷体_GB2312" w:eastAsia="楷体_GB2312"/>
          <w:b/>
          <w:sz w:val="32"/>
          <w:szCs w:val="32"/>
        </w:rPr>
      </w:pPr>
      <w:r>
        <w:rPr>
          <w:rFonts w:hint="eastAsia" w:ascii="楷体_GB2312" w:eastAsia="楷体_GB2312"/>
          <w:b/>
          <w:sz w:val="32"/>
          <w:szCs w:val="32"/>
        </w:rPr>
        <w:t>2.学生宿舍D2、D4各栋一楼架空层东侧区域</w:t>
      </w:r>
    </w:p>
    <w:p>
      <w:pPr>
        <w:pStyle w:val="5"/>
        <w:snapToGrid w:val="0"/>
        <w:spacing w:before="2" w:after="0" w:line="596" w:lineRule="exact"/>
        <w:jc w:val="left"/>
        <w:textAlignment w:val="baseline"/>
        <w:rPr>
          <w:rFonts w:hint="eastAsia" w:ascii="楷体_GB2312" w:eastAsia="楷体_GB2312"/>
          <w:b/>
          <w:sz w:val="32"/>
          <w:szCs w:val="32"/>
        </w:rPr>
      </w:pPr>
    </w:p>
    <w:p>
      <w:pPr>
        <w:pStyle w:val="5"/>
        <w:snapToGrid w:val="0"/>
        <w:spacing w:before="2" w:after="0"/>
        <w:ind w:left="420" w:leftChars="200"/>
        <w:jc w:val="left"/>
        <w:textAlignment w:val="baseline"/>
        <w:rPr>
          <w:rFonts w:ascii="仿宋" w:hAnsi="仿宋" w:eastAsia="仿宋" w:cs="仿宋"/>
          <w:b/>
          <w:bCs/>
          <w:sz w:val="32"/>
          <w:szCs w:val="32"/>
        </w:rPr>
      </w:pPr>
      <w:r>
        <w:rPr>
          <w:rFonts w:ascii="仿宋" w:hAnsi="仿宋" w:eastAsia="仿宋" w:cs="仿宋"/>
          <w:b/>
          <w:bCs/>
          <w:sz w:val="32"/>
          <w:szCs w:val="32"/>
        </w:rPr>
        <w:drawing>
          <wp:inline distT="0" distB="0" distL="0" distR="0">
            <wp:extent cx="3937000" cy="2946400"/>
            <wp:effectExtent l="0" t="0" r="6350" b="6350"/>
            <wp:docPr id="264" name="图片 264" descr="官塘宿舍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官塘宿舍区_副本"/>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937000" cy="2946400"/>
                    </a:xfrm>
                    <a:prstGeom prst="rect">
                      <a:avLst/>
                    </a:prstGeom>
                    <a:noFill/>
                    <a:ln>
                      <a:noFill/>
                    </a:ln>
                  </pic:spPr>
                </pic:pic>
              </a:graphicData>
            </a:graphic>
          </wp:inline>
        </w:drawing>
      </w:r>
    </w:p>
    <w:p>
      <w:pPr>
        <w:spacing w:line="596" w:lineRule="exact"/>
        <w:ind w:firstLine="640" w:firstLineChars="200"/>
        <w:rPr>
          <w:rFonts w:hint="eastAsia" w:ascii="仿宋_GB2312" w:hAnsi="宋体" w:eastAsia="仿宋_GB2312" w:cs="宋体"/>
          <w:bCs/>
          <w:sz w:val="32"/>
          <w:szCs w:val="32"/>
        </w:rPr>
      </w:pPr>
    </w:p>
    <w:p>
      <w:pPr>
        <w:widowControl/>
        <w:jc w:val="left"/>
        <w:rPr>
          <w:rFonts w:hint="eastAsia" w:ascii="Calibri" w:hAnsi="Calibri"/>
          <w:b/>
          <w:color w:val="000000"/>
          <w:sz w:val="36"/>
          <w:szCs w:val="36"/>
        </w:rPr>
        <w:sectPr>
          <w:pgSz w:w="11906" w:h="16838"/>
          <w:pgMar w:top="1440" w:right="1800" w:bottom="1440" w:left="1800" w:header="851" w:footer="992" w:gutter="0"/>
          <w:pgNumType w:fmt="decimal"/>
          <w:cols w:space="425" w:num="1"/>
          <w:docGrid w:type="lines" w:linePitch="312" w:charSpace="0"/>
        </w:sectPr>
      </w:pPr>
      <w:r>
        <w:rPr>
          <w:rFonts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09" w:name="_Toc28002"/>
      <w:r>
        <w:rPr>
          <w:rFonts w:hint="eastAsia" w:ascii="Calibri" w:hAnsi="Calibri"/>
          <w:b/>
          <w:color w:val="000000"/>
          <w:sz w:val="36"/>
          <w:szCs w:val="36"/>
        </w:rPr>
        <w:t>柳州职业技术学院中层干部管理办法</w:t>
      </w:r>
      <w:bookmarkEnd w:id="285"/>
      <w:bookmarkEnd w:id="286"/>
      <w:bookmarkEnd w:id="287"/>
      <w:bookmarkEnd w:id="309"/>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r>
        <w:rPr>
          <w:rFonts w:hint="eastAsia" w:ascii="仿宋_GB2312" w:eastAsia="仿宋_GB2312"/>
          <w:bCs/>
          <w:sz w:val="32"/>
          <w:szCs w:val="32"/>
        </w:rPr>
        <w:t>（柳职院党字〔2021〕38 号）</w:t>
      </w:r>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p>
    <w:p>
      <w:pPr>
        <w:pageBreakBefore w:val="0"/>
        <w:kinsoku/>
        <w:wordWrap/>
        <w:overflowPunct/>
        <w:topLinePunct w:val="0"/>
        <w:autoSpaceDE/>
        <w:autoSpaceDN/>
        <w:bidi w:val="0"/>
        <w:spacing w:line="596" w:lineRule="exact"/>
        <w:jc w:val="center"/>
        <w:outlineLvl w:val="9"/>
        <w:rPr>
          <w:rFonts w:hint="eastAsia" w:ascii="仿宋_GB2312" w:hAnsi="宋体" w:eastAsia="仿宋_GB2312" w:cs="宋体"/>
          <w:b/>
          <w:kern w:val="0"/>
          <w:sz w:val="32"/>
          <w:szCs w:val="32"/>
        </w:rPr>
      </w:pPr>
      <w:r>
        <w:rPr>
          <w:rFonts w:hint="eastAsia" w:ascii="黑体" w:hAnsi="宋体" w:eastAsia="黑体" w:cs="宋体"/>
          <w:b/>
          <w:kern w:val="0"/>
          <w:sz w:val="32"/>
          <w:szCs w:val="32"/>
        </w:rPr>
        <w:t>第一章  总  则</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第一条</w:t>
      </w:r>
      <w:r>
        <w:rPr>
          <w:rFonts w:hint="eastAsia" w:ascii="仿宋_GB2312" w:hAnsi="宋体" w:eastAsia="仿宋_GB2312" w:cs="宋体"/>
          <w:kern w:val="0"/>
          <w:sz w:val="32"/>
          <w:szCs w:val="32"/>
        </w:rPr>
        <w:t xml:space="preserve">  为深入贯彻新时代党的组织路线和干部工作方针政策，建立健全科学规范的干部管理制度，建设一支信念坚定、为民服务、勤政务实、敢于担当、清正廉洁的高素质专业化干部队伍，为推动学校高质量发展提供坚强的组织和人才保障，根据《党政领导干部选拔任用工作条例》（2019年修订版）、《广西设区市以下事业单位领导人员管理暂行办法》等党内法规和有关文件精神，结合学校实际，制定本办法。</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b/>
          <w:kern w:val="0"/>
          <w:sz w:val="32"/>
          <w:szCs w:val="32"/>
        </w:rPr>
      </w:pPr>
      <w:r>
        <w:rPr>
          <w:rFonts w:hint="eastAsia" w:ascii="仿宋_GB2312" w:hAnsi="宋体" w:eastAsia="仿宋_GB2312" w:cs="宋体"/>
          <w:b/>
          <w:kern w:val="0"/>
          <w:sz w:val="32"/>
          <w:szCs w:val="32"/>
        </w:rPr>
        <w:t>第二条</w:t>
      </w:r>
      <w:r>
        <w:rPr>
          <w:rFonts w:hint="eastAsia" w:ascii="仿宋_GB2312" w:hAnsi="宋体" w:eastAsia="仿宋_GB2312" w:cs="宋体"/>
          <w:kern w:val="0"/>
          <w:sz w:val="32"/>
          <w:szCs w:val="32"/>
        </w:rPr>
        <w:t xml:space="preserve">  本办法适用于全校中层干部，包括校内党政管理机构、教辅机构、教学科研机构（二级学院）和按有关规定设立的纪检监察、群团机构的领导班子成员（含部门正、副职领导）。管理工作内容包括中层干部的选拔任用、教育培训、监督管理、考核评价等。</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第三条</w:t>
      </w:r>
      <w:r>
        <w:rPr>
          <w:rFonts w:hint="eastAsia" w:ascii="仿宋_GB2312" w:hAnsi="宋体" w:eastAsia="仿宋_GB2312" w:cs="宋体"/>
          <w:kern w:val="0"/>
          <w:sz w:val="32"/>
          <w:szCs w:val="32"/>
        </w:rPr>
        <w:t xml:space="preserve">  中层干部管理工作坚持的原则：</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（一）党管干部；</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（二）德才兼备、以德为先，五湖四海、任人唯贤；</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（三）事业为上、人岗相适、人事相宜；</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（四）公道正派、注重实绩、群众公认；</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（五）民主集中制；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（六）分级分类管理；</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（七）注重潜力、重视培养；</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（八）依法依规办事。</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第四条</w:t>
      </w:r>
      <w:r>
        <w:rPr>
          <w:rFonts w:hint="eastAsia" w:ascii="仿宋_GB2312" w:hAnsi="宋体" w:eastAsia="仿宋_GB2312" w:cs="宋体"/>
          <w:kern w:val="0"/>
          <w:sz w:val="32"/>
          <w:szCs w:val="32"/>
        </w:rPr>
        <w:t xml:space="preserve">  按照干部管理权限，全校中层干部由校党委统一管理，校党委组织部是管理中层干部的职能部门，负责中层干部各项管理工作的具体实施。</w:t>
      </w:r>
    </w:p>
    <w:p>
      <w:pPr>
        <w:pageBreakBefore w:val="0"/>
        <w:kinsoku/>
        <w:wordWrap/>
        <w:overflowPunct/>
        <w:topLinePunct w:val="0"/>
        <w:autoSpaceDE/>
        <w:autoSpaceDN/>
        <w:bidi w:val="0"/>
        <w:spacing w:line="596" w:lineRule="exact"/>
        <w:outlineLvl w:val="9"/>
        <w:rPr>
          <w:rFonts w:hint="eastAsia" w:ascii="仿宋_GB2312" w:hAnsi="宋体" w:eastAsia="仿宋_GB2312" w:cs="宋体"/>
          <w:kern w:val="0"/>
          <w:sz w:val="32"/>
          <w:szCs w:val="32"/>
        </w:rPr>
      </w:pPr>
    </w:p>
    <w:p>
      <w:pPr>
        <w:pageBreakBefore w:val="0"/>
        <w:kinsoku/>
        <w:wordWrap/>
        <w:overflowPunct/>
        <w:topLinePunct w:val="0"/>
        <w:autoSpaceDE/>
        <w:autoSpaceDN/>
        <w:bidi w:val="0"/>
        <w:spacing w:line="596" w:lineRule="exact"/>
        <w:jc w:val="center"/>
        <w:outlineLvl w:val="9"/>
        <w:rPr>
          <w:rFonts w:hint="eastAsia" w:ascii="仿宋_GB2312" w:hAnsi="宋体" w:eastAsia="仿宋_GB2312" w:cs="宋体"/>
          <w:kern w:val="0"/>
          <w:sz w:val="32"/>
          <w:szCs w:val="32"/>
        </w:rPr>
      </w:pPr>
      <w:r>
        <w:rPr>
          <w:rFonts w:hint="eastAsia" w:ascii="黑体" w:hAnsi="宋体" w:eastAsia="黑体" w:cs="宋体"/>
          <w:b/>
          <w:kern w:val="0"/>
          <w:sz w:val="32"/>
          <w:szCs w:val="32"/>
        </w:rPr>
        <w:t>第二章   中层干部的选拔任用</w:t>
      </w:r>
    </w:p>
    <w:p>
      <w:pPr>
        <w:pageBreakBefore w:val="0"/>
        <w:kinsoku/>
        <w:wordWrap/>
        <w:overflowPunct/>
        <w:topLinePunct w:val="0"/>
        <w:autoSpaceDE/>
        <w:autoSpaceDN/>
        <w:bidi w:val="0"/>
        <w:spacing w:line="596" w:lineRule="exact"/>
        <w:ind w:firstLine="630" w:firstLineChars="196"/>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第五条</w:t>
      </w:r>
      <w:r>
        <w:rPr>
          <w:rFonts w:hint="eastAsia" w:ascii="仿宋_GB2312" w:hAnsi="宋体" w:eastAsia="仿宋_GB2312" w:cs="宋体"/>
          <w:kern w:val="0"/>
          <w:sz w:val="32"/>
          <w:szCs w:val="32"/>
        </w:rPr>
        <w:t xml:space="preserve">  中层干部应当具备以下基本条件：</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自觉坚持以马克思列宁主义、毛泽东思想、邓小平理论、“三个代表”重要思想、科学发展观、习近平新时代中国特色社会主义思想为指导，努力用马克思主义立场、观点、方法分析和解决实际问题，坚持讲学习、讲政治、讲正气，牢固树立政治意识、大局意识、核心意识、看齐意识，坚决维护习近平总书记核心地位，坚决维护党中央权威和集中统一领导，自觉在思想上、政治上、行动上同党中央保持高度一致，经得起各种风浪考验。</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具有共产主义远大理想和中国特色社会主义坚定信念，坚定道路自信、理论自信、制度自信、文化自信，坚决贯彻执行党的理论和路线方针政策，立志改革开放，献身新时代教育事业，在社会主义建设中艰苦创业，树立正确政绩观，做出经得起实践、人民、历史检验的实绩。</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坚持解放思想，实事求是，与时俱进，求真务实，认真调查研究，能够把党的方针政策同教育工作实际相结合，卓有成效地开展工作，落实“三严三实”要求，主动担当作为，真抓实干，讲实话，办实事，求实效。</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（四）有强烈的事业心、责任感和使命感，忠诚党的教育事业，求真务实，团结协作，遵纪守法，敢于担当，勤勉尽责，群众威信高。</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正确行使权力，坚持原则，敢抓敢管，依法办事，以身作则，艰苦朴素，勤俭节约，坚持党的群众路线，密切联系群众，自觉接受党和群众的批评、监督，加强道德修养，讲党性、重品行、作表率，带头践行社会主义核心价值观，廉洁从政、廉洁用权、廉洁修身、廉洁齐家，做到自重、自省、自警、自励，反对形式主义、官僚主义、享乐主义和奢靡之风，反对任何滥用职权、谋求私利的行为。</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（六）坚持和维护党的民主集中制，有民主作风，有全局观念，善于团结同志，包括团结同自己有不同意见的同志一道工作。</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（七）组织领导能力强，善于科学管理、沟通协调、依法办事、推动落实，有较强的服务意识和改革创新精神，工作实绩突出。</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（八）具有胜任岗位职责所必需的专业能力、专业精神和专业素养，有相关从业经历（实践经验），有较好的理论和政策水平。</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（九）担任党内领导职务的领导人员，应当牢固树立党建责任意识，熟悉党务，善于做思想政治工作。正职领导人员，应当具有驾驭全局的能力，善于抓班子带队伍，民主作风好。</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第六条</w:t>
      </w:r>
      <w:r>
        <w:rPr>
          <w:rFonts w:hint="eastAsia" w:ascii="仿宋_GB2312" w:hAnsi="宋体" w:eastAsia="仿宋_GB2312" w:cs="宋体"/>
          <w:kern w:val="0"/>
          <w:sz w:val="32"/>
          <w:szCs w:val="32"/>
        </w:rPr>
        <w:t xml:space="preserve">  中层干部应当具备以下基本资格：</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（一）一般应当具有大学本科及以上文化程度。</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（二）提任六级及以上管理岗位领导职务的，一般应当具有五年以上工作经历；提任七级管理岗位领导职务的，一般应当具有四年以上工作经历。</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（三）提任中层正职的，应当具有中层副职岗位两年及以上任职经历。</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（四）提任教学管理、科研管理行政职能部门正职以及教学科研机构（二级学院）行政正职的，应当具有副高级及以上专业技术职务。</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（五）具有正常履行职责的身体条件。</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（六）符合有关党内法规、法律法规和行业主管部门规定的其他任职资格要求。担任党内领导职务的，还应当符合《中国共产党章程》等规定的党龄要求。</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第七条</w:t>
      </w:r>
      <w:r>
        <w:rPr>
          <w:rFonts w:hint="eastAsia" w:ascii="仿宋_GB2312" w:hAnsi="宋体" w:eastAsia="仿宋_GB2312" w:cs="宋体"/>
          <w:kern w:val="0"/>
          <w:sz w:val="32"/>
          <w:szCs w:val="32"/>
        </w:rPr>
        <w:t xml:space="preserve">  从管理岗位提任中层干部，其任职资格应当符合第六条的规定，并具有相应管理岗位的任职经历，其中：</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（一）提任五级管理岗位领导职务的，应当具有两年及以上六级管理岗位经历。</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（二）提任六级管理岗位领导职务的，应当具有三年及以上七级管理岗位经历。</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b/>
          <w:kern w:val="0"/>
          <w:sz w:val="32"/>
          <w:szCs w:val="32"/>
        </w:rPr>
      </w:pPr>
      <w:r>
        <w:rPr>
          <w:rFonts w:hint="eastAsia" w:ascii="仿宋_GB2312" w:hAnsi="宋体" w:eastAsia="仿宋_GB2312" w:cs="宋体"/>
          <w:kern w:val="0"/>
          <w:sz w:val="32"/>
          <w:szCs w:val="32"/>
        </w:rPr>
        <w:t>（三）提任七级管理岗位领导职务的，应当具有两年及以上八级管理岗位经历。</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第八条</w:t>
      </w:r>
      <w:r>
        <w:rPr>
          <w:rFonts w:hint="eastAsia" w:ascii="仿宋_GB2312" w:hAnsi="宋体" w:eastAsia="仿宋_GB2312" w:cs="宋体"/>
          <w:kern w:val="0"/>
          <w:sz w:val="32"/>
          <w:szCs w:val="32"/>
        </w:rPr>
        <w:t xml:space="preserve">  从专业技术岗位到中层干部岗位担任领导职务的，其任职资格应当符合第六条规定，并具有相应的专业技术职务（岗位）任职经历和一定的管理工作经历，其中：</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（一）担任五级管理岗位领导职务的，一般应当已担任正高级专业技术职务或者两年以上副高级专业技术职务。</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（二）担任六级管理岗位领导职务的，一般应当已担任副高级及以上专业技术职务或者五年以上中级专业技术职务。</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color w:val="0000FF"/>
          <w:kern w:val="0"/>
          <w:sz w:val="32"/>
          <w:szCs w:val="32"/>
        </w:rPr>
      </w:pPr>
      <w:r>
        <w:rPr>
          <w:rFonts w:hint="eastAsia" w:ascii="仿宋_GB2312" w:hAnsi="宋体" w:eastAsia="仿宋_GB2312" w:cs="宋体"/>
          <w:kern w:val="0"/>
          <w:sz w:val="32"/>
          <w:szCs w:val="32"/>
        </w:rPr>
        <w:t>（三）担任七级管理岗位领导职务的，一般应当已担任副高级及以上专业技术职务或者两年以上中级专业技术职务。</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b/>
          <w:kern w:val="0"/>
          <w:sz w:val="32"/>
          <w:szCs w:val="32"/>
        </w:rPr>
      </w:pPr>
      <w:r>
        <w:rPr>
          <w:rFonts w:hint="eastAsia" w:ascii="仿宋_GB2312" w:hAnsi="宋体" w:eastAsia="仿宋_GB2312" w:cs="宋体"/>
          <w:b/>
          <w:kern w:val="0"/>
          <w:sz w:val="32"/>
          <w:szCs w:val="32"/>
        </w:rPr>
        <w:t xml:space="preserve">第九条  </w:t>
      </w:r>
      <w:r>
        <w:rPr>
          <w:rFonts w:hint="eastAsia" w:ascii="仿宋_GB2312" w:hAnsi="宋体" w:eastAsia="仿宋_GB2312" w:cs="宋体"/>
          <w:kern w:val="0"/>
          <w:sz w:val="32"/>
          <w:szCs w:val="32"/>
        </w:rPr>
        <w:t>从校外调入、引进的在任正科级（七级管理岗位）及以上的干部，根据学校工作需要，在中层副职岗位有空缺时，经组织考察、职级比照、党委研究、公示等环节，可直接任命为中层副职干部。</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第十条</w:t>
      </w:r>
      <w:r>
        <w:rPr>
          <w:rFonts w:hint="eastAsia" w:ascii="仿宋_GB2312" w:hAnsi="宋体" w:eastAsia="仿宋_GB2312" w:cs="宋体"/>
          <w:kern w:val="0"/>
          <w:sz w:val="32"/>
          <w:szCs w:val="32"/>
        </w:rPr>
        <w:t xml:space="preserve">  特别优秀或者工作特殊需要的高层次人才，可以适当放宽任职资格。其中，获得全日制博士学位的研究生担任七级管理岗位领导职务的，可以不受任职经历和工作经历的限制。放宽任职资格以及从专业技术岗位到中层干部岗位担任领导职务正职或者担任六级及以上管理岗位领导职务的，必须从严掌握，并报上级组织部门审批。</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第十一条</w:t>
      </w:r>
      <w:r>
        <w:rPr>
          <w:rFonts w:hint="eastAsia" w:ascii="仿宋_GB2312" w:hAnsi="宋体" w:eastAsia="仿宋_GB2312" w:cs="宋体"/>
          <w:kern w:val="0"/>
          <w:sz w:val="32"/>
          <w:szCs w:val="32"/>
        </w:rPr>
        <w:t xml:space="preserve">  中层干部一般应逐级提拔。特别优秀的年轻干部，可以破格提拔。破格提拔的干部，应当政治过硬、德才素质突出、群众公认度高，并且具备下列情形之一：</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（一）学校急需的、有一定的领导和管理经验、发展潜力大、工作实绩突出、群众公认度高的优秀年轻干部；</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（二）在关键时刻或者承担急难险重任务中经受住考验、表现突出、作出重大贡献的优秀年轻干部；</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（三）学校重点培养的、在本职岗位上尽职尽责、工作实绩特别突出的优秀年轻干部。</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破格提拔干部必须从严掌握，具体由学校党委集体研究决定。</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第十二条</w:t>
      </w:r>
      <w:r>
        <w:rPr>
          <w:rFonts w:hint="eastAsia" w:ascii="仿宋_GB2312" w:hAnsi="宋体" w:eastAsia="仿宋_GB2312" w:cs="宋体"/>
          <w:kern w:val="0"/>
          <w:sz w:val="32"/>
          <w:szCs w:val="32"/>
        </w:rPr>
        <w:t xml:space="preserve">  </w:t>
      </w:r>
      <w:r>
        <w:rPr>
          <w:rFonts w:hint="eastAsia" w:ascii="仿宋_GB2312" w:hAnsi="宋体" w:eastAsia="仿宋_GB2312" w:cs="宋体"/>
          <w:bCs/>
          <w:kern w:val="0"/>
          <w:sz w:val="32"/>
          <w:szCs w:val="32"/>
        </w:rPr>
        <w:t>选拔任用工作的程序。</w:t>
      </w:r>
      <w:r>
        <w:rPr>
          <w:rFonts w:hint="eastAsia" w:ascii="仿宋_GB2312" w:hAnsi="宋体" w:eastAsia="仿宋_GB2312" w:cs="宋体"/>
          <w:kern w:val="0"/>
          <w:sz w:val="32"/>
          <w:szCs w:val="32"/>
        </w:rPr>
        <w:t>选拔任用中层干部主要采取组织选拔方式开展，一般应当经过下列程序：</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分析研判和动议；民主推荐；研究确定考察对象；组织考察；讨论决定拟任人选；公示；任职。</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b/>
          <w:kern w:val="0"/>
          <w:sz w:val="32"/>
          <w:szCs w:val="32"/>
        </w:rPr>
      </w:pPr>
      <w:r>
        <w:rPr>
          <w:rFonts w:hint="eastAsia" w:ascii="仿宋_GB2312" w:hAnsi="宋体" w:eastAsia="仿宋_GB2312" w:cs="宋体"/>
          <w:b/>
          <w:kern w:val="0"/>
          <w:sz w:val="32"/>
          <w:szCs w:val="32"/>
        </w:rPr>
        <w:t xml:space="preserve">第十三条  </w:t>
      </w:r>
      <w:r>
        <w:rPr>
          <w:rFonts w:hint="eastAsia" w:ascii="仿宋_GB2312" w:hAnsi="宋体" w:eastAsia="仿宋_GB2312" w:cs="宋体"/>
          <w:bCs/>
          <w:kern w:val="0"/>
          <w:sz w:val="32"/>
          <w:szCs w:val="32"/>
        </w:rPr>
        <w:t>分析研判和动议。</w:t>
      </w:r>
      <w:r>
        <w:rPr>
          <w:rFonts w:hint="eastAsia" w:ascii="仿宋_GB2312" w:hAnsi="宋体" w:eastAsia="仿宋_GB2312" w:cs="宋体"/>
          <w:kern w:val="0"/>
          <w:sz w:val="32"/>
          <w:szCs w:val="32"/>
        </w:rPr>
        <w:t>学校党委组织部根据工作需要和干部队伍建设实际，综合有关方面建议和平时了解掌握的情况，对中层领导班子及干部进行动议分析，就选拔任用的职位、条件、范围、方式、程序和人选意向等提出初步建议，向学校党委主要领导汇报，提出启动中层干部选拔任用工作意见。学校党委在一定范围内进行沟通酝酿，经集体研究，形成工作方案。对动议的人选要严格把关，根据工作需要，可以提前核查有关事项。根据需要，可结合实际将竞争上岗方式的报名环节（个人自荐、组织推荐）纳入工作方案。</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第十四条</w:t>
      </w:r>
      <w:r>
        <w:rPr>
          <w:rFonts w:hint="eastAsia" w:ascii="仿宋_GB2312" w:hAnsi="宋体" w:eastAsia="仿宋_GB2312" w:cs="宋体"/>
          <w:kern w:val="0"/>
          <w:sz w:val="32"/>
          <w:szCs w:val="32"/>
        </w:rPr>
        <w:t xml:space="preserve">  民主推荐。选拔任用中层干部，应当通过民主推荐，包括谈话调研推荐和会议推荐，推荐结果作为选拔任用的重要参考，在一年内有效。</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谈话调研推荐，应向谈话对象提供谈话提纲、干部名册等相关材料，提出有关要求；会议推荐，应说明推荐职位、任职条件、推荐范围等情况，介绍参考人选产生情况，提供干部名册，提出有关要求。会议推荐参考人选一般应当差额提出，当谈话调研推荐意见集中的，可以等额提出。</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部门人数较少，参加会议推荐人员范围与谈话调研推荐人员基本相同，谈话调研推荐意见集中的，根据实际，可以不再进行会议推荐。</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参加谈话调研推荐和会议推荐的人员范围，根据工作需要确定。</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第十五条</w:t>
      </w:r>
      <w:r>
        <w:rPr>
          <w:rFonts w:hint="eastAsia" w:ascii="仿宋_GB2312" w:hAnsi="宋体" w:eastAsia="仿宋_GB2312" w:cs="宋体"/>
          <w:kern w:val="0"/>
          <w:sz w:val="32"/>
          <w:szCs w:val="32"/>
        </w:rPr>
        <w:t xml:space="preserve"> 研究确定考察对象。确定中层干部考察对象，应当根据工作需要和干部德才条件，将民主推荐与日常了解（平时考核、年度考核、一贯表现）、综合分析研判以及岗位匹配度等情况综合考虑，深入分析、比较择优，既重管理能力、专业水平和工作实绩，更重政治品质、道德品质，防止简单以推荐票或者学历、职称等取人偏向。</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政治不合格、纪律规矩意识不强，贯彻执行党的路线方针政策不力，以及具有其他有关政策规定明确限制情形的，不得作为考察对象。</w:t>
      </w:r>
    </w:p>
    <w:p>
      <w:pPr>
        <w:pageBreakBefore w:val="0"/>
        <w:widowControl/>
        <w:kinsoku/>
        <w:wordWrap/>
        <w:overflowPunct/>
        <w:topLinePunct w:val="0"/>
        <w:autoSpaceDE/>
        <w:autoSpaceDN/>
        <w:bidi w:val="0"/>
        <w:spacing w:line="596" w:lineRule="exact"/>
        <w:ind w:firstLine="640" w:firstLineChars="200"/>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中层干部考察对象由学校党委集体研究确定，一般应当多于拟任职务人数。个别提拔任职使用时意见比较集中的，也可以等额确定考察对象。</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第十六条</w:t>
      </w:r>
      <w:r>
        <w:rPr>
          <w:rFonts w:hint="eastAsia" w:ascii="仿宋_GB2312" w:hAnsi="宋体" w:eastAsia="仿宋_GB2312" w:cs="宋体"/>
          <w:kern w:val="0"/>
          <w:sz w:val="32"/>
          <w:szCs w:val="32"/>
        </w:rPr>
        <w:t xml:space="preserve">  组织考察。对确定的中层干部考察对象，由学校党委组织部根据任职条件及不同岗位的要求，组织对其进行严格考察。要全面考察干部的德、能、勤、绩、廉表现，着重了解政治品格、作风品行、廉洁自律等情况，深入了解专业素养、管理能力、职业精神和工作实绩等情况，实事求是、客观准确地作出评价。对从专业技术岗位到管理岗位担任领导职务的，还需考察了解管理工作经历及实际管理能力。</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强化考察审核，认真落实“凡提四必”制度，从严把好政治关、品行关、作风关、廉洁关，防止“带病提拔”。考察过程中，应当听取相关党组织和学校纪检监察部门的意见，严格落实“双签字”制度，由相关党组织和学校纪检监察部门联合出具廉洁自律情况结论性意见。学校纪检监察部门还要对考察对象单独出具廉政意见。对中共党员考察对象，还要听取所在党支部的意见。对需要进行信访举报核查、进行经济责任审计的考察对象，应当事先按照有关规定进行核查、审计。</w:t>
      </w:r>
    </w:p>
    <w:p>
      <w:pPr>
        <w:pageBreakBefore w:val="0"/>
        <w:widowControl/>
        <w:kinsoku/>
        <w:wordWrap/>
        <w:overflowPunct/>
        <w:topLinePunct w:val="0"/>
        <w:autoSpaceDE/>
        <w:autoSpaceDN/>
        <w:bidi w:val="0"/>
        <w:spacing w:line="596" w:lineRule="exact"/>
        <w:ind w:firstLine="656" w:firstLineChars="205"/>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双重管理干部的考察工作，由上级党委或主管部门牵头负责组织实施，根据工作需要，学校党委组织部协助开展相关工作。</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第十七条</w:t>
      </w:r>
      <w:r>
        <w:rPr>
          <w:rFonts w:hint="eastAsia" w:ascii="仿宋_GB2312" w:hAnsi="宋体" w:eastAsia="仿宋_GB2312" w:cs="宋体"/>
          <w:kern w:val="0"/>
          <w:sz w:val="32"/>
          <w:szCs w:val="32"/>
        </w:rPr>
        <w:t xml:space="preserve">  讨论决定拟任人选。中层干部的任免事项，由学校党委集体研究作出决定。对破格提拔的人选，在讨论决定前，必须报经上级组织部门同意。越级提拔或者不经过民主推荐列为破格提拔人选的，应当在考察前报告，经批复同意后方可进行。对组织部门、纪检监察部门、团委等部门主要领导的拟任人选，在讨论决定前，应当按照有关规定征求上级有关部门的意见。</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党委讨论决定时，必须有三分之二以上成员到会，分管组织工作的校级领导或学校党委组织部负责人，逐个介绍中层干部拟任人选的推荐、考察和任免理由等情况，涉及按照要求需要事先向上级有关部门报告或征求意见的，应当说明具体报告或征求意见情况。会议应保证与会成员有足够时间听取情况介绍、充分发表意见。与会成员应当逐一发表同意、不同意或者缓议等明确意见，党委主要负责人应当最后表态。在充分讨论的基础上，采取口头表决、举手表决或者无记名投票等方式进行表决，以党委应到会成员超过半数同意形成决定。意见分歧较大或者有重大问题不清楚时，应暂缓进行表决。需要复议的，应当经党委超过半数成员同意后方可进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b/>
          <w:kern w:val="0"/>
          <w:sz w:val="32"/>
          <w:szCs w:val="32"/>
        </w:rPr>
      </w:pPr>
      <w:r>
        <w:rPr>
          <w:rFonts w:hint="eastAsia" w:ascii="仿宋_GB2312" w:hAnsi="宋体" w:eastAsia="仿宋_GB2312" w:cs="宋体"/>
          <w:b/>
          <w:kern w:val="0"/>
          <w:sz w:val="32"/>
          <w:szCs w:val="32"/>
        </w:rPr>
        <w:t>第十八条</w:t>
      </w:r>
      <w:r>
        <w:rPr>
          <w:rFonts w:hint="eastAsia" w:ascii="仿宋_GB2312" w:hAnsi="宋体" w:eastAsia="仿宋_GB2312" w:cs="宋体"/>
          <w:kern w:val="0"/>
          <w:sz w:val="32"/>
          <w:szCs w:val="32"/>
        </w:rPr>
        <w:t xml:space="preserve">  公示。中层干部的任免，在学校党委讨论决定后、下发任职通知前，应当在一定范围内公示。公示内容应当真实准确，便于监督，包括拟任人选的姓名、性别、民族、出生年月、籍贯、入党时间、学历学位、现任职务、拟任职务等信息。涉及破格提拔的，还应当说明破格的具体情形和理由。公示期不少于五个工作日。公示结果不影响任职的，办理任职手续。</w:t>
      </w:r>
    </w:p>
    <w:p>
      <w:pPr>
        <w:pageBreakBefore w:val="0"/>
        <w:widowControl/>
        <w:kinsoku/>
        <w:wordWrap/>
        <w:overflowPunct/>
        <w:topLinePunct w:val="0"/>
        <w:autoSpaceDE/>
        <w:autoSpaceDN/>
        <w:bidi w:val="0"/>
        <w:spacing w:line="596" w:lineRule="exact"/>
        <w:ind w:firstLine="659" w:firstLineChars="205"/>
        <w:outlineLvl w:val="9"/>
        <w:rPr>
          <w:rFonts w:ascii="仿宋_GB2312" w:hAnsi="宋体" w:eastAsia="仿宋_GB2312" w:cs="宋体"/>
          <w:kern w:val="0"/>
          <w:sz w:val="32"/>
          <w:szCs w:val="32"/>
        </w:rPr>
      </w:pPr>
      <w:r>
        <w:rPr>
          <w:rFonts w:hint="eastAsia" w:ascii="仿宋_GB2312" w:hAnsi="宋体" w:eastAsia="仿宋_GB2312" w:cs="宋体"/>
          <w:b/>
          <w:kern w:val="0"/>
          <w:sz w:val="32"/>
          <w:szCs w:val="32"/>
        </w:rPr>
        <w:t>第十九条</w:t>
      </w:r>
      <w:r>
        <w:rPr>
          <w:rFonts w:hint="eastAsia" w:ascii="仿宋_GB2312" w:hAnsi="宋体" w:eastAsia="仿宋_GB2312" w:cs="宋体"/>
          <w:kern w:val="0"/>
          <w:sz w:val="32"/>
          <w:szCs w:val="32"/>
        </w:rPr>
        <w:t xml:space="preserve">  任职。中层干部职务实行委任制、选任制，由学校党委发文任免，任免职时间自学校党委决定之日起计算。双重管理干部的任免职时间，自上级党委或主管部门决定之日起算起。</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实行中层干部任职试用期制度。提拔担任非选举产生的中层干部职务的，试用期为一年。试用期满后，经考核胜任现职的，正式任职；不胜任的，免去试任职务，一般按试任前职级安排工作。提拔担任选举产生的中层干部职务的（包括党组织书记/副书记、纪委书记/副书记、团组织书记/副书记等），无试用期，直接正式任职。</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实行中层干部任职前谈话制度。对决定任用的中层干部，由学校党委指定专人同本人谈话，肯定成绩，指出不足，提出要求和需要注意的问题。</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第二十条</w:t>
      </w:r>
      <w:r>
        <w:rPr>
          <w:rFonts w:hint="eastAsia" w:ascii="仿宋_GB2312" w:hAnsi="宋体" w:eastAsia="仿宋_GB2312" w:cs="宋体"/>
          <w:kern w:val="0"/>
          <w:sz w:val="32"/>
          <w:szCs w:val="32"/>
        </w:rPr>
        <w:t xml:space="preserve">  实行中层干部交流制度。交流的对象主要是：因工作需要交流的；需要通过交流锻炼提高干部领导能力的；在同一部门工作时间较长的；按照规定需要回避的；因其他原因需要交流的。</w:t>
      </w:r>
    </w:p>
    <w:p>
      <w:pPr>
        <w:pageBreakBefore w:val="0"/>
        <w:widowControl/>
        <w:kinsoku/>
        <w:wordWrap/>
        <w:overflowPunct/>
        <w:topLinePunct w:val="0"/>
        <w:autoSpaceDE/>
        <w:autoSpaceDN/>
        <w:bidi w:val="0"/>
        <w:spacing w:line="596" w:lineRule="exact"/>
        <w:ind w:firstLine="656" w:firstLineChars="205"/>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中层干部交流由学校党委组织部按照《柳州职业技术学院内部控制关键岗位定期轮岗制度》（柳职院党字〔2020〕19号）和有关规定，结合优秀年轻干部培养需要等实际工作情况，报学校党委集体研究审批同意后组织实施。同一干部一般不频繁交流。</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第二十一条</w:t>
      </w:r>
      <w:r>
        <w:rPr>
          <w:rFonts w:hint="eastAsia" w:ascii="仿宋_GB2312" w:hAnsi="宋体" w:eastAsia="仿宋_GB2312" w:cs="宋体"/>
          <w:kern w:val="0"/>
          <w:sz w:val="32"/>
          <w:szCs w:val="32"/>
        </w:rPr>
        <w:t xml:space="preserve">  实行中层干部任职回避制度和选拔任用工作回避制度。具体按照《柳州职业技术学院领导干部回避规定（试行）》（柳职院党字〔2021〕33号）和有关规定执行。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第二十二条</w:t>
      </w:r>
      <w:r>
        <w:rPr>
          <w:rFonts w:hint="eastAsia" w:ascii="仿宋_GB2312" w:hAnsi="宋体" w:eastAsia="仿宋_GB2312" w:cs="宋体"/>
          <w:kern w:val="0"/>
          <w:sz w:val="32"/>
          <w:szCs w:val="32"/>
        </w:rPr>
        <w:t xml:space="preserve">  中层干部有下列情形之一的，一般应当免去现职：</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（一）达到任职年龄界限或者退休年龄界限的；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（二）受到责任追究应当免职的；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（三）不适宜担任现职应当免职的；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（四）因违纪违法应当免职的；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（五）辞职、调出、调整岗位或者提拔的；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（六）非组织选派，个人申请离职学习期限超过一年的；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（七）因健康原因，无法正常履行工作职责一年以上的；</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（八）因工作需要或者其他原因应当免去现职的。</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第二十三条</w:t>
      </w:r>
      <w:r>
        <w:rPr>
          <w:rFonts w:hint="eastAsia" w:ascii="仿宋_GB2312" w:hAnsi="宋体" w:eastAsia="仿宋_GB2312" w:cs="宋体"/>
          <w:kern w:val="0"/>
          <w:sz w:val="32"/>
          <w:szCs w:val="32"/>
        </w:rPr>
        <w:t xml:space="preserve">  实行中层干部辞职制度。辞职应当符合有关规定，手续依照法律或者有关规定程序办理。</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第二十四条</w:t>
      </w:r>
      <w:r>
        <w:rPr>
          <w:rFonts w:hint="eastAsia" w:ascii="仿宋_GB2312" w:hAnsi="宋体" w:eastAsia="仿宋_GB2312" w:cs="宋体"/>
          <w:kern w:val="0"/>
          <w:sz w:val="32"/>
          <w:szCs w:val="32"/>
        </w:rPr>
        <w:t xml:space="preserve">  实行中层干部降职制度。中层干部在年度考核中被确定为不称职的，因工作能力较弱、受到组织处理或者其他原因不适宜担任现职务层次的，应当降职使用。降职使用的干部，其待遇按照新任职务职级的标准执行。</w:t>
      </w:r>
    </w:p>
    <w:p>
      <w:pPr>
        <w:pageBreakBefore w:val="0"/>
        <w:widowControl/>
        <w:kinsoku/>
        <w:wordWrap/>
        <w:overflowPunct/>
        <w:topLinePunct w:val="0"/>
        <w:autoSpaceDE/>
        <w:autoSpaceDN/>
        <w:bidi w:val="0"/>
        <w:spacing w:line="596" w:lineRule="exact"/>
        <w:ind w:firstLine="659" w:firstLineChars="205"/>
        <w:outlineLvl w:val="9"/>
        <w:rPr>
          <w:rFonts w:ascii="仿宋_GB2312" w:hAnsi="宋体" w:eastAsia="仿宋_GB2312" w:cs="宋体"/>
          <w:kern w:val="0"/>
          <w:sz w:val="32"/>
          <w:szCs w:val="32"/>
        </w:rPr>
      </w:pPr>
      <w:r>
        <w:rPr>
          <w:rFonts w:hint="eastAsia" w:ascii="仿宋_GB2312" w:hAnsi="宋体" w:eastAsia="仿宋_GB2312" w:cs="宋体"/>
          <w:b/>
          <w:kern w:val="0"/>
          <w:sz w:val="32"/>
          <w:szCs w:val="32"/>
        </w:rPr>
        <w:t>第二十五条</w:t>
      </w:r>
      <w:r>
        <w:rPr>
          <w:rFonts w:hint="eastAsia" w:ascii="仿宋_GB2312" w:hAnsi="宋体" w:eastAsia="仿宋_GB2312" w:cs="宋体"/>
          <w:kern w:val="0"/>
          <w:sz w:val="32"/>
          <w:szCs w:val="32"/>
        </w:rPr>
        <w:t xml:space="preserve">  因不适宜担任现职调离岗位的、免职的，一年内不得提拔。降职使用的干部重新提拔，按照有关规定执行。免职、辞职或者降职后，重新任职或者提拔任职的，应当根据具体情形、工作需要和个人情况综合考虑，合理安排使用，对符合有关规定给予容错的干部，应当客观公正对待。</w:t>
      </w:r>
    </w:p>
    <w:p>
      <w:pPr>
        <w:pageBreakBefore w:val="0"/>
        <w:widowControl/>
        <w:kinsoku/>
        <w:wordWrap/>
        <w:overflowPunct/>
        <w:topLinePunct w:val="0"/>
        <w:autoSpaceDE/>
        <w:autoSpaceDN/>
        <w:bidi w:val="0"/>
        <w:spacing w:line="596" w:lineRule="exact"/>
        <w:outlineLvl w:val="9"/>
        <w:rPr>
          <w:rFonts w:hint="eastAsia" w:ascii="仿宋_GB2312" w:hAnsi="宋体" w:eastAsia="仿宋_GB2312" w:cs="宋体"/>
          <w:kern w:val="0"/>
          <w:sz w:val="32"/>
          <w:szCs w:val="32"/>
        </w:rPr>
      </w:pPr>
    </w:p>
    <w:p>
      <w:pPr>
        <w:pageBreakBefore w:val="0"/>
        <w:widowControl/>
        <w:kinsoku/>
        <w:wordWrap/>
        <w:overflowPunct/>
        <w:topLinePunct w:val="0"/>
        <w:autoSpaceDE/>
        <w:autoSpaceDN/>
        <w:bidi w:val="0"/>
        <w:spacing w:line="596" w:lineRule="exact"/>
        <w:ind w:firstLine="435"/>
        <w:jc w:val="center"/>
        <w:outlineLvl w:val="9"/>
        <w:rPr>
          <w:rFonts w:hint="eastAsia" w:ascii="仿宋_GB2312" w:hAnsi="宋体" w:eastAsia="仿宋_GB2312" w:cs="宋体"/>
          <w:kern w:val="0"/>
          <w:sz w:val="32"/>
          <w:szCs w:val="32"/>
        </w:rPr>
      </w:pPr>
      <w:r>
        <w:rPr>
          <w:rFonts w:hint="eastAsia" w:ascii="黑体" w:hAnsi="黑体" w:eastAsia="黑体" w:cs="宋体"/>
          <w:b/>
          <w:kern w:val="0"/>
          <w:sz w:val="32"/>
          <w:szCs w:val="32"/>
        </w:rPr>
        <w:t>第三章  中层干部的教育培训</w:t>
      </w:r>
    </w:p>
    <w:p>
      <w:pPr>
        <w:pageBreakBefore w:val="0"/>
        <w:widowControl/>
        <w:kinsoku/>
        <w:wordWrap/>
        <w:overflowPunct/>
        <w:topLinePunct w:val="0"/>
        <w:autoSpaceDE/>
        <w:autoSpaceDN/>
        <w:bidi w:val="0"/>
        <w:spacing w:line="596" w:lineRule="exact"/>
        <w:ind w:firstLine="643" w:firstLineChars="200"/>
        <w:outlineLvl w:val="9"/>
        <w:rPr>
          <w:sz w:val="32"/>
          <w:szCs w:val="32"/>
        </w:rPr>
      </w:pPr>
      <w:r>
        <w:rPr>
          <w:rFonts w:hint="eastAsia" w:ascii="仿宋_GB2312" w:hAnsi="宋体" w:eastAsia="仿宋_GB2312" w:cs="宋体"/>
          <w:b/>
          <w:kern w:val="0"/>
          <w:sz w:val="32"/>
          <w:szCs w:val="32"/>
        </w:rPr>
        <w:t xml:space="preserve">第二十六条 </w:t>
      </w:r>
      <w:r>
        <w:rPr>
          <w:rFonts w:hint="eastAsia" w:ascii="仿宋_GB2312" w:hAnsi="宋体" w:eastAsia="仿宋_GB2312" w:cs="宋体"/>
          <w:kern w:val="0"/>
          <w:sz w:val="32"/>
          <w:szCs w:val="32"/>
        </w:rPr>
        <w:t xml:space="preserve"> 加强中层干部教育培训工作。坚持以马克思列宁主义、毛泽东思想、邓小平理论、“三个代表”重要思想、科学发展观和习近平新时代中国特色社会主义思想为指导，</w:t>
      </w:r>
      <w:r>
        <w:rPr>
          <w:rFonts w:hint="eastAsia" w:ascii="仿宋_GB2312" w:eastAsia="仿宋_GB2312"/>
          <w:sz w:val="32"/>
          <w:szCs w:val="32"/>
        </w:rPr>
        <w:t>以学习贯彻习近平新时代中国特色社会主义思想为首要任务，以做到“两个维护”为最高政治原则，以坚定理想信念宗旨为根本，以全面增强干部干事创业本领为重点，</w:t>
      </w:r>
      <w:r>
        <w:rPr>
          <w:rFonts w:hint="eastAsia" w:ascii="仿宋_GB2312" w:hAnsi="宋体" w:eastAsia="仿宋_GB2312" w:cs="宋体"/>
          <w:kern w:val="0"/>
          <w:sz w:val="32"/>
          <w:szCs w:val="32"/>
        </w:rPr>
        <w:t>对中层干部开展教育培训，</w:t>
      </w:r>
      <w:r>
        <w:rPr>
          <w:rFonts w:hint="eastAsia" w:ascii="仿宋_GB2312" w:eastAsia="仿宋_GB2312"/>
          <w:sz w:val="32"/>
          <w:szCs w:val="32"/>
        </w:rPr>
        <w:t>着力提高干部教育培训的时代性、针对性、有效性，努力建设信念坚定、德才兼备、勤政务实、清正廉洁的高素质干部队伍。</w:t>
      </w:r>
      <w:r>
        <w:rPr>
          <w:sz w:val="32"/>
          <w:szCs w:val="32"/>
        </w:rPr>
        <w:t xml:space="preserve"> </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第二十七条 </w:t>
      </w:r>
      <w:r>
        <w:rPr>
          <w:rFonts w:hint="eastAsia" w:ascii="仿宋_GB2312" w:hAnsi="宋体" w:eastAsia="仿宋_GB2312" w:cs="宋体"/>
          <w:kern w:val="0"/>
          <w:sz w:val="32"/>
          <w:szCs w:val="32"/>
        </w:rPr>
        <w:t xml:space="preserve"> 中层干部教育培训工作应当遵循下列原则：</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（一）服务大局，按需施教。始终</w:t>
      </w:r>
      <w:r>
        <w:rPr>
          <w:rFonts w:hint="eastAsia" w:ascii="仿宋_GB2312" w:eastAsia="仿宋_GB2312"/>
          <w:sz w:val="32"/>
          <w:szCs w:val="32"/>
        </w:rPr>
        <w:t>坚持中国特色社会主义教育发展道路，</w:t>
      </w:r>
      <w:r>
        <w:rPr>
          <w:rFonts w:hint="eastAsia" w:ascii="仿宋_GB2312" w:hAnsi="宋体" w:eastAsia="仿宋_GB2312" w:cs="宋体"/>
          <w:kern w:val="0"/>
          <w:sz w:val="32"/>
          <w:szCs w:val="32"/>
        </w:rPr>
        <w:t xml:space="preserve">坚持社会主义办学方向，紧紧围绕党、国家、学校事业发展需要，结合干部岗位职责和健康成长需求，开展教育培训，全面提高质量和效益。    </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（二）以德为先，注重能力。贯彻干部队伍革命化、年轻化、知识化、专业化方针，坚持德才兼备、以德为先，突出理想信念教育和党性党规党纪教育，将能力培养贯穿始终，全面提高干部德才素质和履职能力。</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（三）分类分级，全员培训。按照中层干部队伍具体情况组织实施教育培训，把教育培训的普遍性要求与不同类别、不同层次、不同岗位干部的特殊需要结合起来，增强针对性，确保全覆盖。</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（四）联系实际，学以致用。大力弘扬马克思主义学风，围绕学校中心工作，以问题为导向开展教育培训，引导中层干部在改造主观世界的同时，运用所学理论和知识指导实践、推动工作。</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与时俱进，改革创新。适应形势任务发展变化，遵循中层干部成长规律和干部教育培训规律，坚持开放办学，完善培训内容，改进培训方式，整合培训资源，优化培训队伍，不断推进教育培训理论创新、实践创新、制度创新。</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（六）依法治教，从严管理。建立健全中层干部教育培训法规制度，依法依规开展教育培训，从严治校、从严治教、从严治学，保持良好的教学秩序和学习风气。 </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 </w:t>
      </w:r>
      <w:r>
        <w:rPr>
          <w:rFonts w:hint="eastAsia" w:ascii="仿宋_GB2312" w:hAnsi="宋体" w:eastAsia="仿宋_GB2312" w:cs="宋体"/>
          <w:b/>
          <w:kern w:val="0"/>
          <w:sz w:val="32"/>
          <w:szCs w:val="32"/>
        </w:rPr>
        <w:t xml:space="preserve">第二十八条 </w:t>
      </w:r>
      <w:r>
        <w:rPr>
          <w:rFonts w:hint="eastAsia" w:ascii="仿宋_GB2312" w:hAnsi="宋体" w:eastAsia="仿宋_GB2312" w:cs="宋体"/>
          <w:kern w:val="0"/>
          <w:sz w:val="32"/>
          <w:szCs w:val="32"/>
        </w:rPr>
        <w:t xml:space="preserve"> 中层干部教育培训的重点内容：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一）深入学习习近平新时代中国特色社会主义思想。把习近平新时代中国特色社会主义思想作为中层干部培训教育的中心内容，坚持读原著学原文悟原理，完善理论学习考核激励机制，把学习贯彻习近平新时代中国特色社会主义思想情况作为衡量领导干部思想政治素质的重要内容。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加强党的基本理论知识培训。深入学习马克思列宁主义、毛泽东思想、邓小平理论、“三个代表”重要思想、科学发展观、习近平新时代中国特色社会主义思想，研读经典著作，学习掌握马克思主义哲学、政治经济学、科学社会主义，学习掌握中国特色社会主义理论体系，学习掌握马克思主义立场观点方法，不断深化对共产党执政规律、社会主义建设规律、人类社会发展规律的认识，自觉坚持和运用辩证唯物主义和历史唯物主义世界观、方法论分析解决问题，增强战略思维、创新思维、辩证思维、法治思维、底线思维能力，做到真学真懂真信真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三）加强党性教育。紧紧围绕保持和发展党的先进性、纯洁性，以坚定理想信念为核心，培养教育干部坚定对马克思主义的信仰，坚定对社会主义和共产主义的信念，牢固树立正确的世界观、人生观、价值观，保持共产党人政治本色。加强政治训练，强化党章、党规党纪学习教育，加强党的宗旨和作风教育，开展以党史学习教育为重点的“四史”教育、廉政教育、党的优良传统教育、党的民族理论与民族政策教育、民族团结进步教育、政德教育、社会主义核心价值观教育，不断提高党员领导干部的政治觉悟和政治能力。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加强全国、全区教育大会精神培训。把学习贯彻习近平总书记关于教育的重要论述和全国、全区教育大会精神作为教育培训的重要内容，教育引导干部坚持立德树人根本任务，牢牢把握教育改革发展的“九个坚持”，将“三全育人”贯穿到各项工作中。</w:t>
      </w:r>
    </w:p>
    <w:p>
      <w:pPr>
        <w:pageBreakBefore w:val="0"/>
        <w:kinsoku/>
        <w:wordWrap/>
        <w:overflowPunct/>
        <w:topLinePunct w:val="0"/>
        <w:autoSpaceDE/>
        <w:autoSpaceDN/>
        <w:bidi w:val="0"/>
        <w:spacing w:line="596" w:lineRule="exact"/>
        <w:ind w:firstLine="640" w:firstLineChars="200"/>
        <w:outlineLvl w:val="9"/>
        <w:rPr>
          <w:rFonts w:hint="eastAsia"/>
          <w:sz w:val="32"/>
          <w:szCs w:val="32"/>
        </w:rPr>
      </w:pPr>
      <w:r>
        <w:rPr>
          <w:rFonts w:hint="eastAsia" w:ascii="仿宋_GB2312" w:eastAsia="仿宋_GB2312"/>
          <w:sz w:val="32"/>
          <w:szCs w:val="32"/>
        </w:rPr>
        <w:t>（五）加强专业化能力培训和知识培训。加强党的教育方针、教育政策法规、现代教育理论、现代管理理论、业务知识技能、科学人文素养以及乡村振兴等国家重大战略方面的岗位专业培训，丰富专业知识、提升专业能力、锤炼专业作风、培育专业精神。</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第二十九条 </w:t>
      </w:r>
      <w:r>
        <w:rPr>
          <w:rFonts w:hint="eastAsia" w:ascii="仿宋_GB2312" w:hAnsi="宋体" w:eastAsia="仿宋_GB2312" w:cs="宋体"/>
          <w:kern w:val="0"/>
          <w:sz w:val="32"/>
          <w:szCs w:val="32"/>
        </w:rPr>
        <w:t xml:space="preserve"> 完善中层干部学习制度，落实中层干部学习制度化、常态化。建立健全中层干部集中学习、调研考察、经验交流等制度，在中层干部中形成勤奋学习、善于思考的风气，帮助中层干部增强理论联系实际、解决复杂问题的能力，提高服务发展、服务师生、处理突发事件等能力。通过组织专题报告、理论宣讲团、理论研讨会、印发学习资料等方式加强学习指导。</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第三十条 </w:t>
      </w:r>
      <w:r>
        <w:rPr>
          <w:rFonts w:hint="eastAsia" w:ascii="仿宋_GB2312" w:hAnsi="宋体" w:eastAsia="仿宋_GB2312" w:cs="宋体"/>
          <w:kern w:val="0"/>
          <w:sz w:val="32"/>
          <w:szCs w:val="32"/>
        </w:rPr>
        <w:t xml:space="preserve"> 完善中层干部教育培训机制，构建全方位、多角度的教育培训体系。学校党委组织部要定期制定五年中期干部教育培训规划，每年制定短期培训计划，以增强党的理论和党性修养、提高创新和服务意识、提升领导力和执行力为重点，综合运用组织调训、集中培训、自主选学、境外培训、在线学习、考察调研等方式，加强中层干部教育培训工作，促进中层干部能力素质的全面提升。</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第三十一条 </w:t>
      </w:r>
      <w:r>
        <w:rPr>
          <w:rFonts w:hint="eastAsia" w:ascii="仿宋_GB2312" w:hAnsi="宋体" w:eastAsia="仿宋_GB2312" w:cs="宋体"/>
          <w:kern w:val="0"/>
          <w:sz w:val="32"/>
          <w:szCs w:val="32"/>
        </w:rPr>
        <w:t xml:space="preserve"> 中层干部必须严格遵守教育培训的有关规章制度，严格遵守学习培训和廉洁自律各项规定，完成规定的教育培训任务。中层干部应当每5年参加校内外组织的各类培训班累计3个月或者550学时以上的培训，同时，每年累计参加培训不少于12天或者90学时。</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第三十二条 </w:t>
      </w:r>
      <w:r>
        <w:rPr>
          <w:rFonts w:hint="eastAsia" w:ascii="仿宋_GB2312" w:hAnsi="宋体" w:eastAsia="仿宋_GB2312" w:cs="宋体"/>
          <w:kern w:val="0"/>
          <w:sz w:val="32"/>
          <w:szCs w:val="32"/>
        </w:rPr>
        <w:t xml:space="preserve"> 中层干部因故未按规定参加教育培训或者未达到教育培训要求的，应当及时补训。中层干部教育培训考核不合格的，年度考核不得确定为优秀等次。对无正当理由不参加教育培训的，给予批评教育直至组织处理。中层干部弄虚作假获取培训经历的，按照有关规定严肃处理。</w:t>
      </w:r>
    </w:p>
    <w:p>
      <w:pPr>
        <w:pageBreakBefore w:val="0"/>
        <w:widowControl/>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第三十三条  </w:t>
      </w:r>
      <w:r>
        <w:rPr>
          <w:rFonts w:hint="eastAsia" w:ascii="仿宋_GB2312" w:hAnsi="宋体" w:eastAsia="仿宋_GB2312" w:cs="宋体"/>
          <w:kern w:val="0"/>
          <w:sz w:val="32"/>
          <w:szCs w:val="32"/>
        </w:rPr>
        <w:t>中层干部外出培训必须履行报批手续。在参加组织选派的脱产教育培训期间，一般应当享受在岗同等待遇，一般不承担所在部门的日常工作和其他工作任务。</w:t>
      </w:r>
    </w:p>
    <w:p>
      <w:pPr>
        <w:pageBreakBefore w:val="0"/>
        <w:widowControl/>
        <w:kinsoku/>
        <w:wordWrap/>
        <w:overflowPunct/>
        <w:topLinePunct w:val="0"/>
        <w:autoSpaceDE/>
        <w:autoSpaceDN/>
        <w:bidi w:val="0"/>
        <w:spacing w:line="596" w:lineRule="exact"/>
        <w:ind w:firstLine="435"/>
        <w:outlineLvl w:val="9"/>
        <w:rPr>
          <w:rFonts w:hint="eastAsia" w:ascii="仿宋_GB2312" w:hAnsi="宋体" w:eastAsia="仿宋_GB2312" w:cs="宋体"/>
          <w:kern w:val="0"/>
          <w:sz w:val="32"/>
          <w:szCs w:val="32"/>
        </w:rPr>
      </w:pPr>
    </w:p>
    <w:p>
      <w:pPr>
        <w:pageBreakBefore w:val="0"/>
        <w:widowControl/>
        <w:kinsoku/>
        <w:wordWrap/>
        <w:overflowPunct/>
        <w:topLinePunct w:val="0"/>
        <w:autoSpaceDE/>
        <w:autoSpaceDN/>
        <w:bidi w:val="0"/>
        <w:spacing w:line="596" w:lineRule="exact"/>
        <w:ind w:firstLine="435"/>
        <w:jc w:val="center"/>
        <w:outlineLvl w:val="9"/>
        <w:rPr>
          <w:rFonts w:hint="eastAsia" w:ascii="仿宋_GB2312" w:hAnsi="宋体" w:eastAsia="仿宋_GB2312" w:cs="宋体"/>
          <w:kern w:val="0"/>
          <w:sz w:val="32"/>
          <w:szCs w:val="32"/>
        </w:rPr>
      </w:pPr>
      <w:r>
        <w:rPr>
          <w:rFonts w:hint="eastAsia" w:ascii="黑体" w:hAnsi="黑体" w:eastAsia="黑体" w:cs="宋体"/>
          <w:b/>
          <w:kern w:val="0"/>
          <w:sz w:val="32"/>
          <w:szCs w:val="32"/>
        </w:rPr>
        <w:t>第四章  中层干部的监督管理</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第三十四条 </w:t>
      </w:r>
      <w:r>
        <w:rPr>
          <w:rFonts w:hint="eastAsia" w:ascii="仿宋_GB2312" w:hAnsi="宋体" w:eastAsia="仿宋_GB2312" w:cs="宋体"/>
          <w:kern w:val="0"/>
          <w:sz w:val="32"/>
          <w:szCs w:val="32"/>
        </w:rPr>
        <w:t xml:space="preserve"> 严格工作纪律和会议考勤制度。中层干部须将主要精力用于管理工作，“双肩挑”干部要合理安排所承担的教学和科研工作，以保证能正常履行中层干部岗位职责。学校党委、行政召开的中层干部参加的会议，由党（校）办进行考勤；专项工作会议由会议主办部门进行考勤。中层干部因故不能参加会议的，应当履行请假手续。</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第三十五条 </w:t>
      </w:r>
      <w:r>
        <w:rPr>
          <w:rFonts w:hint="eastAsia" w:ascii="仿宋_GB2312" w:hAnsi="宋体" w:eastAsia="仿宋_GB2312" w:cs="宋体"/>
          <w:kern w:val="0"/>
          <w:sz w:val="32"/>
          <w:szCs w:val="32"/>
        </w:rPr>
        <w:t xml:space="preserve"> 严格实行重要情况报告和个人有关事项报告制度。</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（一）实行中层干部遇重要情况逐级向上报告制度：</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1.工作中采取重大改革举措时；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2.工作中遇到较大困难，需要支持、协助解决时；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3.工作中出现较大失误时；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4.本部门发生重大突发事件时；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5.其它需要报告的重大问题。</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按照中共中央办公厅、国务院办公厅《关于领导干部报告个人有关事项的规定》的要求，副处级及以上干部（相对应学校党政管理部门六级及以上管理岗位干部）按规定每年向学校党委组织部报告本人的有关事项。</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（三）结合民主生活会、年度考核、巡视整改、干部考察等，督促中层干部对照《中国共产党廉洁自律准则》进行检查和报告。</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第三十六条 </w:t>
      </w:r>
      <w:r>
        <w:rPr>
          <w:rFonts w:hint="eastAsia" w:ascii="仿宋_GB2312" w:hAnsi="宋体" w:eastAsia="仿宋_GB2312" w:cs="宋体"/>
          <w:kern w:val="0"/>
          <w:sz w:val="32"/>
          <w:szCs w:val="32"/>
        </w:rPr>
        <w:t xml:space="preserve"> 严格实行分管校领导与中层干部谈话制度。遇有下列情况，分管校级领导应当及时同中层干部谈话：</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（一）工作岗位变动、职务升降、退休时；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（二）受到批评处分时；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（三）群众对中层干部的工作、思想、作风等方面有意见反映时；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（四）干部考察、考核或民主评议的意见需向中层干部反馈时；</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（五）其它问题需要谈话时。</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第三十七条 </w:t>
      </w:r>
      <w:r>
        <w:rPr>
          <w:rFonts w:hint="eastAsia" w:ascii="仿宋_GB2312" w:hAnsi="宋体" w:eastAsia="仿宋_GB2312" w:cs="宋体"/>
          <w:kern w:val="0"/>
          <w:sz w:val="32"/>
          <w:szCs w:val="32"/>
        </w:rPr>
        <w:t xml:space="preserve"> 严格实行中层干部外出报告制度。具体按照《中共柳州职业技术学院委员会教职员工离校外出报告制度（试行）》（柳职院党字〔2020〕55号）和有关规定执行。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第三十八条 </w:t>
      </w:r>
      <w:r>
        <w:rPr>
          <w:rFonts w:hint="eastAsia" w:ascii="仿宋_GB2312" w:hAnsi="宋体" w:eastAsia="仿宋_GB2312" w:cs="宋体"/>
          <w:kern w:val="0"/>
          <w:sz w:val="32"/>
          <w:szCs w:val="32"/>
        </w:rPr>
        <w:t xml:space="preserve"> 严格实行中层干部因公（私）出国（境）管理制度。中层干部因公（私）出国（境），须按照《关于严格执行因私出国（境）管理有关工作纪律的通知》（柳职院党字〔2019〕16号）和有关规定办理审批手续。对出国（境）擅自变更线路、延长期限造成不良影响或经济损失的，要严格依照有关规定对当事人进行处理。</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加强出国（境）证照管理，中层干部的因私出国（境）证照必须交学校党委组织部统一保管。</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color w:val="FF0000"/>
          <w:kern w:val="0"/>
          <w:sz w:val="32"/>
          <w:szCs w:val="32"/>
        </w:rPr>
      </w:pPr>
      <w:r>
        <w:rPr>
          <w:rFonts w:hint="eastAsia" w:ascii="仿宋_GB2312" w:hAnsi="宋体" w:eastAsia="仿宋_GB2312" w:cs="宋体"/>
          <w:b/>
          <w:kern w:val="0"/>
          <w:sz w:val="32"/>
          <w:szCs w:val="32"/>
        </w:rPr>
        <w:t xml:space="preserve">第三十九条 </w:t>
      </w:r>
      <w:r>
        <w:rPr>
          <w:rFonts w:hint="eastAsia" w:ascii="仿宋_GB2312" w:hAnsi="宋体" w:eastAsia="仿宋_GB2312" w:cs="宋体"/>
          <w:kern w:val="0"/>
          <w:sz w:val="32"/>
          <w:szCs w:val="32"/>
        </w:rPr>
        <w:t xml:space="preserve"> 严格实行中层干部兼职管理制度。中层干部不准违反规定兼职或兼职取酬，确因工作需要兼职的，须报学校党委审核批准。具体按照《关于加强我校中层及以上干部兼职管理的通知》（柳职院党字〔2020〕54号）和有关规定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第四十条 </w:t>
      </w:r>
      <w:r>
        <w:rPr>
          <w:rFonts w:hint="eastAsia" w:ascii="仿宋_GB2312" w:hAnsi="宋体" w:eastAsia="仿宋_GB2312" w:cs="宋体"/>
          <w:kern w:val="0"/>
          <w:sz w:val="32"/>
          <w:szCs w:val="32"/>
        </w:rPr>
        <w:t xml:space="preserve"> 严格实行中层干部经济责任审计制度。具体按照《柳州职业技术学院经济责任审计实施办法（试行）》（柳职院党字〔2021〕51号）和有关规定执行。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第四十一条 </w:t>
      </w:r>
      <w:r>
        <w:rPr>
          <w:rFonts w:hint="eastAsia" w:ascii="仿宋_GB2312" w:hAnsi="宋体" w:eastAsia="仿宋_GB2312" w:cs="宋体"/>
          <w:kern w:val="0"/>
          <w:sz w:val="32"/>
          <w:szCs w:val="32"/>
        </w:rPr>
        <w:t xml:space="preserve"> 严格实行中层干部离任交接制度。宣布中层干部职务任免决定后，离任干部与接任干部一般应在5 个工作日内完成工作交接。具体按照学校有关规定和要求执行。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第四十二条 </w:t>
      </w:r>
      <w:r>
        <w:rPr>
          <w:rFonts w:hint="eastAsia" w:ascii="仿宋_GB2312" w:hAnsi="宋体" w:eastAsia="仿宋_GB2312" w:cs="宋体"/>
          <w:kern w:val="0"/>
          <w:sz w:val="32"/>
          <w:szCs w:val="32"/>
        </w:rPr>
        <w:t xml:space="preserve"> 严格实行责任追究制度，对失职渎职中层干部严肃问责。根据《中国共产党问责条例》和上级有关规定，对出现决策失误、工作失职、管理监督不力、滥用职权、群体性或突发事件处置失当等情况造成重大损失和恶劣影响的，以及作风懒散、业绩平庸等行为，由学校党委组织部、纪检监察部门提出建议，对中层干部实行问责。</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第四十三条 </w:t>
      </w:r>
      <w:r>
        <w:rPr>
          <w:rFonts w:hint="eastAsia" w:ascii="仿宋_GB2312" w:hAnsi="宋体" w:eastAsia="仿宋_GB2312" w:cs="宋体"/>
          <w:kern w:val="0"/>
          <w:sz w:val="32"/>
          <w:szCs w:val="32"/>
        </w:rPr>
        <w:t xml:space="preserve"> 认真落实中层干部关心关爱机制。坚持从严要求和关心爱护相结合，对中层干部做到政治关怀、工作关心、身心关注。及时掌握中层干部的思想动态及工作情况，关注中层干部的身心健康。</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第四十四条 </w:t>
      </w:r>
      <w:r>
        <w:rPr>
          <w:rFonts w:hint="eastAsia" w:ascii="仿宋_GB2312" w:hAnsi="宋体" w:eastAsia="仿宋_GB2312" w:cs="宋体"/>
          <w:kern w:val="0"/>
          <w:sz w:val="32"/>
          <w:szCs w:val="32"/>
        </w:rPr>
        <w:t xml:space="preserve"> 认真落实中层干部激励保障机制。中层干部在本职工作中表现突出、有显著成绩和贡献的，在处理突发事件和承担专项重要工作中作出突出贡献的，或者有其他突出事迹的，按照有关规定给予表彰奖励。结合学校薪酬改革实际，合理确定绩效工资水平，使中层干部收入与履职情况和学校长远发展相联系，有效激励中层干部担当作为。</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color w:val="FF0000"/>
          <w:kern w:val="0"/>
          <w:sz w:val="32"/>
          <w:szCs w:val="32"/>
        </w:rPr>
      </w:pPr>
      <w:r>
        <w:rPr>
          <w:rFonts w:hint="eastAsia" w:ascii="仿宋_GB2312" w:hAnsi="宋体" w:eastAsia="仿宋_GB2312" w:cs="宋体"/>
          <w:b/>
          <w:kern w:val="0"/>
          <w:sz w:val="32"/>
          <w:szCs w:val="32"/>
        </w:rPr>
        <w:t xml:space="preserve">第四十五条 </w:t>
      </w:r>
      <w:r>
        <w:rPr>
          <w:rFonts w:hint="eastAsia" w:ascii="仿宋_GB2312" w:hAnsi="宋体" w:eastAsia="仿宋_GB2312" w:cs="宋体"/>
          <w:kern w:val="0"/>
          <w:sz w:val="32"/>
          <w:szCs w:val="32"/>
        </w:rPr>
        <w:t xml:space="preserve"> 认真落实</w:t>
      </w:r>
      <w:r>
        <w:rPr>
          <w:rFonts w:hint="eastAsia" w:ascii="仿宋_GB2312" w:hAnsi="仿宋" w:eastAsia="仿宋_GB2312"/>
          <w:sz w:val="32"/>
          <w:szCs w:val="32"/>
        </w:rPr>
        <w:t>中层干部容错纠错机制。中层干部在履职担当、推动学校改革创新发展中，非主观故意出现失误错误，且符合相关情形和条件的，及时纠错改正，不做负面评价，予以免责减责。具体按照《中共柳州职业技术学院委员会关于建立容错纠错机制进一步激励干部新担当新作为的实施办法（试行）》（柳职院党字〔2020〕60号）</w:t>
      </w:r>
      <w:r>
        <w:rPr>
          <w:rFonts w:hint="eastAsia" w:ascii="仿宋_GB2312" w:hAnsi="宋体" w:eastAsia="仿宋_GB2312" w:cs="宋体"/>
          <w:kern w:val="0"/>
          <w:sz w:val="32"/>
          <w:szCs w:val="32"/>
        </w:rPr>
        <w:t>和有关规定</w:t>
      </w:r>
      <w:r>
        <w:rPr>
          <w:rFonts w:hint="eastAsia" w:ascii="仿宋_GB2312" w:hAnsi="仿宋" w:eastAsia="仿宋_GB2312"/>
          <w:sz w:val="32"/>
          <w:szCs w:val="32"/>
        </w:rPr>
        <w:t>执行。</w:t>
      </w:r>
    </w:p>
    <w:p>
      <w:pPr>
        <w:pageBreakBefore w:val="0"/>
        <w:widowControl/>
        <w:kinsoku/>
        <w:wordWrap/>
        <w:overflowPunct/>
        <w:topLinePunct w:val="0"/>
        <w:autoSpaceDE/>
        <w:autoSpaceDN/>
        <w:bidi w:val="0"/>
        <w:spacing w:line="596" w:lineRule="exact"/>
        <w:ind w:firstLine="656" w:firstLineChars="205"/>
        <w:outlineLvl w:val="9"/>
        <w:rPr>
          <w:rFonts w:hint="eastAsia" w:ascii="仿宋_GB2312" w:hAnsi="宋体" w:eastAsia="仿宋_GB2312" w:cs="宋体"/>
          <w:kern w:val="0"/>
          <w:sz w:val="32"/>
          <w:szCs w:val="32"/>
        </w:rPr>
      </w:pPr>
    </w:p>
    <w:p>
      <w:pPr>
        <w:pageBreakBefore w:val="0"/>
        <w:widowControl/>
        <w:kinsoku/>
        <w:wordWrap/>
        <w:overflowPunct/>
        <w:topLinePunct w:val="0"/>
        <w:autoSpaceDE/>
        <w:autoSpaceDN/>
        <w:bidi w:val="0"/>
        <w:spacing w:line="596" w:lineRule="exact"/>
        <w:ind w:firstLine="435"/>
        <w:jc w:val="center"/>
        <w:outlineLvl w:val="9"/>
        <w:rPr>
          <w:rFonts w:hint="eastAsia" w:ascii="仿宋_GB2312" w:hAnsi="宋体" w:eastAsia="仿宋_GB2312" w:cs="宋体"/>
          <w:kern w:val="0"/>
          <w:sz w:val="32"/>
          <w:szCs w:val="32"/>
        </w:rPr>
      </w:pPr>
      <w:r>
        <w:rPr>
          <w:rFonts w:hint="eastAsia" w:ascii="黑体" w:hAnsi="黑体" w:eastAsia="黑体" w:cs="宋体"/>
          <w:b/>
          <w:kern w:val="0"/>
          <w:sz w:val="32"/>
          <w:szCs w:val="32"/>
        </w:rPr>
        <w:t>第五章  中层干部的考核评价</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第四十六条 </w:t>
      </w:r>
      <w:r>
        <w:rPr>
          <w:rFonts w:hint="eastAsia" w:ascii="仿宋_GB2312" w:hAnsi="宋体" w:eastAsia="仿宋_GB2312" w:cs="宋体"/>
          <w:kern w:val="0"/>
          <w:sz w:val="32"/>
          <w:szCs w:val="32"/>
        </w:rPr>
        <w:t xml:space="preserve"> 充分发挥考核评价对中层干部的导向、激励和约束作用。学校党委组织部根据不同层次、不同类型干部特点，制定符合学校科学发展要求和岗位特点的中层干部考核评价办法和方案，加强对中层干部的平时考核、专项考核、年度考核和任职考察，综合运用实绩分析、满意度测评、民意调查等多种方法，注重听取师生反映与评价，进行综合分析，把握好个人与集体、局部与全局、当前与长远、显绩与潜绩的关系，切实提高考察考核的准确性和全面性。</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第四十七条 </w:t>
      </w:r>
      <w:r>
        <w:rPr>
          <w:rFonts w:hint="eastAsia" w:ascii="仿宋_GB2312" w:hAnsi="宋体" w:eastAsia="仿宋_GB2312" w:cs="宋体"/>
          <w:kern w:val="0"/>
          <w:sz w:val="32"/>
          <w:szCs w:val="32"/>
        </w:rPr>
        <w:t xml:space="preserve"> 中层干部的考核包括德、能、勤、绩、廉五个方面，主要内容包括：思想政治素质、道德品质、组织领导能力、工作作风、工作实绩、廉洁自律等情况。考核过程中，要重点考核政治表现和工作实绩，要重点关注贯彻落实上级决策部署、做到“两个维护”情况和落实立德树人根本任务、推动“三全育人”工作情况。</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第四十八条 </w:t>
      </w:r>
      <w:r>
        <w:rPr>
          <w:rFonts w:hint="eastAsia" w:ascii="仿宋_GB2312" w:hAnsi="宋体" w:eastAsia="仿宋_GB2312" w:cs="宋体"/>
          <w:kern w:val="0"/>
          <w:sz w:val="32"/>
          <w:szCs w:val="32"/>
        </w:rPr>
        <w:t xml:space="preserve"> 中层干部的考核评价采取群众测评和领导评定相结合，定性考核和定量考核相结合的方式，按照个人述职、民主评议、组织评鉴、反馈意见、研究改进措施的程序进行。考核评价工作的开展按学校党委组织部制定的具体考核方案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第四十九条 </w:t>
      </w:r>
      <w:r>
        <w:rPr>
          <w:rFonts w:hint="eastAsia" w:ascii="仿宋_GB2312" w:hAnsi="宋体" w:eastAsia="仿宋_GB2312" w:cs="宋体"/>
          <w:kern w:val="0"/>
          <w:sz w:val="32"/>
          <w:szCs w:val="32"/>
        </w:rPr>
        <w:t xml:space="preserve"> 中层干部的考核结果一般按优秀、合格、基本合格、不合格四个等次进行评定。</w:t>
      </w:r>
    </w:p>
    <w:p>
      <w:pPr>
        <w:pageBreakBefore w:val="0"/>
        <w:kinsoku/>
        <w:wordWrap/>
        <w:overflowPunct/>
        <w:topLinePunct w:val="0"/>
        <w:autoSpaceDE/>
        <w:autoSpaceDN/>
        <w:bidi w:val="0"/>
        <w:spacing w:line="596" w:lineRule="exact"/>
        <w:ind w:firstLine="643" w:firstLineChars="200"/>
        <w:outlineLvl w:val="9"/>
        <w:rPr>
          <w:rFonts w:ascii="仿宋_GB2312" w:hAnsi="宋体" w:eastAsia="仿宋_GB2312" w:cs="宋体"/>
          <w:kern w:val="0"/>
          <w:sz w:val="32"/>
          <w:szCs w:val="32"/>
        </w:rPr>
      </w:pPr>
      <w:r>
        <w:rPr>
          <w:rFonts w:hint="eastAsia" w:ascii="仿宋_GB2312" w:hAnsi="宋体" w:eastAsia="仿宋_GB2312" w:cs="宋体"/>
          <w:b/>
          <w:kern w:val="0"/>
          <w:sz w:val="32"/>
          <w:szCs w:val="32"/>
        </w:rPr>
        <w:t xml:space="preserve">第五十条 </w:t>
      </w:r>
      <w:r>
        <w:rPr>
          <w:rFonts w:hint="eastAsia" w:ascii="仿宋_GB2312" w:hAnsi="宋体" w:eastAsia="仿宋_GB2312" w:cs="宋体"/>
          <w:kern w:val="0"/>
          <w:sz w:val="32"/>
          <w:szCs w:val="32"/>
        </w:rPr>
        <w:t xml:space="preserve"> 强化考核结果运用，将考核结果作为中层干部选拔任用、培养教育、管理监督和激励约束的重要依据。</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选拔担任上一级领导职务的人选，应从考核中被评定为优秀、合格的干部中产生。</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中层干部在考核中被评定为基本合格的，应对其提出诫勉，限期改进，视具体情况，也可以调整其领导职务。</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中层干部在考核中被评定为不合格的，应视具体情况，按干部管理权限和法定程序作出如下处理：1.免去现任领导职务；2.责令辞去领导职务；3.降职。</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中层干部被免去现任领导职务或责令辞去领导职务后，由学校党委组织部根据实际情况另行安排工作。</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 xml:space="preserve">第五十一条 </w:t>
      </w:r>
      <w:r>
        <w:rPr>
          <w:rFonts w:hint="eastAsia" w:ascii="仿宋_GB2312" w:hAnsi="宋体" w:eastAsia="仿宋_GB2312" w:cs="宋体"/>
          <w:kern w:val="0"/>
          <w:sz w:val="32"/>
          <w:szCs w:val="32"/>
        </w:rPr>
        <w:t xml:space="preserve"> 完善考核结果反馈制度。考核结果向中层干部所在部门和干部本人反馈，使考核结果与改进工作有机结合起来。</w:t>
      </w:r>
    </w:p>
    <w:p>
      <w:pPr>
        <w:pageBreakBefore w:val="0"/>
        <w:widowControl/>
        <w:kinsoku/>
        <w:wordWrap/>
        <w:overflowPunct/>
        <w:topLinePunct w:val="0"/>
        <w:autoSpaceDE/>
        <w:autoSpaceDN/>
        <w:bidi w:val="0"/>
        <w:spacing w:line="596" w:lineRule="exact"/>
        <w:outlineLvl w:val="9"/>
        <w:rPr>
          <w:rFonts w:hint="eastAsia" w:ascii="黑体" w:hAnsi="黑体" w:eastAsia="黑体" w:cs="宋体"/>
          <w:b/>
          <w:kern w:val="0"/>
          <w:sz w:val="32"/>
          <w:szCs w:val="32"/>
        </w:rPr>
      </w:pPr>
    </w:p>
    <w:p>
      <w:pPr>
        <w:pageBreakBefore w:val="0"/>
        <w:widowControl/>
        <w:kinsoku/>
        <w:wordWrap/>
        <w:overflowPunct/>
        <w:topLinePunct w:val="0"/>
        <w:autoSpaceDE/>
        <w:autoSpaceDN/>
        <w:bidi w:val="0"/>
        <w:spacing w:line="596" w:lineRule="exact"/>
        <w:jc w:val="center"/>
        <w:outlineLvl w:val="9"/>
        <w:rPr>
          <w:rFonts w:hint="eastAsia" w:ascii="仿宋_GB2312" w:hAnsi="宋体" w:eastAsia="仿宋_GB2312" w:cs="宋体"/>
          <w:kern w:val="0"/>
          <w:sz w:val="32"/>
          <w:szCs w:val="32"/>
        </w:rPr>
      </w:pPr>
      <w:r>
        <w:rPr>
          <w:rFonts w:hint="eastAsia" w:ascii="黑体" w:hAnsi="黑体" w:eastAsia="黑体" w:cs="宋体"/>
          <w:b/>
          <w:kern w:val="0"/>
          <w:sz w:val="32"/>
          <w:szCs w:val="32"/>
        </w:rPr>
        <w:t>第六章  附则</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第五十二条</w:t>
      </w:r>
      <w:r>
        <w:rPr>
          <w:rFonts w:hint="eastAsia" w:ascii="仿宋_GB2312" w:hAnsi="宋体" w:eastAsia="仿宋_GB2312" w:cs="宋体"/>
          <w:kern w:val="0"/>
          <w:sz w:val="32"/>
          <w:szCs w:val="32"/>
        </w:rPr>
        <w:t xml:space="preserve">  本办法由学校党委组织部负责解释。未尽事宜按上级有关文件规定执行。</w:t>
      </w:r>
    </w:p>
    <w:p>
      <w:pPr>
        <w:pageBreakBefore w:val="0"/>
        <w:widowControl/>
        <w:kinsoku/>
        <w:wordWrap/>
        <w:overflowPunct/>
        <w:topLinePunct w:val="0"/>
        <w:autoSpaceDE/>
        <w:autoSpaceDN/>
        <w:bidi w:val="0"/>
        <w:spacing w:line="596" w:lineRule="exact"/>
        <w:ind w:firstLine="659" w:firstLineChars="205"/>
        <w:outlineLvl w:val="9"/>
        <w:rPr>
          <w:rFonts w:hint="eastAsia" w:ascii="仿宋_GB2312" w:eastAsia="仿宋_GB2312"/>
          <w:szCs w:val="28"/>
        </w:rPr>
      </w:pPr>
      <w:r>
        <w:rPr>
          <w:rFonts w:hint="eastAsia" w:ascii="仿宋_GB2312" w:hAnsi="宋体" w:eastAsia="仿宋_GB2312" w:cs="宋体"/>
          <w:b/>
          <w:kern w:val="0"/>
          <w:sz w:val="32"/>
          <w:szCs w:val="32"/>
        </w:rPr>
        <w:t>第五十三条</w:t>
      </w:r>
      <w:r>
        <w:rPr>
          <w:rFonts w:hint="eastAsia" w:ascii="仿宋_GB2312" w:hAnsi="宋体" w:eastAsia="仿宋_GB2312" w:cs="宋体"/>
          <w:kern w:val="0"/>
          <w:sz w:val="32"/>
          <w:szCs w:val="32"/>
        </w:rPr>
        <w:t xml:space="preserve">  本办法自公布之日起实行。《中共柳州职业技术学院委员会中层干部管理办法》（柳职院党字〔2009〕15号）同时废止。</w:t>
      </w:r>
    </w:p>
    <w:p>
      <w:pPr>
        <w:pageBreakBefore w:val="0"/>
        <w:widowControl/>
        <w:kinsoku/>
        <w:wordWrap/>
        <w:overflowPunct/>
        <w:topLinePunct w:val="0"/>
        <w:autoSpaceDE/>
        <w:autoSpaceDN/>
        <w:bidi w:val="0"/>
        <w:jc w:val="center"/>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lang w:val="en-US" w:eastAsia="zh-CN"/>
        </w:rPr>
      </w:pPr>
      <w:bookmarkStart w:id="310" w:name="_Toc24142"/>
      <w:bookmarkStart w:id="311" w:name="_Toc19562"/>
      <w:bookmarkStart w:id="312" w:name="_Toc534379483"/>
      <w:bookmarkStart w:id="313" w:name="_Toc27169"/>
      <w:r>
        <w:rPr>
          <w:rFonts w:hint="eastAsia" w:ascii="Calibri" w:hAnsi="Calibri"/>
          <w:b/>
          <w:color w:val="000000"/>
          <w:sz w:val="36"/>
          <w:szCs w:val="36"/>
          <w:lang w:val="en-US" w:eastAsia="zh-CN"/>
        </w:rPr>
        <w:t>柳州职业技术学院教职工请假制度</w:t>
      </w:r>
      <w:bookmarkEnd w:id="310"/>
      <w:bookmarkEnd w:id="311"/>
      <w:bookmarkEnd w:id="312"/>
      <w:bookmarkEnd w:id="313"/>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（柳职院字〔2018〕26号）</w:t>
      </w:r>
    </w:p>
    <w:p>
      <w:pPr>
        <w:pageBreakBefore w:val="0"/>
        <w:kinsoku/>
        <w:wordWrap/>
        <w:overflowPunct/>
        <w:topLinePunct w:val="0"/>
        <w:autoSpaceDE/>
        <w:autoSpaceDN/>
        <w:bidi w:val="0"/>
        <w:spacing w:line="590" w:lineRule="exact"/>
        <w:jc w:val="center"/>
        <w:outlineLvl w:val="9"/>
        <w:rPr>
          <w:b/>
          <w:color w:val="000000"/>
          <w:sz w:val="36"/>
          <w:szCs w:val="36"/>
        </w:rPr>
      </w:pP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为</w:t>
      </w:r>
      <w:r>
        <w:rPr>
          <w:rFonts w:hint="eastAsia" w:ascii="仿宋_GB2312" w:hAnsi="仿宋_GB2312" w:eastAsia="仿宋_GB2312" w:cs="仿宋_GB2312"/>
          <w:kern w:val="0"/>
          <w:sz w:val="32"/>
          <w:szCs w:val="32"/>
          <w:lang w:bidi="ar"/>
        </w:rPr>
        <w:t>进一步</w:t>
      </w:r>
      <w:r>
        <w:rPr>
          <w:rFonts w:ascii="仿宋_GB2312" w:hAnsi="仿宋_GB2312" w:eastAsia="仿宋_GB2312" w:cs="仿宋_GB2312"/>
          <w:kern w:val="0"/>
          <w:sz w:val="32"/>
          <w:szCs w:val="32"/>
          <w:lang w:bidi="ar"/>
        </w:rPr>
        <w:t>规范</w:t>
      </w:r>
      <w:r>
        <w:rPr>
          <w:rFonts w:hint="eastAsia" w:ascii="仿宋_GB2312" w:hAnsi="仿宋_GB2312" w:eastAsia="仿宋_GB2312" w:cs="仿宋_GB2312"/>
          <w:kern w:val="0"/>
          <w:sz w:val="32"/>
          <w:szCs w:val="32"/>
          <w:lang w:bidi="ar"/>
        </w:rPr>
        <w:t>教职工</w:t>
      </w:r>
      <w:r>
        <w:rPr>
          <w:rFonts w:ascii="仿宋_GB2312" w:hAnsi="仿宋_GB2312" w:eastAsia="仿宋_GB2312" w:cs="仿宋_GB2312"/>
          <w:kern w:val="0"/>
          <w:sz w:val="32"/>
          <w:szCs w:val="32"/>
          <w:lang w:bidi="ar"/>
        </w:rPr>
        <w:t>考勤管理，提高工作效率，保障</w:t>
      </w:r>
      <w:r>
        <w:rPr>
          <w:rFonts w:hint="eastAsia" w:ascii="仿宋_GB2312" w:hAnsi="仿宋_GB2312" w:eastAsia="仿宋_GB2312" w:cs="仿宋_GB2312"/>
          <w:kern w:val="0"/>
          <w:sz w:val="32"/>
          <w:szCs w:val="32"/>
          <w:lang w:bidi="ar"/>
        </w:rPr>
        <w:t>教职工的权益，</w:t>
      </w:r>
      <w:r>
        <w:rPr>
          <w:rFonts w:ascii="仿宋_GB2312" w:hAnsi="仿宋_GB2312" w:eastAsia="仿宋_GB2312" w:cs="仿宋_GB2312"/>
          <w:kern w:val="0"/>
          <w:sz w:val="32"/>
          <w:szCs w:val="32"/>
          <w:lang w:bidi="ar"/>
        </w:rPr>
        <w:t>根据</w:t>
      </w:r>
      <w:r>
        <w:rPr>
          <w:rFonts w:hint="eastAsia" w:ascii="仿宋_GB2312" w:hAnsi="仿宋_GB2312" w:eastAsia="仿宋_GB2312" w:cs="仿宋_GB2312"/>
          <w:kern w:val="0"/>
          <w:sz w:val="32"/>
          <w:szCs w:val="32"/>
          <w:lang w:bidi="ar"/>
        </w:rPr>
        <w:t>柳州市人民政府《柳州市市本级事业单位工作人员绩效工资实施办法》、</w:t>
      </w:r>
      <w:r>
        <w:rPr>
          <w:rFonts w:ascii="仿宋_GB2312" w:hAnsi="仿宋_GB2312" w:eastAsia="仿宋_GB2312" w:cs="仿宋_GB2312"/>
          <w:kern w:val="0"/>
          <w:sz w:val="32"/>
          <w:szCs w:val="32"/>
          <w:lang w:bidi="ar"/>
        </w:rPr>
        <w:t>《广西壮族自治区人口与计划生育条例》、</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女职工劳动</w:t>
      </w:r>
      <w:r>
        <w:rPr>
          <w:rFonts w:hint="eastAsia" w:ascii="仿宋_GB2312" w:hAnsi="仿宋_GB2312" w:eastAsia="仿宋_GB2312" w:cs="仿宋_GB2312"/>
          <w:kern w:val="0"/>
          <w:sz w:val="32"/>
          <w:szCs w:val="32"/>
          <w:lang w:bidi="ar"/>
        </w:rPr>
        <w:t>保护特别规定》、</w:t>
      </w:r>
      <w:r>
        <w:rPr>
          <w:rFonts w:ascii="仿宋_GB2312" w:hAnsi="仿宋_GB2312" w:eastAsia="仿宋_GB2312" w:cs="仿宋_GB2312"/>
          <w:kern w:val="0"/>
          <w:sz w:val="32"/>
          <w:szCs w:val="32"/>
          <w:lang w:bidi="ar"/>
        </w:rPr>
        <w:t>《广西壮族自治区实施〈中华人民共和国老年人权益保障法〉办法》</w:t>
      </w:r>
      <w:r>
        <w:rPr>
          <w:rFonts w:hint="eastAsia" w:ascii="仿宋_GB2312" w:hAnsi="仿宋_GB2312" w:eastAsia="仿宋_GB2312" w:cs="仿宋_GB2312"/>
          <w:kern w:val="0"/>
          <w:sz w:val="32"/>
          <w:szCs w:val="32"/>
          <w:lang w:bidi="ar"/>
        </w:rPr>
        <w:t>、《广西壮族自治区人力资源和社会保障厅 广西壮族自治区财政厅 关于进一步明确机关事业单位工作人员探亲交通费有关问题的通知》等相关法律、法规及政策，并结合学校的实际情况，特制定本制度。</w:t>
      </w:r>
    </w:p>
    <w:p>
      <w:pPr>
        <w:pageBreakBefore w:val="0"/>
        <w:kinsoku/>
        <w:wordWrap/>
        <w:overflowPunct/>
        <w:topLinePunct w:val="0"/>
        <w:autoSpaceDE/>
        <w:autoSpaceDN/>
        <w:bidi w:val="0"/>
        <w:spacing w:line="560" w:lineRule="exact"/>
        <w:ind w:firstLine="643" w:firstLineChars="200"/>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一、请假的类别及期限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1</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病假：</w:t>
      </w:r>
      <w:r>
        <w:rPr>
          <w:rFonts w:ascii="仿宋_GB2312" w:hAnsi="仿宋_GB2312" w:eastAsia="仿宋_GB2312" w:cs="仿宋_GB2312"/>
          <w:kern w:val="0"/>
          <w:sz w:val="32"/>
          <w:szCs w:val="32"/>
          <w:lang w:bidi="ar"/>
        </w:rPr>
        <w:t>因病无法坚持正常上班，可申请病假。请假期限根据实际病情确定。凡请病假一周及以上者，</w:t>
      </w:r>
      <w:r>
        <w:rPr>
          <w:rFonts w:hint="eastAsia" w:ascii="仿宋_GB2312" w:hAnsi="仿宋_GB2312" w:eastAsia="仿宋_GB2312" w:cs="仿宋_GB2312"/>
          <w:kern w:val="0"/>
          <w:sz w:val="32"/>
          <w:szCs w:val="32"/>
          <w:lang w:bidi="ar"/>
        </w:rPr>
        <w:t>需</w:t>
      </w:r>
      <w:r>
        <w:rPr>
          <w:rFonts w:ascii="仿宋_GB2312" w:hAnsi="仿宋_GB2312" w:eastAsia="仿宋_GB2312" w:cs="仿宋_GB2312"/>
          <w:kern w:val="0"/>
          <w:sz w:val="32"/>
          <w:szCs w:val="32"/>
          <w:lang w:bidi="ar"/>
        </w:rPr>
        <w:t>附上</w:t>
      </w:r>
      <w:r>
        <w:rPr>
          <w:rFonts w:hint="eastAsia" w:ascii="仿宋_GB2312" w:hAnsi="仿宋_GB2312" w:eastAsia="仿宋_GB2312" w:cs="仿宋_GB2312"/>
          <w:kern w:val="0"/>
          <w:sz w:val="32"/>
          <w:szCs w:val="32"/>
          <w:lang w:bidi="ar"/>
        </w:rPr>
        <w:t>公费医疗定点医院</w:t>
      </w:r>
      <w:r>
        <w:rPr>
          <w:rFonts w:ascii="仿宋_GB2312" w:hAnsi="仿宋_GB2312" w:eastAsia="仿宋_GB2312" w:cs="仿宋_GB2312"/>
          <w:kern w:val="0"/>
          <w:sz w:val="32"/>
          <w:szCs w:val="32"/>
          <w:lang w:bidi="ar"/>
        </w:rPr>
        <w:t>诊断证明</w:t>
      </w:r>
      <w:r>
        <w:rPr>
          <w:rFonts w:hint="eastAsia" w:ascii="仿宋_GB2312" w:hAnsi="仿宋_GB2312" w:eastAsia="仿宋_GB2312" w:cs="仿宋_GB2312"/>
          <w:kern w:val="0"/>
          <w:sz w:val="32"/>
          <w:szCs w:val="32"/>
          <w:lang w:bidi="ar"/>
        </w:rPr>
        <w:t>和病假证明</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2</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事假：</w:t>
      </w:r>
      <w:r>
        <w:rPr>
          <w:rFonts w:ascii="仿宋_GB2312" w:hAnsi="仿宋_GB2312" w:eastAsia="仿宋_GB2312" w:cs="仿宋_GB2312"/>
          <w:kern w:val="0"/>
          <w:sz w:val="32"/>
          <w:szCs w:val="32"/>
          <w:lang w:bidi="ar"/>
        </w:rPr>
        <w:t>私事应尽量安排在双休日、节假日，若确有急事需请假应事先提出申请。</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3</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婚假：</w:t>
      </w:r>
      <w:r>
        <w:rPr>
          <w:rFonts w:ascii="仿宋_GB2312" w:hAnsi="仿宋_GB2312" w:eastAsia="仿宋_GB2312" w:cs="仿宋_GB2312"/>
          <w:kern w:val="0"/>
          <w:sz w:val="32"/>
          <w:szCs w:val="32"/>
          <w:lang w:bidi="ar"/>
        </w:rPr>
        <w:t>凭结婚证申请婚假。达到法定婚龄结婚，婚假3天。</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4</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产假</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男方护理假：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r>
        <w:rPr>
          <w:rFonts w:ascii="仿宋_GB2312" w:hAnsi="仿宋_GB2312" w:eastAsia="仿宋_GB2312" w:cs="仿宋_GB2312"/>
          <w:kern w:val="0"/>
          <w:sz w:val="32"/>
          <w:szCs w:val="32"/>
          <w:lang w:bidi="ar"/>
        </w:rPr>
        <w:t>女</w:t>
      </w:r>
      <w:r>
        <w:rPr>
          <w:rFonts w:hint="eastAsia" w:ascii="仿宋_GB2312" w:hAnsi="仿宋_GB2312" w:eastAsia="仿宋_GB2312" w:cs="仿宋_GB2312"/>
          <w:kern w:val="0"/>
          <w:sz w:val="32"/>
          <w:szCs w:val="32"/>
          <w:lang w:bidi="ar"/>
        </w:rPr>
        <w:t>教</w:t>
      </w:r>
      <w:r>
        <w:rPr>
          <w:rFonts w:ascii="仿宋_GB2312" w:hAnsi="仿宋_GB2312" w:eastAsia="仿宋_GB2312" w:cs="仿宋_GB2312"/>
          <w:kern w:val="0"/>
          <w:sz w:val="32"/>
          <w:szCs w:val="32"/>
          <w:lang w:bidi="ar"/>
        </w:rPr>
        <w:t>职工分娩，可请产假。</w:t>
      </w:r>
      <w:r>
        <w:rPr>
          <w:rFonts w:hint="eastAsia" w:ascii="仿宋_GB2312" w:hAnsi="仿宋_GB2312" w:eastAsia="仿宋_GB2312" w:cs="仿宋_GB2312"/>
          <w:kern w:val="0"/>
          <w:sz w:val="32"/>
          <w:szCs w:val="32"/>
          <w:lang w:bidi="ar"/>
        </w:rPr>
        <w:t>根据国务院颁布的《</w:t>
      </w:r>
      <w:r>
        <w:rPr>
          <w:rFonts w:ascii="仿宋_GB2312" w:hAnsi="仿宋_GB2312" w:eastAsia="仿宋_GB2312" w:cs="仿宋_GB2312"/>
          <w:kern w:val="0"/>
          <w:sz w:val="32"/>
          <w:szCs w:val="32"/>
          <w:lang w:bidi="ar"/>
        </w:rPr>
        <w:t>女职工劳动</w:t>
      </w:r>
      <w:r>
        <w:rPr>
          <w:rFonts w:hint="eastAsia" w:ascii="仿宋_GB2312" w:hAnsi="仿宋_GB2312" w:eastAsia="仿宋_GB2312" w:cs="仿宋_GB2312"/>
          <w:kern w:val="0"/>
          <w:sz w:val="32"/>
          <w:szCs w:val="32"/>
          <w:lang w:bidi="ar"/>
        </w:rPr>
        <w:t>保护特别规定》：</w:t>
      </w:r>
      <w:r>
        <w:rPr>
          <w:rFonts w:ascii="仿宋_GB2312" w:hAnsi="仿宋_GB2312" w:eastAsia="仿宋_GB2312" w:cs="仿宋_GB2312"/>
          <w:kern w:val="0"/>
          <w:sz w:val="32"/>
          <w:szCs w:val="32"/>
          <w:lang w:bidi="ar"/>
        </w:rPr>
        <w:t>女职工生育享受98天产假，其中产前可以休假15天；难产的，增加产假15天；生育多胞胎的，每多生育1个婴儿，增加产假15天。</w:t>
      </w:r>
      <w:r>
        <w:rPr>
          <w:rFonts w:hint="eastAsia" w:ascii="仿宋_GB2312" w:hAnsi="仿宋_GB2312" w:eastAsia="仿宋_GB2312" w:cs="仿宋_GB2312"/>
          <w:kern w:val="0"/>
          <w:sz w:val="32"/>
          <w:szCs w:val="32"/>
          <w:lang w:bidi="ar"/>
        </w:rPr>
        <w:t>根据</w:t>
      </w:r>
      <w:r>
        <w:rPr>
          <w:rFonts w:ascii="仿宋_GB2312" w:hAnsi="仿宋_GB2312" w:eastAsia="仿宋_GB2312" w:cs="仿宋_GB2312"/>
          <w:kern w:val="0"/>
          <w:sz w:val="32"/>
          <w:szCs w:val="32"/>
          <w:lang w:bidi="ar"/>
        </w:rPr>
        <w:t>《广西壮族自治区人口与计划生育条例》：符合法律、法规规定生育子女的夫妻，除享受国家规定的假期外，女方增加产假</w:t>
      </w:r>
      <w:r>
        <w:rPr>
          <w:rFonts w:hint="eastAsia" w:ascii="仿宋_GB2312" w:hAnsi="仿宋_GB2312" w:eastAsia="仿宋_GB2312" w:cs="仿宋_GB2312"/>
          <w:kern w:val="0"/>
          <w:sz w:val="32"/>
          <w:szCs w:val="32"/>
          <w:lang w:bidi="ar"/>
        </w:rPr>
        <w:t>50天</w:t>
      </w:r>
      <w:r>
        <w:rPr>
          <w:rFonts w:ascii="仿宋_GB2312" w:hAnsi="仿宋_GB2312" w:eastAsia="仿宋_GB2312" w:cs="仿宋_GB2312"/>
          <w:kern w:val="0"/>
          <w:sz w:val="32"/>
          <w:szCs w:val="32"/>
          <w:lang w:bidi="ar"/>
        </w:rPr>
        <w:t>，同时给予男方护理假</w:t>
      </w:r>
      <w:r>
        <w:rPr>
          <w:rFonts w:hint="eastAsia" w:ascii="仿宋_GB2312" w:hAnsi="仿宋_GB2312" w:eastAsia="仿宋_GB2312" w:cs="仿宋_GB2312"/>
          <w:kern w:val="0"/>
          <w:sz w:val="32"/>
          <w:szCs w:val="32"/>
          <w:lang w:bidi="ar"/>
        </w:rPr>
        <w:t>25天</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（2）女教职工怀孕未满4个月流产的，根据公费医疗定点单位的证明，享受15天产假；怀孕满4个月流产的，享受42天产假。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（3）女教职工产假若正值寒暑假期间，其寒暑假休假时间可以顺延。</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（4）符合法律、法规规定生育子女的夫妻，产假期满后抚育婴儿有困难的，由本人提出申请，经所在部门同意，报校长办公会批准后，可享受6个月至12个月的哺乳假。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（5）以上各种期限的产假、男方</w:t>
      </w:r>
      <w:r>
        <w:rPr>
          <w:rFonts w:ascii="仿宋_GB2312" w:hAnsi="仿宋_GB2312" w:eastAsia="仿宋_GB2312" w:cs="仿宋_GB2312"/>
          <w:kern w:val="0"/>
          <w:sz w:val="32"/>
          <w:szCs w:val="32"/>
          <w:lang w:bidi="ar"/>
        </w:rPr>
        <w:t>护理假含法定的节假日。</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w:t>
      </w:r>
      <w:r>
        <w:rPr>
          <w:rFonts w:ascii="仿宋_GB2312" w:hAnsi="仿宋_GB2312" w:eastAsia="仿宋_GB2312" w:cs="仿宋_GB2312"/>
          <w:kern w:val="0"/>
          <w:sz w:val="32"/>
          <w:szCs w:val="32"/>
          <w:lang w:bidi="ar"/>
        </w:rPr>
        <w:t>有不满一周岁婴儿的女职工，</w:t>
      </w:r>
      <w:r>
        <w:rPr>
          <w:rFonts w:hint="eastAsia" w:ascii="仿宋_GB2312" w:hAnsi="仿宋_GB2312" w:eastAsia="仿宋_GB2312" w:cs="仿宋_GB2312"/>
          <w:kern w:val="0"/>
          <w:sz w:val="32"/>
          <w:szCs w:val="32"/>
          <w:lang w:bidi="ar"/>
        </w:rPr>
        <w:t>每天有</w:t>
      </w:r>
      <w:r>
        <w:rPr>
          <w:rFonts w:ascii="仿宋_GB2312" w:hAnsi="仿宋_GB2312" w:eastAsia="仿宋_GB2312" w:cs="仿宋_GB2312"/>
          <w:kern w:val="0"/>
          <w:sz w:val="32"/>
          <w:szCs w:val="32"/>
          <w:lang w:bidi="ar"/>
        </w:rPr>
        <w:t>两次哺乳（含人工喂养）时间，每次</w:t>
      </w:r>
      <w:r>
        <w:rPr>
          <w:rFonts w:hint="eastAsia" w:ascii="仿宋_GB2312" w:hAnsi="仿宋_GB2312" w:eastAsia="仿宋_GB2312" w:cs="仿宋_GB2312"/>
          <w:kern w:val="0"/>
          <w:sz w:val="32"/>
          <w:szCs w:val="32"/>
          <w:lang w:bidi="ar"/>
        </w:rPr>
        <w:t>30</w:t>
      </w:r>
      <w:r>
        <w:rPr>
          <w:rFonts w:ascii="仿宋_GB2312" w:hAnsi="仿宋_GB2312" w:eastAsia="仿宋_GB2312" w:cs="仿宋_GB2312"/>
          <w:kern w:val="0"/>
          <w:sz w:val="32"/>
          <w:szCs w:val="32"/>
          <w:lang w:bidi="ar"/>
        </w:rPr>
        <w:t>分钟。多胞胎生育的，每多哺乳一个婴儿，每次哺乳时间增加</w:t>
      </w:r>
      <w:r>
        <w:rPr>
          <w:rFonts w:hint="eastAsia" w:ascii="仿宋_GB2312" w:hAnsi="仿宋_GB2312" w:eastAsia="仿宋_GB2312" w:cs="仿宋_GB2312"/>
          <w:kern w:val="0"/>
          <w:sz w:val="32"/>
          <w:szCs w:val="32"/>
          <w:lang w:bidi="ar"/>
        </w:rPr>
        <w:t>30</w:t>
      </w:r>
      <w:r>
        <w:rPr>
          <w:rFonts w:ascii="仿宋_GB2312" w:hAnsi="仿宋_GB2312" w:eastAsia="仿宋_GB2312" w:cs="仿宋_GB2312"/>
          <w:kern w:val="0"/>
          <w:sz w:val="32"/>
          <w:szCs w:val="32"/>
          <w:lang w:bidi="ar"/>
        </w:rPr>
        <w:t>分钟。女</w:t>
      </w:r>
      <w:r>
        <w:rPr>
          <w:rFonts w:hint="eastAsia" w:ascii="仿宋_GB2312" w:hAnsi="仿宋_GB2312" w:eastAsia="仿宋_GB2312" w:cs="仿宋_GB2312"/>
          <w:kern w:val="0"/>
          <w:sz w:val="32"/>
          <w:szCs w:val="32"/>
          <w:lang w:bidi="ar"/>
        </w:rPr>
        <w:t>教</w:t>
      </w:r>
      <w:r>
        <w:rPr>
          <w:rFonts w:ascii="仿宋_GB2312" w:hAnsi="仿宋_GB2312" w:eastAsia="仿宋_GB2312" w:cs="仿宋_GB2312"/>
          <w:kern w:val="0"/>
          <w:sz w:val="32"/>
          <w:szCs w:val="32"/>
          <w:lang w:bidi="ar"/>
        </w:rPr>
        <w:t>职工</w:t>
      </w:r>
      <w:r>
        <w:rPr>
          <w:rFonts w:hint="eastAsia" w:ascii="仿宋_GB2312" w:hAnsi="仿宋_GB2312" w:eastAsia="仿宋_GB2312" w:cs="仿宋_GB2312"/>
          <w:kern w:val="0"/>
          <w:sz w:val="32"/>
          <w:szCs w:val="32"/>
          <w:lang w:bidi="ar"/>
        </w:rPr>
        <w:t>每天</w:t>
      </w:r>
      <w:r>
        <w:rPr>
          <w:rFonts w:ascii="仿宋_GB2312" w:hAnsi="仿宋_GB2312" w:eastAsia="仿宋_GB2312" w:cs="仿宋_GB2312"/>
          <w:kern w:val="0"/>
          <w:sz w:val="32"/>
          <w:szCs w:val="32"/>
          <w:lang w:bidi="ar"/>
        </w:rPr>
        <w:t>两次哺乳时间可以合并使用。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5</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探亲假：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（1）教职工探亲应安排在寒暑假。</w:t>
      </w:r>
      <w:r>
        <w:rPr>
          <w:rFonts w:ascii="仿宋_GB2312" w:hAnsi="仿宋_GB2312" w:eastAsia="仿宋_GB2312" w:cs="仿宋_GB2312"/>
          <w:kern w:val="0"/>
          <w:sz w:val="32"/>
          <w:szCs w:val="32"/>
          <w:lang w:bidi="ar"/>
        </w:rPr>
        <w:t>凡工作满一年的</w:t>
      </w:r>
      <w:r>
        <w:rPr>
          <w:rFonts w:hint="eastAsia" w:ascii="仿宋_GB2312" w:hAnsi="仿宋_GB2312" w:eastAsia="仿宋_GB2312" w:cs="仿宋_GB2312"/>
          <w:kern w:val="0"/>
          <w:sz w:val="32"/>
          <w:szCs w:val="32"/>
          <w:lang w:bidi="ar"/>
        </w:rPr>
        <w:t>教</w:t>
      </w:r>
      <w:r>
        <w:rPr>
          <w:rFonts w:ascii="仿宋_GB2312" w:hAnsi="仿宋_GB2312" w:eastAsia="仿宋_GB2312" w:cs="仿宋_GB2312"/>
          <w:kern w:val="0"/>
          <w:sz w:val="32"/>
          <w:szCs w:val="32"/>
          <w:lang w:bidi="ar"/>
        </w:rPr>
        <w:t>职工，与配偶</w:t>
      </w:r>
      <w:r>
        <w:rPr>
          <w:rFonts w:hint="eastAsia" w:ascii="仿宋_GB2312" w:hAnsi="仿宋_GB2312" w:eastAsia="仿宋_GB2312" w:cs="仿宋_GB2312"/>
          <w:kern w:val="0"/>
          <w:sz w:val="32"/>
          <w:szCs w:val="32"/>
          <w:lang w:bidi="ar"/>
        </w:rPr>
        <w:t>两地分居</w:t>
      </w:r>
      <w:r>
        <w:rPr>
          <w:rFonts w:ascii="仿宋_GB2312" w:hAnsi="仿宋_GB2312" w:eastAsia="仿宋_GB2312" w:cs="仿宋_GB2312"/>
          <w:kern w:val="0"/>
          <w:sz w:val="32"/>
          <w:szCs w:val="32"/>
          <w:lang w:bidi="ar"/>
        </w:rPr>
        <w:t>，或与父母</w:t>
      </w:r>
      <w:r>
        <w:rPr>
          <w:rFonts w:hint="eastAsia" w:ascii="仿宋_GB2312" w:hAnsi="仿宋_GB2312" w:eastAsia="仿宋_GB2312" w:cs="仿宋_GB2312"/>
          <w:kern w:val="0"/>
          <w:sz w:val="32"/>
          <w:szCs w:val="32"/>
          <w:lang w:bidi="ar"/>
        </w:rPr>
        <w:t>均异地居住</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又不能在双休日团聚的，</w:t>
      </w:r>
      <w:r>
        <w:rPr>
          <w:rFonts w:ascii="仿宋_GB2312" w:hAnsi="仿宋_GB2312" w:eastAsia="仿宋_GB2312" w:cs="仿宋_GB2312"/>
          <w:kern w:val="0"/>
          <w:sz w:val="32"/>
          <w:szCs w:val="32"/>
          <w:lang w:bidi="ar"/>
        </w:rPr>
        <w:t>可以享受探亲</w:t>
      </w:r>
      <w:r>
        <w:rPr>
          <w:rFonts w:hint="eastAsia" w:ascii="仿宋_GB2312" w:hAnsi="仿宋_GB2312" w:eastAsia="仿宋_GB2312" w:cs="仿宋_GB2312"/>
          <w:kern w:val="0"/>
          <w:sz w:val="32"/>
          <w:szCs w:val="32"/>
          <w:lang w:bidi="ar"/>
        </w:rPr>
        <w:t>政策；如果教职工与父亲或母亲一方住在一起，或教职工与父亲或与母亲一方能够在双休日团聚的，不享受探亲待遇。</w:t>
      </w:r>
      <w:r>
        <w:rPr>
          <w:rFonts w:ascii="仿宋_GB2312" w:hAnsi="仿宋_GB2312" w:eastAsia="仿宋_GB2312" w:cs="仿宋_GB2312"/>
          <w:kern w:val="0"/>
          <w:sz w:val="32"/>
          <w:szCs w:val="32"/>
          <w:lang w:bidi="ar"/>
        </w:rPr>
        <w:t>探望配偶，每年给予探亲一次；未婚</w:t>
      </w:r>
      <w:r>
        <w:rPr>
          <w:rFonts w:hint="eastAsia" w:ascii="仿宋_GB2312" w:hAnsi="仿宋_GB2312" w:eastAsia="仿宋_GB2312" w:cs="仿宋_GB2312"/>
          <w:kern w:val="0"/>
          <w:sz w:val="32"/>
          <w:szCs w:val="32"/>
          <w:lang w:bidi="ar"/>
        </w:rPr>
        <w:t>教职工</w:t>
      </w:r>
      <w:r>
        <w:rPr>
          <w:rFonts w:ascii="仿宋_GB2312" w:hAnsi="仿宋_GB2312" w:eastAsia="仿宋_GB2312" w:cs="仿宋_GB2312"/>
          <w:kern w:val="0"/>
          <w:sz w:val="32"/>
          <w:szCs w:val="32"/>
          <w:lang w:bidi="ar"/>
        </w:rPr>
        <w:t>探望父母，每年给予探亲一次；已婚</w:t>
      </w:r>
      <w:r>
        <w:rPr>
          <w:rFonts w:hint="eastAsia" w:ascii="仿宋_GB2312" w:hAnsi="仿宋_GB2312" w:eastAsia="仿宋_GB2312" w:cs="仿宋_GB2312"/>
          <w:kern w:val="0"/>
          <w:sz w:val="32"/>
          <w:szCs w:val="32"/>
          <w:lang w:bidi="ar"/>
        </w:rPr>
        <w:t>教职工</w:t>
      </w:r>
      <w:r>
        <w:rPr>
          <w:rFonts w:ascii="仿宋_GB2312" w:hAnsi="仿宋_GB2312" w:eastAsia="仿宋_GB2312" w:cs="仿宋_GB2312"/>
          <w:kern w:val="0"/>
          <w:sz w:val="32"/>
          <w:szCs w:val="32"/>
          <w:lang w:bidi="ar"/>
        </w:rPr>
        <w:t>探望父母，每四年</w:t>
      </w:r>
      <w:r>
        <w:rPr>
          <w:rFonts w:hint="eastAsia" w:ascii="仿宋_GB2312" w:hAnsi="仿宋_GB2312" w:eastAsia="仿宋_GB2312" w:cs="仿宋_GB2312"/>
          <w:kern w:val="0"/>
          <w:sz w:val="32"/>
          <w:szCs w:val="32"/>
          <w:lang w:bidi="ar"/>
        </w:rPr>
        <w:t>给予探亲</w:t>
      </w:r>
      <w:r>
        <w:rPr>
          <w:rFonts w:ascii="仿宋_GB2312" w:hAnsi="仿宋_GB2312" w:eastAsia="仿宋_GB2312" w:cs="仿宋_GB2312"/>
          <w:kern w:val="0"/>
          <w:sz w:val="32"/>
          <w:szCs w:val="32"/>
          <w:lang w:bidi="ar"/>
        </w:rPr>
        <w:t>一次。</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（2）见习生见习期间不能享受探亲待遇。上半年期满转正的，当年可以享受探亲待遇；下半年期满转正的，自下一个年度起享受探亲待遇。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（3）配偶（或父母）因工作需要调离本地的当年，本人不享受探亲待遇。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（4）原则上探亲往返地点为本人工作地与配偶、父母国内常住地（居住六个月以上）。</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(5)原则上父母、配偶在广西的不享受探亲待遇。</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6</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丧假：</w:t>
      </w:r>
      <w:r>
        <w:rPr>
          <w:rFonts w:hint="eastAsia" w:ascii="仿宋_GB2312" w:hAnsi="仿宋_GB2312" w:eastAsia="仿宋_GB2312" w:cs="仿宋_GB2312"/>
          <w:kern w:val="0"/>
          <w:sz w:val="32"/>
          <w:szCs w:val="32"/>
          <w:lang w:bidi="ar"/>
        </w:rPr>
        <w:t>教职工</w:t>
      </w:r>
      <w:r>
        <w:rPr>
          <w:rFonts w:ascii="仿宋_GB2312" w:hAnsi="仿宋_GB2312" w:eastAsia="仿宋_GB2312" w:cs="仿宋_GB2312"/>
          <w:kern w:val="0"/>
          <w:sz w:val="32"/>
          <w:szCs w:val="32"/>
          <w:lang w:bidi="ar"/>
        </w:rPr>
        <w:t>的直系亲属（父母、岳父母、</w:t>
      </w:r>
      <w:r>
        <w:rPr>
          <w:rFonts w:hint="eastAsia" w:ascii="仿宋_GB2312" w:hAnsi="仿宋_GB2312" w:eastAsia="仿宋_GB2312" w:cs="仿宋_GB2312"/>
          <w:kern w:val="0"/>
          <w:sz w:val="32"/>
          <w:szCs w:val="32"/>
          <w:lang w:bidi="ar"/>
        </w:rPr>
        <w:t>公婆、</w:t>
      </w:r>
      <w:r>
        <w:rPr>
          <w:rFonts w:ascii="仿宋_GB2312" w:hAnsi="仿宋_GB2312" w:eastAsia="仿宋_GB2312" w:cs="仿宋_GB2312"/>
          <w:kern w:val="0"/>
          <w:sz w:val="32"/>
          <w:szCs w:val="32"/>
          <w:lang w:bidi="ar"/>
        </w:rPr>
        <w:t>配偶和子女）</w:t>
      </w:r>
      <w:r>
        <w:rPr>
          <w:rFonts w:hint="eastAsia" w:ascii="仿宋_GB2312" w:hAnsi="仿宋_GB2312" w:eastAsia="仿宋_GB2312" w:cs="仿宋_GB2312"/>
          <w:kern w:val="0"/>
          <w:sz w:val="32"/>
          <w:szCs w:val="32"/>
          <w:lang w:bidi="ar"/>
        </w:rPr>
        <w:t>过世</w:t>
      </w:r>
      <w:r>
        <w:rPr>
          <w:rFonts w:ascii="仿宋_GB2312" w:hAnsi="仿宋_GB2312" w:eastAsia="仿宋_GB2312" w:cs="仿宋_GB2312"/>
          <w:kern w:val="0"/>
          <w:sz w:val="32"/>
          <w:szCs w:val="32"/>
          <w:lang w:bidi="ar"/>
        </w:rPr>
        <w:t>时，可以请丧假。丧假最长</w:t>
      </w:r>
      <w:r>
        <w:rPr>
          <w:rFonts w:hint="eastAsia" w:ascii="仿宋_GB2312" w:hAnsi="仿宋_GB2312" w:eastAsia="仿宋_GB2312" w:cs="仿宋_GB2312"/>
          <w:kern w:val="0"/>
          <w:sz w:val="32"/>
          <w:szCs w:val="32"/>
          <w:lang w:bidi="ar"/>
        </w:rPr>
        <w:t>3</w:t>
      </w:r>
      <w:r>
        <w:rPr>
          <w:rFonts w:ascii="仿宋_GB2312" w:hAnsi="仿宋_GB2312" w:eastAsia="仿宋_GB2312" w:cs="仿宋_GB2312"/>
          <w:kern w:val="0"/>
          <w:sz w:val="32"/>
          <w:szCs w:val="32"/>
          <w:lang w:bidi="ar"/>
        </w:rPr>
        <w:t>天（不含路程）。</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7.独生子女护理</w:t>
      </w:r>
      <w:r>
        <w:rPr>
          <w:rFonts w:ascii="仿宋_GB2312" w:hAnsi="仿宋_GB2312" w:eastAsia="仿宋_GB2312" w:cs="仿宋_GB2312"/>
          <w:b/>
          <w:kern w:val="0"/>
          <w:sz w:val="32"/>
          <w:szCs w:val="32"/>
          <w:lang w:bidi="ar"/>
        </w:rPr>
        <w:t>假</w:t>
      </w:r>
      <w:r>
        <w:rPr>
          <w:rFonts w:hint="eastAsia" w:ascii="仿宋_GB2312" w:hAnsi="仿宋_GB2312" w:eastAsia="仿宋_GB2312" w:cs="仿宋_GB2312"/>
          <w:b/>
          <w:kern w:val="0"/>
          <w:sz w:val="32"/>
          <w:szCs w:val="32"/>
          <w:lang w:bidi="ar"/>
        </w:rPr>
        <w:t>:</w:t>
      </w:r>
      <w:r>
        <w:rPr>
          <w:rFonts w:hint="eastAsia" w:ascii="仿宋_GB2312" w:hAnsi="仿宋_GB2312" w:eastAsia="仿宋_GB2312" w:cs="仿宋_GB2312"/>
          <w:kern w:val="0"/>
          <w:sz w:val="32"/>
          <w:szCs w:val="32"/>
          <w:lang w:bidi="ar"/>
        </w:rPr>
        <w:t>独生子女父母年满60周岁的，患病住院期间，可以请独生子女护理假，每年累计不超过15天，超过15天以上的时间按事假处理。</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 xml:space="preserve">二、请假的程序和批准权限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1</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请假程序：</w:t>
      </w:r>
      <w:r>
        <w:rPr>
          <w:rFonts w:ascii="仿宋_GB2312" w:hAnsi="仿宋_GB2312" w:eastAsia="仿宋_GB2312" w:cs="仿宋_GB2312"/>
          <w:kern w:val="0"/>
          <w:sz w:val="32"/>
          <w:szCs w:val="32"/>
          <w:lang w:bidi="ar"/>
        </w:rPr>
        <w:t>凡是需要请假者，应</w:t>
      </w:r>
      <w:r>
        <w:rPr>
          <w:rFonts w:hint="eastAsia" w:ascii="仿宋_GB2312" w:hAnsi="仿宋_GB2312" w:eastAsia="仿宋_GB2312" w:cs="仿宋_GB2312"/>
          <w:kern w:val="0"/>
          <w:sz w:val="32"/>
          <w:szCs w:val="32"/>
          <w:lang w:bidi="ar"/>
        </w:rPr>
        <w:t>登</w:t>
      </w:r>
      <w:r>
        <w:rPr>
          <w:rFonts w:ascii="仿宋_GB2312" w:hAnsi="仿宋_GB2312" w:eastAsia="仿宋_GB2312" w:cs="仿宋_GB2312"/>
          <w:kern w:val="0"/>
          <w:sz w:val="32"/>
          <w:szCs w:val="32"/>
          <w:lang w:bidi="ar"/>
        </w:rPr>
        <w:t>陆个人CRP系统 —</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点击</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我的流程</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w:t>
      </w:r>
      <w:r>
        <w:rPr>
          <w:rFonts w:hint="eastAsia" w:ascii="仿宋_GB2312" w:hAnsi="仿宋_GB2312" w:eastAsia="仿宋_GB2312" w:cs="仿宋_GB2312"/>
          <w:kern w:val="0"/>
          <w:sz w:val="32"/>
          <w:szCs w:val="32"/>
          <w:lang w:bidi="ar"/>
        </w:rPr>
        <w:t>打开“</w:t>
      </w:r>
      <w:r>
        <w:rPr>
          <w:rFonts w:ascii="仿宋_GB2312" w:hAnsi="仿宋_GB2312" w:eastAsia="仿宋_GB2312" w:cs="仿宋_GB2312"/>
          <w:kern w:val="0"/>
          <w:sz w:val="32"/>
          <w:szCs w:val="32"/>
          <w:lang w:bidi="ar"/>
        </w:rPr>
        <w:t>新建流程</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选择“</w:t>
      </w:r>
      <w:r>
        <w:rPr>
          <w:rFonts w:ascii="仿宋_GB2312" w:hAnsi="仿宋_GB2312" w:eastAsia="仿宋_GB2312" w:cs="仿宋_GB2312"/>
          <w:kern w:val="0"/>
          <w:sz w:val="32"/>
          <w:szCs w:val="32"/>
          <w:lang w:bidi="ar"/>
        </w:rPr>
        <w:t>党委组织部</w:t>
      </w:r>
      <w:r>
        <w:rPr>
          <w:rFonts w:hint="eastAsia" w:ascii="仿宋_GB2312" w:hAnsi="仿宋_GB2312" w:eastAsia="仿宋_GB2312" w:cs="仿宋_GB2312"/>
          <w:kern w:val="0"/>
          <w:sz w:val="32"/>
          <w:szCs w:val="32"/>
          <w:lang w:bidi="ar"/>
        </w:rPr>
        <w:t>(人事处)”</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启动</w:t>
      </w:r>
      <w:r>
        <w:rPr>
          <w:rFonts w:ascii="仿宋_GB2312" w:hAnsi="仿宋_GB2312" w:eastAsia="仿宋_GB2312" w:cs="仿宋_GB2312"/>
          <w:kern w:val="0"/>
          <w:sz w:val="32"/>
          <w:szCs w:val="32"/>
          <w:lang w:bidi="ar"/>
        </w:rPr>
        <w:t>“教职工请假申请”，按规定的程序和审批权限办理请假手续。特殊情况来不及办理请假手续的，</w:t>
      </w:r>
      <w:r>
        <w:rPr>
          <w:rFonts w:hint="eastAsia" w:ascii="仿宋_GB2312" w:hAnsi="仿宋_GB2312" w:eastAsia="仿宋_GB2312" w:cs="仿宋_GB2312"/>
          <w:kern w:val="0"/>
          <w:sz w:val="32"/>
          <w:szCs w:val="32"/>
          <w:lang w:bidi="ar"/>
        </w:rPr>
        <w:t>须</w:t>
      </w:r>
      <w:r>
        <w:rPr>
          <w:rFonts w:ascii="仿宋_GB2312" w:hAnsi="仿宋_GB2312" w:eastAsia="仿宋_GB2312" w:cs="仿宋_GB2312"/>
          <w:kern w:val="0"/>
          <w:sz w:val="32"/>
          <w:szCs w:val="32"/>
          <w:lang w:bidi="ar"/>
        </w:rPr>
        <w:t>电话或委托他人代为请假，但</w:t>
      </w:r>
      <w:r>
        <w:rPr>
          <w:rFonts w:hint="eastAsia" w:ascii="仿宋_GB2312" w:hAnsi="仿宋_GB2312" w:eastAsia="仿宋_GB2312" w:cs="仿宋_GB2312"/>
          <w:kern w:val="0"/>
          <w:sz w:val="32"/>
          <w:szCs w:val="32"/>
          <w:lang w:bidi="ar"/>
        </w:rPr>
        <w:t>假期结束后</w:t>
      </w:r>
      <w:r>
        <w:rPr>
          <w:rFonts w:ascii="仿宋_GB2312" w:hAnsi="仿宋_GB2312" w:eastAsia="仿宋_GB2312" w:cs="仿宋_GB2312"/>
          <w:kern w:val="0"/>
          <w:sz w:val="32"/>
          <w:szCs w:val="32"/>
          <w:lang w:bidi="ar"/>
        </w:rPr>
        <w:t>应</w:t>
      </w:r>
      <w:r>
        <w:rPr>
          <w:rFonts w:hint="eastAsia" w:ascii="仿宋_GB2312" w:hAnsi="仿宋_GB2312" w:eastAsia="仿宋_GB2312" w:cs="仿宋_GB2312"/>
          <w:kern w:val="0"/>
          <w:sz w:val="32"/>
          <w:szCs w:val="32"/>
          <w:lang w:bidi="ar"/>
        </w:rPr>
        <w:t>在3个工作日内</w:t>
      </w:r>
      <w:r>
        <w:rPr>
          <w:rFonts w:ascii="仿宋_GB2312" w:hAnsi="仿宋_GB2312" w:eastAsia="仿宋_GB2312" w:cs="仿宋_GB2312"/>
          <w:kern w:val="0"/>
          <w:sz w:val="32"/>
          <w:szCs w:val="32"/>
          <w:lang w:bidi="ar"/>
        </w:rPr>
        <w:t xml:space="preserve">按规定补办请假手续，否则视为旷工。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2</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 xml:space="preserve">审批权限：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事假3天以内或病假、独身子女护理假一周以内，由当事人所在部门负责人签署意见，交由人事处备查；如当事人为教师，需先办理调、停课手续。各二级学院（部）、行政部门在当月的考勤中要注明当事人请假类别和期限。</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bidi="ar"/>
        </w:rPr>
        <w:t>事假超过3天或病假、独身子女护理假超过一周以及产假和男方护理假，由当事人所在部门负责人签署意见后，需所在部门分管校领导签署意见（二级学院由主管人事的校领导签署意见）；</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（3）各部门的中层正职请病事假，需部门分管校领导批准。</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 xml:space="preserve">三、请假期间的有关待遇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1</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 xml:space="preserve">事假的待遇：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 xml:space="preserve">事假年累计在15个工作日（含15个工作日）以内基本工资（含岗位工资、薪级工资，下同）及基础性绩效照常发放，超过15个工作日的，从第16个工作日起按日停发基本工资及基础性绩效。30天内请事假累计15天及以上者，停发一个月基础性绩效。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（2）事假期间</w:t>
      </w:r>
      <w:r>
        <w:rPr>
          <w:rFonts w:hint="eastAsia" w:ascii="仿宋_GB2312" w:hAnsi="仿宋_GB2312" w:eastAsia="仿宋_GB2312" w:cs="仿宋_GB2312"/>
          <w:kern w:val="0"/>
          <w:sz w:val="32"/>
          <w:szCs w:val="32"/>
          <w:lang w:bidi="ar"/>
        </w:rPr>
        <w:t>不享受岗位工作量及学期奖励性绩效。</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2</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病假待遇：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1</w:t>
      </w:r>
      <w:r>
        <w:rPr>
          <w:rFonts w:ascii="仿宋_GB2312" w:hAnsi="仿宋_GB2312" w:eastAsia="仿宋_GB2312" w:cs="仿宋_GB2312"/>
          <w:kern w:val="0"/>
          <w:sz w:val="32"/>
          <w:szCs w:val="32"/>
          <w:lang w:bidi="ar"/>
        </w:rPr>
        <w:t>）病假在</w:t>
      </w:r>
      <w:r>
        <w:rPr>
          <w:rFonts w:hint="eastAsia" w:ascii="仿宋_GB2312" w:hAnsi="仿宋_GB2312" w:eastAsia="仿宋_GB2312" w:cs="仿宋_GB2312"/>
          <w:kern w:val="0"/>
          <w:sz w:val="32"/>
          <w:szCs w:val="32"/>
          <w:lang w:bidi="ar"/>
        </w:rPr>
        <w:t>2</w:t>
      </w:r>
      <w:r>
        <w:rPr>
          <w:rFonts w:ascii="仿宋_GB2312" w:hAnsi="仿宋_GB2312" w:eastAsia="仿宋_GB2312" w:cs="仿宋_GB2312"/>
          <w:kern w:val="0"/>
          <w:sz w:val="32"/>
          <w:szCs w:val="32"/>
          <w:lang w:bidi="ar"/>
        </w:rPr>
        <w:t>个月以内的，发给</w:t>
      </w:r>
      <w:r>
        <w:rPr>
          <w:rFonts w:hint="eastAsia" w:ascii="仿宋_GB2312" w:hAnsi="仿宋_GB2312" w:eastAsia="仿宋_GB2312" w:cs="仿宋_GB2312"/>
          <w:kern w:val="0"/>
          <w:sz w:val="32"/>
          <w:szCs w:val="32"/>
          <w:lang w:bidi="ar"/>
        </w:rPr>
        <w:t>100%基本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2</w:t>
      </w:r>
      <w:r>
        <w:rPr>
          <w:rFonts w:ascii="仿宋_GB2312" w:hAnsi="仿宋_GB2312" w:eastAsia="仿宋_GB2312" w:cs="仿宋_GB2312"/>
          <w:kern w:val="0"/>
          <w:sz w:val="32"/>
          <w:szCs w:val="32"/>
          <w:lang w:bidi="ar"/>
        </w:rPr>
        <w:t>）病假超过</w:t>
      </w:r>
      <w:r>
        <w:rPr>
          <w:rFonts w:hint="eastAsia" w:ascii="仿宋_GB2312" w:hAnsi="仿宋_GB2312" w:eastAsia="仿宋_GB2312" w:cs="仿宋_GB2312"/>
          <w:kern w:val="0"/>
          <w:sz w:val="32"/>
          <w:szCs w:val="32"/>
          <w:lang w:bidi="ar"/>
        </w:rPr>
        <w:t>2</w:t>
      </w:r>
      <w:r>
        <w:rPr>
          <w:rFonts w:ascii="仿宋_GB2312" w:hAnsi="仿宋_GB2312" w:eastAsia="仿宋_GB2312" w:cs="仿宋_GB2312"/>
          <w:kern w:val="0"/>
          <w:sz w:val="32"/>
          <w:szCs w:val="32"/>
          <w:lang w:bidi="ar"/>
        </w:rPr>
        <w:t>个月的，从第</w:t>
      </w:r>
      <w:r>
        <w:rPr>
          <w:rFonts w:hint="eastAsia" w:ascii="仿宋_GB2312" w:hAnsi="仿宋_GB2312" w:eastAsia="仿宋_GB2312" w:cs="仿宋_GB2312"/>
          <w:kern w:val="0"/>
          <w:sz w:val="32"/>
          <w:szCs w:val="32"/>
          <w:lang w:bidi="ar"/>
        </w:rPr>
        <w:t>3</w:t>
      </w:r>
      <w:r>
        <w:rPr>
          <w:rFonts w:ascii="仿宋_GB2312" w:hAnsi="仿宋_GB2312" w:eastAsia="仿宋_GB2312" w:cs="仿宋_GB2312"/>
          <w:kern w:val="0"/>
          <w:sz w:val="32"/>
          <w:szCs w:val="32"/>
          <w:lang w:bidi="ar"/>
        </w:rPr>
        <w:t>个月起</w:t>
      </w:r>
      <w:r>
        <w:rPr>
          <w:rFonts w:hint="eastAsia" w:ascii="仿宋_GB2312" w:hAnsi="仿宋_GB2312" w:eastAsia="仿宋_GB2312" w:cs="仿宋_GB2312"/>
          <w:kern w:val="0"/>
          <w:sz w:val="32"/>
          <w:szCs w:val="32"/>
          <w:lang w:bidi="ar"/>
        </w:rPr>
        <w:t>至6个月内</w:t>
      </w:r>
      <w:r>
        <w:rPr>
          <w:rFonts w:ascii="仿宋_GB2312" w:hAnsi="仿宋_GB2312" w:eastAsia="仿宋_GB2312" w:cs="仿宋_GB2312"/>
          <w:kern w:val="0"/>
          <w:sz w:val="32"/>
          <w:szCs w:val="32"/>
          <w:lang w:bidi="ar"/>
        </w:rPr>
        <w:t>按照下列标准发给病假期间</w:t>
      </w:r>
      <w:r>
        <w:rPr>
          <w:rFonts w:hint="eastAsia" w:ascii="仿宋_GB2312" w:hAnsi="仿宋_GB2312" w:eastAsia="仿宋_GB2312" w:cs="仿宋_GB2312"/>
          <w:kern w:val="0"/>
          <w:sz w:val="32"/>
          <w:szCs w:val="32"/>
          <w:lang w:bidi="ar"/>
        </w:rPr>
        <w:t>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A、工作年限不满</w:t>
      </w:r>
      <w:r>
        <w:rPr>
          <w:rFonts w:hint="eastAsia" w:ascii="仿宋_GB2312" w:hAnsi="仿宋_GB2312" w:eastAsia="仿宋_GB2312" w:cs="仿宋_GB2312"/>
          <w:kern w:val="0"/>
          <w:sz w:val="32"/>
          <w:szCs w:val="32"/>
          <w:lang w:bidi="ar"/>
        </w:rPr>
        <w:t>10</w:t>
      </w:r>
      <w:r>
        <w:rPr>
          <w:rFonts w:ascii="仿宋_GB2312" w:hAnsi="仿宋_GB2312" w:eastAsia="仿宋_GB2312" w:cs="仿宋_GB2312"/>
          <w:kern w:val="0"/>
          <w:sz w:val="32"/>
          <w:szCs w:val="32"/>
          <w:lang w:bidi="ar"/>
        </w:rPr>
        <w:t>年的，</w:t>
      </w:r>
      <w:r>
        <w:rPr>
          <w:rFonts w:hint="eastAsia" w:ascii="仿宋_GB2312" w:hAnsi="仿宋_GB2312" w:eastAsia="仿宋_GB2312" w:cs="仿宋_GB2312"/>
          <w:kern w:val="0"/>
          <w:sz w:val="32"/>
          <w:szCs w:val="32"/>
          <w:lang w:bidi="ar"/>
        </w:rPr>
        <w:t>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及基础性绩效按</w:t>
      </w:r>
      <w:r>
        <w:rPr>
          <w:rFonts w:ascii="仿宋_GB2312" w:hAnsi="仿宋_GB2312" w:eastAsia="仿宋_GB2312" w:cs="仿宋_GB2312"/>
          <w:kern w:val="0"/>
          <w:sz w:val="32"/>
          <w:szCs w:val="32"/>
          <w:lang w:bidi="ar"/>
        </w:rPr>
        <w:t>90%</w:t>
      </w:r>
      <w:r>
        <w:rPr>
          <w:rFonts w:hint="eastAsia" w:ascii="仿宋_GB2312" w:hAnsi="仿宋_GB2312" w:eastAsia="仿宋_GB2312" w:cs="仿宋_GB2312"/>
          <w:kern w:val="0"/>
          <w:sz w:val="32"/>
          <w:szCs w:val="32"/>
          <w:lang w:bidi="ar"/>
        </w:rPr>
        <w:t>发放</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B、工作年限满</w:t>
      </w:r>
      <w:r>
        <w:rPr>
          <w:rFonts w:hint="eastAsia" w:ascii="仿宋_GB2312" w:hAnsi="仿宋_GB2312" w:eastAsia="仿宋_GB2312" w:cs="仿宋_GB2312"/>
          <w:kern w:val="0"/>
          <w:sz w:val="32"/>
          <w:szCs w:val="32"/>
          <w:lang w:bidi="ar"/>
        </w:rPr>
        <w:t>10</w:t>
      </w:r>
      <w:r>
        <w:rPr>
          <w:rFonts w:ascii="仿宋_GB2312" w:hAnsi="仿宋_GB2312" w:eastAsia="仿宋_GB2312" w:cs="仿宋_GB2312"/>
          <w:kern w:val="0"/>
          <w:sz w:val="32"/>
          <w:szCs w:val="32"/>
          <w:lang w:bidi="ar"/>
        </w:rPr>
        <w:t>年</w:t>
      </w:r>
      <w:r>
        <w:rPr>
          <w:rFonts w:hint="eastAsia" w:ascii="仿宋_GB2312" w:hAnsi="仿宋_GB2312" w:eastAsia="仿宋_GB2312" w:cs="仿宋_GB2312"/>
          <w:kern w:val="0"/>
          <w:sz w:val="32"/>
          <w:szCs w:val="32"/>
          <w:lang w:bidi="ar"/>
        </w:rPr>
        <w:t>及以上</w:t>
      </w:r>
      <w:r>
        <w:rPr>
          <w:rFonts w:ascii="仿宋_GB2312" w:hAnsi="仿宋_GB2312" w:eastAsia="仿宋_GB2312" w:cs="仿宋_GB2312"/>
          <w:kern w:val="0"/>
          <w:sz w:val="32"/>
          <w:szCs w:val="32"/>
          <w:lang w:bidi="ar"/>
        </w:rPr>
        <w:t>的，</w:t>
      </w:r>
      <w:r>
        <w:rPr>
          <w:rFonts w:hint="eastAsia" w:ascii="仿宋_GB2312" w:hAnsi="仿宋_GB2312" w:eastAsia="仿宋_GB2312" w:cs="仿宋_GB2312"/>
          <w:kern w:val="0"/>
          <w:sz w:val="32"/>
          <w:szCs w:val="32"/>
          <w:lang w:bidi="ar"/>
        </w:rPr>
        <w:t>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及基础性绩效按10</w:t>
      </w:r>
      <w:r>
        <w:rPr>
          <w:rFonts w:ascii="仿宋_GB2312" w:hAnsi="仿宋_GB2312" w:eastAsia="仿宋_GB2312" w:cs="仿宋_GB2312"/>
          <w:kern w:val="0"/>
          <w:sz w:val="32"/>
          <w:szCs w:val="32"/>
          <w:lang w:bidi="ar"/>
        </w:rPr>
        <w:t>0%</w:t>
      </w:r>
      <w:r>
        <w:rPr>
          <w:rFonts w:hint="eastAsia" w:ascii="仿宋_GB2312" w:hAnsi="仿宋_GB2312" w:eastAsia="仿宋_GB2312" w:cs="仿宋_GB2312"/>
          <w:kern w:val="0"/>
          <w:sz w:val="32"/>
          <w:szCs w:val="32"/>
          <w:lang w:bidi="ar"/>
        </w:rPr>
        <w:t>发放</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3</w:t>
      </w:r>
      <w:r>
        <w:rPr>
          <w:rFonts w:ascii="仿宋_GB2312" w:hAnsi="仿宋_GB2312" w:eastAsia="仿宋_GB2312" w:cs="仿宋_GB2312"/>
          <w:kern w:val="0"/>
          <w:sz w:val="32"/>
          <w:szCs w:val="32"/>
          <w:lang w:bidi="ar"/>
        </w:rPr>
        <w:t>)病假</w:t>
      </w:r>
      <w:r>
        <w:rPr>
          <w:rFonts w:hint="eastAsia" w:ascii="仿宋_GB2312" w:hAnsi="仿宋_GB2312" w:eastAsia="仿宋_GB2312" w:cs="仿宋_GB2312"/>
          <w:kern w:val="0"/>
          <w:sz w:val="32"/>
          <w:szCs w:val="32"/>
          <w:lang w:bidi="ar"/>
        </w:rPr>
        <w:t>累计</w:t>
      </w:r>
      <w:r>
        <w:rPr>
          <w:rFonts w:ascii="仿宋_GB2312" w:hAnsi="仿宋_GB2312" w:eastAsia="仿宋_GB2312" w:cs="仿宋_GB2312"/>
          <w:kern w:val="0"/>
          <w:sz w:val="32"/>
          <w:szCs w:val="32"/>
          <w:lang w:bidi="ar"/>
        </w:rPr>
        <w:t>超过</w:t>
      </w:r>
      <w:r>
        <w:rPr>
          <w:rFonts w:hint="eastAsia" w:ascii="仿宋_GB2312" w:hAnsi="仿宋_GB2312" w:eastAsia="仿宋_GB2312" w:cs="仿宋_GB2312"/>
          <w:kern w:val="0"/>
          <w:sz w:val="32"/>
          <w:szCs w:val="32"/>
          <w:lang w:bidi="ar"/>
        </w:rPr>
        <w:t>6</w:t>
      </w:r>
      <w:r>
        <w:rPr>
          <w:rFonts w:ascii="仿宋_GB2312" w:hAnsi="仿宋_GB2312" w:eastAsia="仿宋_GB2312" w:cs="仿宋_GB2312"/>
          <w:kern w:val="0"/>
          <w:sz w:val="32"/>
          <w:szCs w:val="32"/>
          <w:lang w:bidi="ar"/>
        </w:rPr>
        <w:t>个月的，从第</w:t>
      </w:r>
      <w:r>
        <w:rPr>
          <w:rFonts w:hint="eastAsia" w:ascii="仿宋_GB2312" w:hAnsi="仿宋_GB2312" w:eastAsia="仿宋_GB2312" w:cs="仿宋_GB2312"/>
          <w:kern w:val="0"/>
          <w:sz w:val="32"/>
          <w:szCs w:val="32"/>
          <w:lang w:bidi="ar"/>
        </w:rPr>
        <w:t>7</w:t>
      </w:r>
      <w:r>
        <w:rPr>
          <w:rFonts w:ascii="仿宋_GB2312" w:hAnsi="仿宋_GB2312" w:eastAsia="仿宋_GB2312" w:cs="仿宋_GB2312"/>
          <w:kern w:val="0"/>
          <w:sz w:val="32"/>
          <w:szCs w:val="32"/>
          <w:lang w:bidi="ar"/>
        </w:rPr>
        <w:t>个月起按照下列标准发</w:t>
      </w:r>
      <w:r>
        <w:rPr>
          <w:rFonts w:hint="eastAsia" w:ascii="仿宋_GB2312" w:hAnsi="仿宋_GB2312" w:eastAsia="仿宋_GB2312" w:cs="仿宋_GB2312"/>
          <w:kern w:val="0"/>
          <w:sz w:val="32"/>
          <w:szCs w:val="32"/>
          <w:lang w:bidi="ar"/>
        </w:rPr>
        <w:t>放</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A、工作年限不满</w:t>
      </w:r>
      <w:r>
        <w:rPr>
          <w:rFonts w:hint="eastAsia" w:ascii="仿宋_GB2312" w:hAnsi="仿宋_GB2312" w:eastAsia="仿宋_GB2312" w:cs="仿宋_GB2312"/>
          <w:kern w:val="0"/>
          <w:sz w:val="32"/>
          <w:szCs w:val="32"/>
          <w:lang w:bidi="ar"/>
        </w:rPr>
        <w:t>10</w:t>
      </w:r>
      <w:r>
        <w:rPr>
          <w:rFonts w:ascii="仿宋_GB2312" w:hAnsi="仿宋_GB2312" w:eastAsia="仿宋_GB2312" w:cs="仿宋_GB2312"/>
          <w:kern w:val="0"/>
          <w:sz w:val="32"/>
          <w:szCs w:val="32"/>
          <w:lang w:bidi="ar"/>
        </w:rPr>
        <w:t>年的，</w:t>
      </w:r>
      <w:r>
        <w:rPr>
          <w:rFonts w:hint="eastAsia" w:ascii="仿宋_GB2312" w:hAnsi="仿宋_GB2312" w:eastAsia="仿宋_GB2312" w:cs="仿宋_GB2312"/>
          <w:kern w:val="0"/>
          <w:sz w:val="32"/>
          <w:szCs w:val="32"/>
          <w:lang w:bidi="ar"/>
        </w:rPr>
        <w:t>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及基础性绩效按</w:t>
      </w:r>
      <w:r>
        <w:rPr>
          <w:rFonts w:ascii="仿宋_GB2312" w:hAnsi="仿宋_GB2312" w:eastAsia="仿宋_GB2312" w:cs="仿宋_GB2312"/>
          <w:kern w:val="0"/>
          <w:sz w:val="32"/>
          <w:szCs w:val="32"/>
          <w:lang w:bidi="ar"/>
        </w:rPr>
        <w:t>70%</w:t>
      </w:r>
      <w:r>
        <w:rPr>
          <w:rFonts w:hint="eastAsia" w:ascii="仿宋_GB2312" w:hAnsi="仿宋_GB2312" w:eastAsia="仿宋_GB2312" w:cs="仿宋_GB2312"/>
          <w:kern w:val="0"/>
          <w:sz w:val="32"/>
          <w:szCs w:val="32"/>
          <w:lang w:bidi="ar"/>
        </w:rPr>
        <w:t>发放</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B、工作年限满</w:t>
      </w:r>
      <w:r>
        <w:rPr>
          <w:rFonts w:hint="eastAsia" w:ascii="仿宋_GB2312" w:hAnsi="仿宋_GB2312" w:eastAsia="仿宋_GB2312" w:cs="仿宋_GB2312"/>
          <w:kern w:val="0"/>
          <w:sz w:val="32"/>
          <w:szCs w:val="32"/>
          <w:lang w:bidi="ar"/>
        </w:rPr>
        <w:t>10</w:t>
      </w:r>
      <w:r>
        <w:rPr>
          <w:rFonts w:ascii="仿宋_GB2312" w:hAnsi="仿宋_GB2312" w:eastAsia="仿宋_GB2312" w:cs="仿宋_GB2312"/>
          <w:kern w:val="0"/>
          <w:sz w:val="32"/>
          <w:szCs w:val="32"/>
          <w:lang w:bidi="ar"/>
        </w:rPr>
        <w:t>年</w:t>
      </w:r>
      <w:r>
        <w:rPr>
          <w:rFonts w:hint="eastAsia" w:ascii="仿宋_GB2312" w:hAnsi="仿宋_GB2312" w:eastAsia="仿宋_GB2312" w:cs="仿宋_GB2312"/>
          <w:kern w:val="0"/>
          <w:sz w:val="32"/>
          <w:szCs w:val="32"/>
          <w:lang w:bidi="ar"/>
        </w:rPr>
        <w:t>及以上</w:t>
      </w:r>
      <w:r>
        <w:rPr>
          <w:rFonts w:ascii="仿宋_GB2312" w:hAnsi="仿宋_GB2312" w:eastAsia="仿宋_GB2312" w:cs="仿宋_GB2312"/>
          <w:kern w:val="0"/>
          <w:sz w:val="32"/>
          <w:szCs w:val="32"/>
          <w:lang w:bidi="ar"/>
        </w:rPr>
        <w:t>的，</w:t>
      </w:r>
      <w:r>
        <w:rPr>
          <w:rFonts w:hint="eastAsia" w:ascii="仿宋_GB2312" w:hAnsi="仿宋_GB2312" w:eastAsia="仿宋_GB2312" w:cs="仿宋_GB2312"/>
          <w:kern w:val="0"/>
          <w:sz w:val="32"/>
          <w:szCs w:val="32"/>
          <w:lang w:bidi="ar"/>
        </w:rPr>
        <w:t>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及基础性绩效按</w:t>
      </w:r>
      <w:r>
        <w:rPr>
          <w:rFonts w:ascii="仿宋_GB2312" w:hAnsi="仿宋_GB2312" w:eastAsia="仿宋_GB2312" w:cs="仿宋_GB2312"/>
          <w:kern w:val="0"/>
          <w:sz w:val="32"/>
          <w:szCs w:val="32"/>
          <w:lang w:bidi="ar"/>
        </w:rPr>
        <w:t>80%</w:t>
      </w:r>
      <w:r>
        <w:rPr>
          <w:rFonts w:hint="eastAsia" w:ascii="仿宋_GB2312" w:hAnsi="仿宋_GB2312" w:eastAsia="仿宋_GB2312" w:cs="仿宋_GB2312"/>
          <w:kern w:val="0"/>
          <w:sz w:val="32"/>
          <w:szCs w:val="32"/>
          <w:lang w:bidi="ar"/>
        </w:rPr>
        <w:t>发放</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4</w:t>
      </w:r>
      <w:r>
        <w:rPr>
          <w:rFonts w:ascii="仿宋_GB2312" w:hAnsi="仿宋_GB2312" w:eastAsia="仿宋_GB2312" w:cs="仿宋_GB2312"/>
          <w:kern w:val="0"/>
          <w:sz w:val="32"/>
          <w:szCs w:val="32"/>
          <w:lang w:bidi="ar"/>
        </w:rPr>
        <w:t>）病假</w:t>
      </w:r>
      <w:r>
        <w:rPr>
          <w:rFonts w:hint="eastAsia" w:ascii="仿宋_GB2312" w:hAnsi="仿宋_GB2312" w:eastAsia="仿宋_GB2312" w:cs="仿宋_GB2312"/>
          <w:kern w:val="0"/>
          <w:sz w:val="32"/>
          <w:szCs w:val="32"/>
          <w:lang w:bidi="ar"/>
        </w:rPr>
        <w:t>期间不享受岗位工作量，一学期内病假累计不超10个工作日（含10个工作日）者学期奖励性绩效奖全额发放，超过10个工作日，从第11个工作日起按日扣发当学期奖励性绩效。</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w:t>
      </w:r>
      <w:r>
        <w:rPr>
          <w:rFonts w:ascii="仿宋_GB2312" w:hAnsi="仿宋_GB2312" w:eastAsia="仿宋_GB2312" w:cs="仿宋_GB2312"/>
          <w:kern w:val="0"/>
          <w:sz w:val="32"/>
          <w:szCs w:val="32"/>
          <w:lang w:bidi="ar"/>
        </w:rPr>
        <w:t>一年内病</w:t>
      </w:r>
      <w:r>
        <w:rPr>
          <w:rFonts w:hint="eastAsia" w:ascii="仿宋_GB2312" w:hAnsi="仿宋_GB2312" w:eastAsia="仿宋_GB2312" w:cs="仿宋_GB2312"/>
          <w:kern w:val="0"/>
          <w:sz w:val="32"/>
          <w:szCs w:val="32"/>
          <w:lang w:bidi="ar"/>
        </w:rPr>
        <w:t>事</w:t>
      </w:r>
      <w:r>
        <w:rPr>
          <w:rFonts w:ascii="仿宋_GB2312" w:hAnsi="仿宋_GB2312" w:eastAsia="仿宋_GB2312" w:cs="仿宋_GB2312"/>
          <w:kern w:val="0"/>
          <w:sz w:val="32"/>
          <w:szCs w:val="32"/>
          <w:lang w:bidi="ar"/>
        </w:rPr>
        <w:t>假</w:t>
      </w:r>
      <w:r>
        <w:rPr>
          <w:rFonts w:hint="eastAsia" w:ascii="仿宋_GB2312" w:hAnsi="仿宋_GB2312" w:eastAsia="仿宋_GB2312" w:cs="仿宋_GB2312"/>
          <w:kern w:val="0"/>
          <w:sz w:val="32"/>
          <w:szCs w:val="32"/>
          <w:lang w:bidi="ar"/>
        </w:rPr>
        <w:t>累计</w:t>
      </w:r>
      <w:r>
        <w:rPr>
          <w:rFonts w:ascii="仿宋_GB2312" w:hAnsi="仿宋_GB2312" w:eastAsia="仿宋_GB2312" w:cs="仿宋_GB2312"/>
          <w:kern w:val="0"/>
          <w:sz w:val="32"/>
          <w:szCs w:val="32"/>
          <w:lang w:bidi="ar"/>
        </w:rPr>
        <w:t>超过</w:t>
      </w:r>
      <w:r>
        <w:rPr>
          <w:rFonts w:hint="eastAsia" w:ascii="仿宋_GB2312" w:hAnsi="仿宋_GB2312" w:eastAsia="仿宋_GB2312" w:cs="仿宋_GB2312"/>
          <w:kern w:val="0"/>
          <w:sz w:val="32"/>
          <w:szCs w:val="32"/>
          <w:lang w:bidi="ar"/>
        </w:rPr>
        <w:t>6</w:t>
      </w:r>
      <w:r>
        <w:rPr>
          <w:rFonts w:ascii="仿宋_GB2312" w:hAnsi="仿宋_GB2312" w:eastAsia="仿宋_GB2312" w:cs="仿宋_GB2312"/>
          <w:kern w:val="0"/>
          <w:sz w:val="32"/>
          <w:szCs w:val="32"/>
          <w:lang w:bidi="ar"/>
        </w:rPr>
        <w:t>个月者，</w:t>
      </w:r>
      <w:r>
        <w:rPr>
          <w:rFonts w:hint="eastAsia" w:ascii="仿宋_GB2312" w:hAnsi="仿宋_GB2312" w:eastAsia="仿宋_GB2312" w:cs="仿宋_GB2312"/>
          <w:kern w:val="0"/>
          <w:sz w:val="32"/>
          <w:szCs w:val="32"/>
          <w:lang w:bidi="ar"/>
        </w:rPr>
        <w:t>按照上级有关事业单位年度考核的规定不参加年度考核，不享受其它</w:t>
      </w:r>
      <w:r>
        <w:rPr>
          <w:rFonts w:ascii="仿宋_GB2312" w:hAnsi="仿宋_GB2312" w:eastAsia="仿宋_GB2312" w:cs="仿宋_GB2312"/>
          <w:kern w:val="0"/>
          <w:sz w:val="32"/>
          <w:szCs w:val="32"/>
          <w:lang w:bidi="ar"/>
        </w:rPr>
        <w:t>各项</w:t>
      </w:r>
      <w:r>
        <w:rPr>
          <w:rFonts w:hint="eastAsia" w:ascii="仿宋_GB2312" w:hAnsi="仿宋_GB2312" w:eastAsia="仿宋_GB2312" w:cs="仿宋_GB2312"/>
          <w:kern w:val="0"/>
          <w:sz w:val="32"/>
          <w:szCs w:val="32"/>
          <w:lang w:bidi="ar"/>
        </w:rPr>
        <w:t>与年度考核挂钩的绩效、福利</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ascii="仿宋_GB2312" w:hAnsi="仿宋_GB2312" w:eastAsia="仿宋_GB2312" w:cs="仿宋_GB2312"/>
          <w:b/>
          <w:kern w:val="0"/>
          <w:sz w:val="32"/>
          <w:szCs w:val="32"/>
          <w:lang w:bidi="ar"/>
        </w:rPr>
        <w:t>3</w:t>
      </w:r>
      <w:r>
        <w:rPr>
          <w:rFonts w:hint="eastAsia" w:ascii="仿宋_GB2312" w:hAnsi="仿宋_GB2312" w:eastAsia="仿宋_GB2312" w:cs="仿宋_GB2312"/>
          <w:b/>
          <w:kern w:val="0"/>
          <w:sz w:val="32"/>
          <w:szCs w:val="32"/>
          <w:lang w:bidi="ar"/>
        </w:rPr>
        <w:t>.</w:t>
      </w:r>
      <w:r>
        <w:rPr>
          <w:rFonts w:ascii="仿宋_GB2312" w:hAnsi="仿宋_GB2312" w:eastAsia="仿宋_GB2312" w:cs="仿宋_GB2312"/>
          <w:b/>
          <w:kern w:val="0"/>
          <w:sz w:val="32"/>
          <w:szCs w:val="32"/>
          <w:lang w:bidi="ar"/>
        </w:rPr>
        <w:t>婚假期间的待遇</w:t>
      </w:r>
      <w:r>
        <w:rPr>
          <w:rFonts w:hint="eastAsia" w:ascii="仿宋_GB2312" w:hAnsi="仿宋_GB2312" w:eastAsia="仿宋_GB2312" w:cs="仿宋_GB2312"/>
          <w:b/>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r>
        <w:rPr>
          <w:rFonts w:ascii="仿宋_GB2312" w:hAnsi="仿宋_GB2312" w:eastAsia="仿宋_GB2312" w:cs="仿宋_GB2312"/>
          <w:kern w:val="0"/>
          <w:sz w:val="32"/>
          <w:szCs w:val="32"/>
          <w:lang w:bidi="ar"/>
        </w:rPr>
        <w:t>婚假、产假</w:t>
      </w:r>
      <w:r>
        <w:rPr>
          <w:rFonts w:hint="eastAsia" w:ascii="仿宋_GB2312" w:hAnsi="仿宋_GB2312" w:eastAsia="仿宋_GB2312" w:cs="仿宋_GB2312"/>
          <w:kern w:val="0"/>
          <w:sz w:val="32"/>
          <w:szCs w:val="32"/>
          <w:lang w:bidi="ar"/>
        </w:rPr>
        <w:t>及</w:t>
      </w:r>
      <w:r>
        <w:rPr>
          <w:rFonts w:ascii="仿宋_GB2312" w:hAnsi="仿宋_GB2312" w:eastAsia="仿宋_GB2312" w:cs="仿宋_GB2312"/>
          <w:kern w:val="0"/>
          <w:sz w:val="32"/>
          <w:szCs w:val="32"/>
          <w:lang w:bidi="ar"/>
        </w:rPr>
        <w:t>男方护理假期间的</w:t>
      </w:r>
      <w:r>
        <w:rPr>
          <w:rFonts w:hint="eastAsia" w:ascii="仿宋_GB2312" w:hAnsi="仿宋_GB2312" w:eastAsia="仿宋_GB2312" w:cs="仿宋_GB2312"/>
          <w:kern w:val="0"/>
          <w:sz w:val="32"/>
          <w:szCs w:val="32"/>
          <w:lang w:bidi="ar"/>
        </w:rPr>
        <w:t>基本工资及基础性绩效待遇不变，与年度考核挂钩的绩效、福利等按规定执行</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ascii="仿宋_GB2312" w:hAnsi="仿宋_GB2312" w:eastAsia="仿宋_GB2312" w:cs="仿宋_GB2312"/>
          <w:kern w:val="0"/>
          <w:sz w:val="32"/>
          <w:szCs w:val="32"/>
          <w:lang w:bidi="ar"/>
        </w:rPr>
        <w:t>婚假、产假</w:t>
      </w:r>
      <w:r>
        <w:rPr>
          <w:rFonts w:hint="eastAsia" w:ascii="仿宋_GB2312" w:hAnsi="仿宋_GB2312" w:eastAsia="仿宋_GB2312" w:cs="仿宋_GB2312"/>
          <w:kern w:val="0"/>
          <w:sz w:val="32"/>
          <w:szCs w:val="32"/>
          <w:lang w:bidi="ar"/>
        </w:rPr>
        <w:t>及</w:t>
      </w:r>
      <w:r>
        <w:rPr>
          <w:rFonts w:ascii="仿宋_GB2312" w:hAnsi="仿宋_GB2312" w:eastAsia="仿宋_GB2312" w:cs="仿宋_GB2312"/>
          <w:kern w:val="0"/>
          <w:sz w:val="32"/>
          <w:szCs w:val="32"/>
          <w:lang w:bidi="ar"/>
        </w:rPr>
        <w:t>男方护理假期间</w:t>
      </w:r>
      <w:r>
        <w:rPr>
          <w:rFonts w:hint="eastAsia" w:ascii="仿宋_GB2312" w:hAnsi="仿宋_GB2312" w:eastAsia="仿宋_GB2312" w:cs="仿宋_GB2312"/>
          <w:kern w:val="0"/>
          <w:sz w:val="32"/>
          <w:szCs w:val="32"/>
          <w:lang w:bidi="ar"/>
        </w:rPr>
        <w:t>不享受岗位工作量。</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（3）产假、</w:t>
      </w:r>
      <w:r>
        <w:rPr>
          <w:rFonts w:ascii="仿宋_GB2312" w:hAnsi="仿宋_GB2312" w:eastAsia="仿宋_GB2312" w:cs="仿宋_GB2312"/>
          <w:kern w:val="0"/>
          <w:sz w:val="32"/>
          <w:szCs w:val="32"/>
          <w:lang w:bidi="ar"/>
        </w:rPr>
        <w:t>男方护理假</w:t>
      </w:r>
      <w:r>
        <w:rPr>
          <w:rFonts w:hint="eastAsia" w:ascii="仿宋_GB2312" w:hAnsi="仿宋_GB2312" w:eastAsia="仿宋_GB2312" w:cs="仿宋_GB2312"/>
          <w:kern w:val="0"/>
          <w:sz w:val="32"/>
          <w:szCs w:val="32"/>
          <w:lang w:bidi="ar"/>
        </w:rPr>
        <w:t>期间不享受学期奖励性绩效。</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（4）哺乳假期间，按其基本工资及基础性绩效总额的80%核发;享受哺乳假的教职工不影响晋级、工资调整和计算工龄。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4.</w:t>
      </w:r>
      <w:r>
        <w:rPr>
          <w:rFonts w:ascii="仿宋_GB2312" w:hAnsi="仿宋_GB2312" w:eastAsia="仿宋_GB2312" w:cs="仿宋_GB2312"/>
          <w:b/>
          <w:kern w:val="0"/>
          <w:sz w:val="32"/>
          <w:szCs w:val="32"/>
          <w:lang w:bidi="ar"/>
        </w:rPr>
        <w:t>丧假待遇</w:t>
      </w:r>
      <w:r>
        <w:rPr>
          <w:rFonts w:hint="eastAsia" w:ascii="仿宋_GB2312" w:hAnsi="仿宋_GB2312" w:eastAsia="仿宋_GB2312" w:cs="仿宋_GB2312"/>
          <w:b/>
          <w:kern w:val="0"/>
          <w:sz w:val="32"/>
          <w:szCs w:val="32"/>
          <w:lang w:bidi="ar"/>
        </w:rPr>
        <w:t>：</w:t>
      </w:r>
      <w:r>
        <w:rPr>
          <w:rFonts w:ascii="仿宋_GB2312" w:hAnsi="仿宋_GB2312" w:eastAsia="仿宋_GB2312" w:cs="仿宋_GB2312"/>
          <w:kern w:val="0"/>
          <w:sz w:val="32"/>
          <w:szCs w:val="32"/>
          <w:lang w:bidi="ar"/>
        </w:rPr>
        <w:t>丧假及奔丧路程假</w:t>
      </w:r>
      <w:r>
        <w:rPr>
          <w:rFonts w:hint="eastAsia" w:ascii="仿宋_GB2312" w:hAnsi="仿宋_GB2312" w:eastAsia="仿宋_GB2312" w:cs="仿宋_GB2312"/>
          <w:kern w:val="0"/>
          <w:sz w:val="32"/>
          <w:szCs w:val="32"/>
          <w:lang w:bidi="ar"/>
        </w:rPr>
        <w:t>期内基本</w:t>
      </w:r>
      <w:r>
        <w:rPr>
          <w:rFonts w:ascii="仿宋_GB2312" w:hAnsi="仿宋_GB2312" w:eastAsia="仿宋_GB2312" w:cs="仿宋_GB2312"/>
          <w:kern w:val="0"/>
          <w:sz w:val="32"/>
          <w:szCs w:val="32"/>
          <w:lang w:bidi="ar"/>
        </w:rPr>
        <w:t>工资</w:t>
      </w:r>
      <w:r>
        <w:rPr>
          <w:rFonts w:hint="eastAsia" w:ascii="仿宋_GB2312" w:hAnsi="仿宋_GB2312" w:eastAsia="仿宋_GB2312" w:cs="仿宋_GB2312"/>
          <w:kern w:val="0"/>
          <w:sz w:val="32"/>
          <w:szCs w:val="32"/>
          <w:lang w:bidi="ar"/>
        </w:rPr>
        <w:t>及基础性绩效照发，</w:t>
      </w:r>
      <w:r>
        <w:rPr>
          <w:rFonts w:ascii="仿宋_GB2312" w:hAnsi="仿宋_GB2312" w:eastAsia="仿宋_GB2312" w:cs="仿宋_GB2312"/>
          <w:kern w:val="0"/>
          <w:sz w:val="32"/>
          <w:szCs w:val="32"/>
          <w:lang w:bidi="ar"/>
        </w:rPr>
        <w:t>途中差旅费自理</w:t>
      </w:r>
      <w:r>
        <w:rPr>
          <w:rFonts w:hint="eastAsia" w:ascii="仿宋_GB2312" w:hAnsi="仿宋_GB2312" w:eastAsia="仿宋_GB2312" w:cs="仿宋_GB2312"/>
          <w:kern w:val="0"/>
          <w:sz w:val="32"/>
          <w:szCs w:val="32"/>
          <w:lang w:bidi="ar"/>
        </w:rPr>
        <w:t>，期间不享受岗位工作量。</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5.探亲路费报销标准：</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（1）符合探亲条件批准探亲的教职工：已婚人员每年一次探望配偶、未婚人员每年一次探望父母、已婚人员四年一次探望父母的往返交通费，由学校全额报销。</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（2）探亲必需按出差规定的等级乘坐直线公共交通工具，产生的往返交通费，按差旅费管理规定凭据报销。</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（3）公共交通工具含公共汽车、轻轨、轮船、火车（直快、特快、动车、高铁）、飞机等，不含出租车、专车。</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6.独生子女护理</w:t>
      </w:r>
      <w:r>
        <w:rPr>
          <w:rFonts w:ascii="仿宋_GB2312" w:hAnsi="仿宋_GB2312" w:eastAsia="仿宋_GB2312" w:cs="仿宋_GB2312"/>
          <w:b/>
          <w:kern w:val="0"/>
          <w:sz w:val="32"/>
          <w:szCs w:val="32"/>
          <w:lang w:bidi="ar"/>
        </w:rPr>
        <w:t>假期间的待遇</w:t>
      </w:r>
      <w:r>
        <w:rPr>
          <w:rFonts w:hint="eastAsia" w:ascii="仿宋_GB2312" w:hAnsi="仿宋_GB2312" w:eastAsia="仿宋_GB2312" w:cs="仿宋_GB2312"/>
          <w:b/>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（1）独生子女护理</w:t>
      </w:r>
      <w:r>
        <w:rPr>
          <w:rFonts w:ascii="仿宋_GB2312" w:hAnsi="仿宋_GB2312" w:eastAsia="仿宋_GB2312" w:cs="仿宋_GB2312"/>
          <w:kern w:val="0"/>
          <w:sz w:val="32"/>
          <w:szCs w:val="32"/>
          <w:lang w:bidi="ar"/>
        </w:rPr>
        <w:t>假期间的</w:t>
      </w:r>
      <w:r>
        <w:rPr>
          <w:rFonts w:hint="eastAsia" w:ascii="仿宋_GB2312" w:hAnsi="仿宋_GB2312" w:eastAsia="仿宋_GB2312" w:cs="仿宋_GB2312"/>
          <w:kern w:val="0"/>
          <w:sz w:val="32"/>
          <w:szCs w:val="32"/>
          <w:lang w:bidi="ar"/>
        </w:rPr>
        <w:t>基本工资及基础性绩效待遇不变，与年度考核挂钩的绩效、福利等按规定执行</w:t>
      </w:r>
      <w:r>
        <w:rPr>
          <w:rFonts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（2）独生子女护理</w:t>
      </w:r>
      <w:r>
        <w:rPr>
          <w:rFonts w:ascii="仿宋_GB2312" w:hAnsi="仿宋_GB2312" w:eastAsia="仿宋_GB2312" w:cs="仿宋_GB2312"/>
          <w:kern w:val="0"/>
          <w:sz w:val="32"/>
          <w:szCs w:val="32"/>
          <w:lang w:bidi="ar"/>
        </w:rPr>
        <w:t>假期间</w:t>
      </w:r>
      <w:r>
        <w:rPr>
          <w:rFonts w:hint="eastAsia" w:ascii="仿宋_GB2312" w:hAnsi="仿宋_GB2312" w:eastAsia="仿宋_GB2312" w:cs="仿宋_GB2312"/>
          <w:kern w:val="0"/>
          <w:sz w:val="32"/>
          <w:szCs w:val="32"/>
          <w:lang w:bidi="ar"/>
        </w:rPr>
        <w:t>不享受岗位工作量。一学期内独生子女护理假累计不超10个工作日（含10个工作日）者学期奖励性绩效奖全额发放，超过10个工作日，从第11个工作日起按日扣发当学期奖励性绩效。</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ascii="黑体" w:hAnsi="仿宋_GB2312" w:eastAsia="黑体" w:cs="仿宋_GB2312"/>
          <w:b/>
          <w:kern w:val="0"/>
          <w:sz w:val="32"/>
          <w:szCs w:val="32"/>
          <w:lang w:bidi="ar"/>
        </w:rPr>
        <w:t xml:space="preserve">四、旷工的界定和处罚 </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1. 旷工的界定：</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不经请假或请假未获批准而擅自离开工作岗位的。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请假期限已满，不续假或续假未获批准而逾期不归的。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（3）不服从组织调动和工作分配，不按时到工作岗位工作的。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b/>
          <w:kern w:val="0"/>
          <w:sz w:val="32"/>
          <w:szCs w:val="32"/>
          <w:lang w:bidi="ar"/>
        </w:rPr>
        <w:t>2</w:t>
      </w:r>
      <w:r>
        <w:rPr>
          <w:rFonts w:hint="eastAsia" w:ascii="仿宋_GB2312" w:hAnsi="仿宋_GB2312" w:eastAsia="仿宋_GB2312" w:cs="仿宋_GB2312"/>
          <w:b/>
          <w:kern w:val="0"/>
          <w:sz w:val="32"/>
          <w:szCs w:val="32"/>
          <w:lang w:bidi="ar"/>
        </w:rPr>
        <w:t>.旷工的处罚：</w:t>
      </w:r>
      <w:r>
        <w:rPr>
          <w:rFonts w:hint="eastAsia" w:ascii="仿宋_GB2312" w:hAnsi="仿宋_GB2312" w:eastAsia="仿宋_GB2312" w:cs="仿宋_GB2312"/>
          <w:kern w:val="0"/>
          <w:sz w:val="32"/>
          <w:szCs w:val="32"/>
          <w:lang w:bidi="ar"/>
        </w:rPr>
        <w:t>旷工一个工作日，扣发当月基本工资及基础性绩效的10%和月工作量的10%以及当学期20%的学期奖励性绩效，该年度考核不能评为优秀等次；当月累计旷工达到5个工作日及以上，扣发全月基本工资、基础性绩效和当月工作量以及当学期奖励性绩效，该年度考核不能评为合格及以上等次。连续旷工超过15个工作日，或者1年内累计旷工超过30个工作日的，可以解除聘用合同（劳动合同），自聘用合同（劳动合同）依法解除、终止之日起，学校与被解除、终止聘用合同（劳动合同）人员的人事关系终止。</w:t>
      </w:r>
    </w:p>
    <w:p>
      <w:pPr>
        <w:pageBreakBefore w:val="0"/>
        <w:kinsoku/>
        <w:wordWrap/>
        <w:overflowPunct/>
        <w:topLinePunct w:val="0"/>
        <w:autoSpaceDE/>
        <w:autoSpaceDN/>
        <w:bidi w:val="0"/>
        <w:spacing w:line="560" w:lineRule="exact"/>
        <w:ind w:firstLine="643" w:firstLineChars="200"/>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五、销假</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教职工请假期满，必须按时返校工作，并及时办理销假手续。因特殊情况不能按时返校的，须经准假领导批准后方可续假。</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六、本办法由人事处负责解释。本办法从公布之日起执行，原《柳州职业技术学院教职工</w:t>
      </w:r>
      <w:r>
        <w:rPr>
          <w:rFonts w:ascii="黑体" w:hAnsi="仿宋_GB2312" w:eastAsia="黑体" w:cs="仿宋_GB2312"/>
          <w:b/>
          <w:kern w:val="0"/>
          <w:sz w:val="32"/>
          <w:szCs w:val="32"/>
          <w:lang w:bidi="ar"/>
        </w:rPr>
        <w:t>请假制度</w:t>
      </w:r>
      <w:r>
        <w:rPr>
          <w:rFonts w:hint="eastAsia" w:ascii="黑体" w:hAnsi="仿宋_GB2312" w:eastAsia="黑体" w:cs="仿宋_GB2312"/>
          <w:b/>
          <w:kern w:val="0"/>
          <w:sz w:val="32"/>
          <w:szCs w:val="32"/>
          <w:lang w:bidi="ar"/>
        </w:rPr>
        <w:t>以及请假期间的待遇（修订）》（柳职院字〔2005〕51号）同时废止。</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七、本办法执行之后，若国家或地方政府颁布有关的法律、法规、政策或上级发布有关政策、制度，按国家或地方政府的法律、法规、政策或上级政策、制度执行。</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hint="eastAsia" w:ascii="宋体" w:hAnsi="宋体"/>
          <w:b/>
          <w:bCs/>
          <w:color w:val="000000"/>
          <w:sz w:val="36"/>
          <w:szCs w:val="36"/>
          <w:lang w:val="en-US" w:eastAsia="zh-CN"/>
        </w:rPr>
      </w:pPr>
      <w:r>
        <w:rPr>
          <w:rFonts w:ascii="仿宋_GB2312" w:hAnsi="仿宋_GB2312" w:eastAsia="仿宋_GB2312" w:cs="仿宋_GB2312"/>
          <w:kern w:val="0"/>
          <w:sz w:val="32"/>
          <w:szCs w:val="32"/>
          <w:lang w:bidi="ar"/>
        </w:rPr>
        <w:br w:type="page"/>
      </w:r>
      <w:bookmarkStart w:id="314" w:name="_Toc534379484"/>
      <w:r>
        <w:rPr>
          <w:rFonts w:hint="eastAsia" w:ascii="Calibri" w:hAnsi="Calibri"/>
          <w:b/>
          <w:color w:val="000000"/>
          <w:sz w:val="36"/>
          <w:szCs w:val="36"/>
          <w:lang w:val="en-US" w:eastAsia="zh-CN"/>
        </w:rPr>
        <w:t>柳州职业技术学院新进教职工住房管理办法</w:t>
      </w:r>
      <w:bookmarkEnd w:id="314"/>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（柳职院字〔2018〕27号）</w:t>
      </w:r>
    </w:p>
    <w:p>
      <w:pPr>
        <w:pageBreakBefore w:val="0"/>
        <w:kinsoku/>
        <w:wordWrap/>
        <w:overflowPunct/>
        <w:topLinePunct w:val="0"/>
        <w:autoSpaceDE/>
        <w:autoSpaceDN/>
        <w:bidi w:val="0"/>
        <w:spacing w:line="550" w:lineRule="exact"/>
        <w:jc w:val="center"/>
        <w:outlineLvl w:val="9"/>
        <w:rPr>
          <w:rFonts w:hint="eastAsia" w:ascii="宋体" w:hAnsi="宋体" w:cs="宋体"/>
          <w:b/>
          <w:bCs/>
          <w:sz w:val="36"/>
          <w:szCs w:val="36"/>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第一章  总则</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为规范和完善新录用教职工住房管理，促进学校事业的发展，结合学校实际情况，特制定本办法。</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根据柳州职业技术学院院长办公会决议通知书﹝2015﹞12号精神，同意为非柳州籍新录用教师提供至少一年的单身宿舍，至少每人一间单间，配备床、衣柜、桌椅、空调、热水器等；若学校没有房源，同意学校租房安置。</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为保证教职工公寓的流动性，教职工公寓只住不售。</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第二章  申请人条件</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教职工公寓的申请人应同时符合以下条件：</w:t>
      </w:r>
    </w:p>
    <w:p>
      <w:pPr>
        <w:pageBreakBefore w:val="0"/>
        <w:kinsoku/>
        <w:wordWrap/>
        <w:overflowPunct/>
        <w:topLinePunct w:val="0"/>
        <w:autoSpaceDE/>
        <w:autoSpaceDN/>
        <w:bidi w:val="0"/>
        <w:spacing w:line="550" w:lineRule="exact"/>
        <w:ind w:left="479" w:leftChars="228"/>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 学校新录用的入编入职的教职工（本科、硕士、博士）；</w:t>
      </w:r>
      <w:r>
        <w:rPr>
          <w:rFonts w:hint="eastAsia" w:ascii="仿宋_GB2312" w:hAnsi="仿宋_GB2312" w:eastAsia="仿宋_GB2312" w:cs="仿宋_GB2312"/>
          <w:kern w:val="0"/>
          <w:sz w:val="32"/>
          <w:szCs w:val="32"/>
          <w:lang w:bidi="ar"/>
        </w:rPr>
        <w:br w:type="textWrapping"/>
      </w:r>
      <w:r>
        <w:rPr>
          <w:rFonts w:hint="eastAsia" w:ascii="仿宋_GB2312" w:hAnsi="仿宋_GB2312" w:eastAsia="仿宋_GB2312" w:cs="仿宋_GB2312"/>
          <w:kern w:val="0"/>
          <w:sz w:val="32"/>
          <w:szCs w:val="32"/>
          <w:lang w:bidi="ar"/>
        </w:rPr>
        <w:t>2. 籍贯或身份证地址为非柳州市区（柳州市区仅指柳南</w:t>
      </w:r>
    </w:p>
    <w:p>
      <w:pPr>
        <w:pageBreakBefore w:val="0"/>
        <w:kinsoku/>
        <w:wordWrap/>
        <w:overflowPunct/>
        <w:topLinePunct w:val="0"/>
        <w:autoSpaceDE/>
        <w:autoSpaceDN/>
        <w:bidi w:val="0"/>
        <w:spacing w:line="550" w:lineRule="exact"/>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区、柳北区、鱼峰区、城中区）。</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教职工公寓户型标准：本科、硕士，每人一间单间；博士，每人一套（至少1房1厅，建筑面积不低于43m</w:t>
      </w:r>
      <w:r>
        <w:rPr>
          <w:rFonts w:hint="eastAsia" w:ascii="仿宋_GB2312" w:hAnsi="仿宋_GB2312" w:eastAsia="仿宋_GB2312" w:cs="仿宋_GB2312"/>
          <w:kern w:val="0"/>
          <w:sz w:val="32"/>
          <w:szCs w:val="32"/>
          <w:vertAlign w:val="superscript"/>
          <w:lang w:bidi="ar"/>
        </w:rPr>
        <w:t>2</w:t>
      </w:r>
      <w:r>
        <w:rPr>
          <w:rFonts w:hint="eastAsia" w:ascii="仿宋_GB2312" w:hAnsi="仿宋_GB2312" w:eastAsia="仿宋_GB2312" w:cs="仿宋_GB2312"/>
          <w:kern w:val="0"/>
          <w:sz w:val="32"/>
          <w:szCs w:val="32"/>
          <w:lang w:bidi="ar"/>
        </w:rPr>
        <w:t>/套）。教职工公寓家具配置标准：床/人、衣柜/人、桌子/人、椅子/人、空调/套、热水器/套（具体尺寸、材质根据实际情况而定）。</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第三章  申请程序</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申请人本人向后勤与资产管理处提出书面申请，并按要求提供非柳州市区籍证明材料。</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后勤与资产管理处根据房源情况安排住房，并与申请人签订教职工公寓住房协议。</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申请人交纳保证金壹仟元证，办理入住手续。</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第四章  使用期限和费用支出</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由于学校公有住房房源有限，申请人原则上只能在教职工公寓住一年（免房租）；一年后，申请人必须提前一周主动到后勤与资产管理处办理退房手续，若房屋保持完好且整洁，可退回保证金；若房屋、家具有损坏、家具遗失等现象，由申请人负责赔偿。</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新录用教职工须承担教职工公寓的水费、电费、物业费、清污费等除房租以外的费用，这些费用由学校财务处按季度从教师本人工资收入中统一扣缴。</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第五章  教职工住房管理</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 xml:space="preserve"> 新录用教职工办理入住手续后，学校不再对教师公寓进行调换。教师公寓的安排遵循男女分住原则。</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第十二条 </w:t>
      </w:r>
      <w:r>
        <w:rPr>
          <w:rFonts w:hint="eastAsia" w:ascii="仿宋_GB2312" w:hAnsi="仿宋_GB2312" w:eastAsia="仿宋_GB2312" w:cs="仿宋_GB2312"/>
          <w:kern w:val="0"/>
          <w:sz w:val="32"/>
          <w:szCs w:val="32"/>
          <w:lang w:bidi="ar"/>
        </w:rPr>
        <w:t xml:space="preserve"> 教职工公寓只能由本人居住，不得带本人以外的其他人到教职工公寓入住（博士单间除外），不得利用教职工公寓进行经营活动，严禁转让、转租、转借等改变教职工公寓租住性质的行为。上述行为一经发现，将予以全校通报。</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有下列情况之一者，在一周内应退还教职工公寓；否则，予以全校通报。</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1.办理入住手续满1年，且未办理续住手续；或办理了续住手续，但学校无房源；</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2.不服从学校管理与安排；</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3.违反本管理办法第十二条；</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4.调离学校；辞职、自动离职；</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5.开除、解聘、解除劳动合同、劳动合同期满后不再续签；</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6.自费出国（境）留学；</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7.其他学校认定违反住房协议的情况。</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对于教职工公寓内的设施设备，入住教职工有义务保持其完好整洁，退宿前须经后勤与资产管理处审核房间内设施设备后，方予以退宿、退保证金；教职工公寓内设施设备的损坏，由房间申请者共同负责维护维修。</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根据《柳州市关于加快新时代人才聚集的若干政策措施》（征求意见稿），由于学校房源有限无法满足新进教职工需求的，对于本科生，学校按照500元/月的标准连续提供12个月的住房补贴；对于硕士生，学校按照1000元/月的标准连续提供12个月的住房补贴；对于博士生，学校1500元/月的标准连续提供12个月的住房补贴（安家费另计）。</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第二年希望住在教职工公寓的教职工，提前2个月提交个人申请后，参照官塘公租房标准按照“8元/平米×房屋建筑面积/房屋入住人数”的公式缴纳房租，方可续住；第三年仍希望住在教师公寓的教师，提前2个月提交个人申请后，按照“20元/平米×房屋建筑面积/房屋入住人数”公式缴纳房租，方可续住。提交继续入住的教职工，必须服从学校的整体调配；若因房源有限而无法满足教职工续住的要求时，学校将按照“同等条件下，先入者先出”的原则，通知教职工办理退房手续。</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第六章  附则</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全校教职工有权向纪委（监察室、督导室）及后勤与资产管理处反映、检举其他教职工隐瞒真实住房情况的行为。</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本办法经2018年6月6日校长办公会讨论通过（详见《柳州职业技术学院办公会决议通知书》﹝2018﹞19号），自发布之日起实施，学校原有的有关政策和规定与本办法不符的，以本办法为准。</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本办法发布前仍住在教师公寓的教职工，按此办法执行，到后勤与资产管理处统一办理退房或续住手续；若存在房屋、家具有损坏、家具遗失等现象，由住房教职工进行等价赔偿。</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本办法由后勤与资产管理处组织实施并负责解释。</w:t>
      </w:r>
    </w:p>
    <w:p>
      <w:pPr>
        <w:pageBreakBefore w:val="0"/>
        <w:kinsoku/>
        <w:wordWrap/>
        <w:overflowPunct/>
        <w:topLinePunct w:val="0"/>
        <w:autoSpaceDE/>
        <w:autoSpaceDN/>
        <w:bidi w:val="0"/>
        <w:outlineLvl w:val="9"/>
      </w:pPr>
    </w:p>
    <w:p>
      <w:pPr>
        <w:pageBreakBefore w:val="0"/>
        <w:kinsoku/>
        <w:wordWrap/>
        <w:overflowPunct/>
        <w:topLinePunct w:val="0"/>
        <w:autoSpaceDE/>
        <w:autoSpaceDN/>
        <w:bidi w:val="0"/>
        <w:outlineLvl w:val="9"/>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15" w:name="_Toc15314"/>
      <w:bookmarkStart w:id="316" w:name="_Toc18843"/>
      <w:bookmarkStart w:id="317" w:name="_Toc18421"/>
      <w:r>
        <w:rPr>
          <w:rFonts w:hint="eastAsia" w:ascii="Calibri" w:hAnsi="Calibri"/>
          <w:b/>
          <w:color w:val="000000"/>
          <w:sz w:val="36"/>
          <w:szCs w:val="36"/>
        </w:rPr>
        <w:t>柳州职业技术学院内部控制关键岗位定期轮岗制度</w:t>
      </w:r>
      <w:bookmarkEnd w:id="315"/>
      <w:bookmarkEnd w:id="316"/>
      <w:bookmarkEnd w:id="317"/>
    </w:p>
    <w:p>
      <w:pPr>
        <w:pageBreakBefore w:val="0"/>
        <w:kinsoku/>
        <w:wordWrap/>
        <w:overflowPunct/>
        <w:topLinePunct w:val="0"/>
        <w:autoSpaceDE/>
        <w:autoSpaceDN/>
        <w:bidi w:val="0"/>
        <w:jc w:val="center"/>
        <w:outlineLvl w:val="9"/>
        <w:rPr>
          <w:rFonts w:hint="eastAsia" w:ascii="仿宋_GB2312" w:eastAsia="仿宋_GB2312"/>
          <w:b/>
          <w:sz w:val="32"/>
          <w:szCs w:val="32"/>
        </w:rPr>
      </w:pPr>
      <w:r>
        <w:rPr>
          <w:rFonts w:hint="eastAsia" w:ascii="仿宋_GB2312" w:eastAsia="仿宋_GB2312"/>
          <w:b/>
          <w:sz w:val="32"/>
          <w:szCs w:val="32"/>
        </w:rPr>
        <w:t>柳职院党字〔2020〕19号</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为加强我校内部控制关键岗位管理，提高内部管理水平，加强党风廉政建设，推进干部多岗位锻炼，促进干部合理流动，增强干部队伍活力，培养一专多能的优秀干部，结合我校工作实际，特制定内部控制关键岗位定期轮岗制度。</w:t>
      </w:r>
      <w:r>
        <w:rPr>
          <w:rFonts w:hint="eastAsia" w:ascii="仿宋_GB2312" w:eastAsia="仿宋_GB2312"/>
          <w:sz w:val="32"/>
          <w:szCs w:val="32"/>
        </w:rPr>
        <w:t> </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bCs/>
          <w:sz w:val="32"/>
          <w:szCs w:val="32"/>
        </w:rPr>
      </w:pPr>
      <w:r>
        <w:rPr>
          <w:rFonts w:hint="eastAsia" w:ascii="黑体" w:hAnsi="黑体" w:eastAsia="黑体" w:cs="黑体"/>
          <w:b/>
          <w:bCs/>
          <w:sz w:val="32"/>
          <w:szCs w:val="32"/>
        </w:rPr>
        <w:t>一、内部控制关键岗位定期轮岗的基本原则</w:t>
      </w:r>
      <w:r>
        <w:rPr>
          <w:rFonts w:hint="eastAsia" w:ascii="宋体" w:hAnsi="宋体" w:cs="宋体"/>
          <w:b/>
          <w:bCs/>
          <w:sz w:val="32"/>
          <w:szCs w:val="32"/>
        </w:rPr>
        <w:t>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内部控制关键岗位定期轮岗需遵循以下基本原则：</w:t>
      </w:r>
      <w:r>
        <w:rPr>
          <w:rFonts w:hint="eastAsia" w:ascii="仿宋_GB2312" w:eastAsia="仿宋_GB2312"/>
          <w:sz w:val="32"/>
          <w:szCs w:val="32"/>
        </w:rPr>
        <w:t> </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（一）党管干部的原则。</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（二）有利于干部成长、队伍结构优化的原则。</w:t>
      </w:r>
      <w:r>
        <w:rPr>
          <w:rFonts w:hint="eastAsia" w:ascii="仿宋_GB2312" w:eastAsia="仿宋_GB2312"/>
          <w:sz w:val="32"/>
          <w:szCs w:val="32"/>
        </w:rPr>
        <w:t> </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（三）工作需要、保证工作业务相对稳定的原则。</w:t>
      </w:r>
      <w:r>
        <w:rPr>
          <w:rFonts w:hint="eastAsia" w:ascii="仿宋_GB2312" w:eastAsia="仿宋_GB2312"/>
          <w:sz w:val="32"/>
          <w:szCs w:val="32"/>
        </w:rPr>
        <w:t> </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（四）</w:t>
      </w:r>
      <w:r>
        <w:rPr>
          <w:rFonts w:hint="eastAsia" w:ascii="仿宋_GB2312" w:hAnsi="宋体" w:eastAsia="仿宋_GB2312" w:cs="仿宋_GB2312"/>
          <w:kern w:val="0"/>
          <w:sz w:val="32"/>
          <w:szCs w:val="32"/>
        </w:rPr>
        <w:t>能上能下，个人意愿服从组织决定的原则。</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二、内部控制关键岗位定期轮岗的范围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我校实行内部控制关键岗位定期轮岗的范围指：学校从事与</w:t>
      </w:r>
      <w:r>
        <w:rPr>
          <w:rFonts w:hint="eastAsia" w:ascii="仿宋_GB2312" w:eastAsia="仿宋_GB2312" w:cs="仿宋_GB2312"/>
          <w:sz w:val="32"/>
          <w:szCs w:val="32"/>
        </w:rPr>
        <w:t>“</w:t>
      </w:r>
      <w:r>
        <w:rPr>
          <w:rFonts w:hint="eastAsia" w:ascii="仿宋_GB2312" w:hAnsi="宋体" w:eastAsia="仿宋_GB2312" w:cs="仿宋_GB2312"/>
          <w:sz w:val="32"/>
          <w:szCs w:val="32"/>
        </w:rPr>
        <w:t>人、财、物</w:t>
      </w:r>
      <w:r>
        <w:rPr>
          <w:rFonts w:hint="eastAsia" w:ascii="仿宋_GB2312" w:eastAsia="仿宋_GB2312" w:cs="仿宋_GB2312"/>
          <w:sz w:val="32"/>
          <w:szCs w:val="32"/>
        </w:rPr>
        <w:t>”</w:t>
      </w:r>
      <w:r>
        <w:rPr>
          <w:rFonts w:hint="eastAsia" w:ascii="仿宋_GB2312" w:hAnsi="宋体" w:eastAsia="仿宋_GB2312" w:cs="仿宋_GB2312"/>
          <w:sz w:val="32"/>
          <w:szCs w:val="32"/>
        </w:rPr>
        <w:t>管理相关业务，存在较大风险的关键岗位，主要包括承担干部选拔、人才招聘、学生资助、会计出纳、基建管理、设备资产采购与供应商管理、招投标管理、招生、科研经费管理、图书教材征订采购等职责的领导干部和管理人员。具体由学校党委根据岗位特性和工作实际，在每次干部换届前研究确定是否列入轮岗对象。</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三、内部控制关键岗位定期轮岗的周期</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轮岗工作根据学校及处（科）室工作需要，并结合本人工作实际，在校内或处（科）室内部进行工作岗位调整。轮岗年限可根据工作需要、在保证工作业务相对稳定的情况下适当调整。确不具备轮岗条件的，经学校批准，可不列入关键岗位定期轮岗，同时可采取专项审计等控制措施，确保关键岗位领导干部及工作人员依法依规履职。</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（一）在关键岗位的领导干部和工作人员一般应在换届时进行轮岗。经学校批准，对专业技术性要求强的关键岗位可适当放宽，但最长不得超过两届；根据工作需要，经学校批准，个别岗位也可以届内轮岗。</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kern w:val="0"/>
          <w:sz w:val="32"/>
          <w:szCs w:val="32"/>
        </w:rPr>
      </w:pPr>
      <w:r>
        <w:rPr>
          <w:rFonts w:hint="eastAsia" w:ascii="仿宋_GB2312" w:hAnsi="宋体" w:eastAsia="仿宋_GB2312" w:cs="仿宋_GB2312"/>
          <w:kern w:val="0"/>
          <w:sz w:val="32"/>
          <w:szCs w:val="32"/>
        </w:rPr>
        <w:t>（二）同一部门的正副职领导干部一般不同时轮岗。</w:t>
      </w:r>
    </w:p>
    <w:p>
      <w:pPr>
        <w:pageBreakBefore w:val="0"/>
        <w:kinsoku/>
        <w:wordWrap/>
        <w:overflowPunct/>
        <w:topLinePunct w:val="0"/>
        <w:autoSpaceDE/>
        <w:autoSpaceDN/>
        <w:bidi w:val="0"/>
        <w:spacing w:line="596" w:lineRule="exact"/>
        <w:ind w:firstLine="480" w:firstLineChars="150"/>
        <w:outlineLvl w:val="9"/>
        <w:rPr>
          <w:rFonts w:hint="eastAsia" w:ascii="仿宋_GB2312" w:eastAsia="仿宋_GB2312"/>
          <w:sz w:val="32"/>
          <w:szCs w:val="32"/>
        </w:rPr>
      </w:pPr>
      <w:r>
        <w:rPr>
          <w:rFonts w:hint="eastAsia" w:ascii="仿宋_GB2312" w:hAnsi="宋体" w:eastAsia="仿宋_GB2312" w:cs="仿宋_GB2312"/>
          <w:sz w:val="32"/>
          <w:szCs w:val="32"/>
        </w:rPr>
        <w:t>（三）处（科）室一次轮岗人数原则上最多不得超过实有人数的三分之一。</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四、内部控制关键岗位定期轮岗的方式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内部控制关键岗位轮岗应与学校的换届工作有机结合起来，参考换届制度，充分酝酿考虑实施。特殊情况，部门提出在届中需要轮岗的，需报告学校党委研究决定后，由学校组织人事部门组织实施。内部控制关键岗位人员轮岗交流或离职前时，应根据有关法律法规和学校规定进行工作交接、离任审计等。</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五、内部控制关键岗位定期轮岗的工作程序</w:t>
      </w:r>
    </w:p>
    <w:p>
      <w:pPr>
        <w:pageBreakBefore w:val="0"/>
        <w:kinsoku/>
        <w:wordWrap/>
        <w:overflowPunct/>
        <w:topLinePunct w:val="0"/>
        <w:autoSpaceDE/>
        <w:autoSpaceDN/>
        <w:bidi w:val="0"/>
        <w:spacing w:line="596" w:lineRule="exact"/>
        <w:ind w:firstLine="643" w:firstLineChars="200"/>
        <w:outlineLvl w:val="9"/>
        <w:rPr>
          <w:rFonts w:hint="eastAsia" w:ascii="楷体_GB2312" w:hAnsi="宋体" w:eastAsia="楷体_GB2312" w:cs="仿宋_GB2312"/>
          <w:b/>
          <w:bCs/>
          <w:sz w:val="32"/>
          <w:szCs w:val="32"/>
        </w:rPr>
      </w:pPr>
      <w:r>
        <w:rPr>
          <w:rFonts w:hint="eastAsia" w:ascii="楷体_GB2312" w:hAnsi="宋体" w:eastAsia="楷体_GB2312" w:cs="仿宋_GB2312"/>
          <w:b/>
          <w:bCs/>
          <w:sz w:val="32"/>
          <w:szCs w:val="32"/>
        </w:rPr>
        <w:t>（一）调查摸底</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学校党委组织部、人事处根据各部门提交的《柳州职业技术学院内部控制关键岗位定期轮岗调查登记表》（附件），对干部的基本情况（包括现工作岗位、现岗位工作时间、拟轮换岗位、工作绩效、党风廉政建设及需回避情况等）进行摸底调查。</w:t>
      </w:r>
    </w:p>
    <w:p>
      <w:pPr>
        <w:pageBreakBefore w:val="0"/>
        <w:kinsoku/>
        <w:wordWrap/>
        <w:overflowPunct/>
        <w:topLinePunct w:val="0"/>
        <w:autoSpaceDE/>
        <w:autoSpaceDN/>
        <w:bidi w:val="0"/>
        <w:spacing w:line="596" w:lineRule="exact"/>
        <w:ind w:firstLine="643" w:firstLineChars="200"/>
        <w:outlineLvl w:val="9"/>
        <w:rPr>
          <w:rFonts w:hint="eastAsia" w:ascii="楷体_GB2312" w:hAnsi="宋体" w:eastAsia="楷体_GB2312" w:cs="仿宋_GB2312"/>
          <w:b/>
          <w:bCs/>
          <w:sz w:val="32"/>
          <w:szCs w:val="32"/>
        </w:rPr>
      </w:pPr>
      <w:r>
        <w:rPr>
          <w:rFonts w:hint="eastAsia" w:ascii="楷体_GB2312" w:hAnsi="宋体" w:eastAsia="楷体_GB2312" w:cs="仿宋_GB2312"/>
          <w:b/>
          <w:bCs/>
          <w:sz w:val="32"/>
          <w:szCs w:val="32"/>
        </w:rPr>
        <w:t>（二）酝酿讨论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征求意见，酝酿人选，提出轮岗方案。</w:t>
      </w:r>
    </w:p>
    <w:p>
      <w:pPr>
        <w:pageBreakBefore w:val="0"/>
        <w:kinsoku/>
        <w:wordWrap/>
        <w:overflowPunct/>
        <w:topLinePunct w:val="0"/>
        <w:autoSpaceDE/>
        <w:autoSpaceDN/>
        <w:bidi w:val="0"/>
        <w:spacing w:line="596" w:lineRule="exact"/>
        <w:ind w:firstLine="643" w:firstLineChars="200"/>
        <w:outlineLvl w:val="9"/>
        <w:rPr>
          <w:rFonts w:hint="eastAsia" w:ascii="楷体_GB2312" w:hAnsi="宋体" w:eastAsia="楷体_GB2312" w:cs="仿宋_GB2312"/>
          <w:b/>
          <w:bCs/>
          <w:sz w:val="32"/>
          <w:szCs w:val="32"/>
        </w:rPr>
      </w:pPr>
      <w:r>
        <w:rPr>
          <w:rFonts w:hint="eastAsia" w:ascii="楷体_GB2312" w:hAnsi="宋体" w:eastAsia="楷体_GB2312" w:cs="仿宋_GB2312"/>
          <w:b/>
          <w:bCs/>
          <w:sz w:val="32"/>
          <w:szCs w:val="32"/>
        </w:rPr>
        <w:t>（三）集体研究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学校集体研究，审议轮岗方案。</w:t>
      </w:r>
    </w:p>
    <w:p>
      <w:pPr>
        <w:pageBreakBefore w:val="0"/>
        <w:kinsoku/>
        <w:wordWrap/>
        <w:overflowPunct/>
        <w:topLinePunct w:val="0"/>
        <w:autoSpaceDE/>
        <w:autoSpaceDN/>
        <w:bidi w:val="0"/>
        <w:spacing w:line="596" w:lineRule="exact"/>
        <w:ind w:firstLine="643" w:firstLineChars="200"/>
        <w:outlineLvl w:val="9"/>
        <w:rPr>
          <w:rFonts w:hint="eastAsia" w:ascii="楷体_GB2312" w:hAnsi="宋体" w:eastAsia="楷体_GB2312" w:cs="仿宋_GB2312"/>
          <w:b/>
          <w:bCs/>
          <w:sz w:val="32"/>
          <w:szCs w:val="32"/>
        </w:rPr>
      </w:pPr>
      <w:r>
        <w:rPr>
          <w:rFonts w:hint="eastAsia" w:ascii="楷体_GB2312" w:hAnsi="宋体" w:eastAsia="楷体_GB2312" w:cs="仿宋_GB2312"/>
          <w:b/>
          <w:bCs/>
          <w:sz w:val="32"/>
          <w:szCs w:val="32"/>
        </w:rPr>
        <w:t>（四）组织实施干部选拔或人事调整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按干部选拔或干部人事调整程序和要求，组织实施干部轮岗相关工作。</w:t>
      </w:r>
    </w:p>
    <w:p>
      <w:pPr>
        <w:pageBreakBefore w:val="0"/>
        <w:kinsoku/>
        <w:wordWrap/>
        <w:overflowPunct/>
        <w:topLinePunct w:val="0"/>
        <w:autoSpaceDE/>
        <w:autoSpaceDN/>
        <w:bidi w:val="0"/>
        <w:spacing w:line="596" w:lineRule="exact"/>
        <w:ind w:firstLine="643" w:firstLineChars="200"/>
        <w:outlineLvl w:val="9"/>
        <w:rPr>
          <w:rFonts w:hint="eastAsia" w:ascii="楷体_GB2312" w:hAnsi="宋体" w:eastAsia="楷体_GB2312" w:cs="仿宋_GB2312"/>
          <w:b/>
          <w:bCs/>
          <w:sz w:val="32"/>
          <w:szCs w:val="32"/>
        </w:rPr>
      </w:pPr>
      <w:r>
        <w:rPr>
          <w:rFonts w:hint="eastAsia" w:ascii="楷体_GB2312" w:hAnsi="宋体" w:eastAsia="楷体_GB2312" w:cs="仿宋_GB2312"/>
          <w:b/>
          <w:bCs/>
          <w:sz w:val="32"/>
          <w:szCs w:val="32"/>
        </w:rPr>
        <w:t>（五）集体谈话</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召开轮岗干部集体谈话会议。</w:t>
      </w:r>
    </w:p>
    <w:p>
      <w:pPr>
        <w:pageBreakBefore w:val="0"/>
        <w:kinsoku/>
        <w:wordWrap/>
        <w:overflowPunct/>
        <w:topLinePunct w:val="0"/>
        <w:autoSpaceDE/>
        <w:autoSpaceDN/>
        <w:bidi w:val="0"/>
        <w:spacing w:line="596" w:lineRule="exact"/>
        <w:ind w:firstLine="643" w:firstLineChars="200"/>
        <w:outlineLvl w:val="9"/>
        <w:rPr>
          <w:rFonts w:hint="eastAsia" w:ascii="楷体_GB2312" w:eastAsia="楷体_GB2312"/>
          <w:b/>
          <w:bCs/>
          <w:sz w:val="32"/>
          <w:szCs w:val="32"/>
        </w:rPr>
      </w:pPr>
      <w:r>
        <w:rPr>
          <w:rFonts w:hint="eastAsia" w:ascii="楷体_GB2312" w:hAnsi="宋体" w:eastAsia="楷体_GB2312" w:cs="仿宋_GB2312"/>
          <w:b/>
          <w:bCs/>
          <w:sz w:val="32"/>
          <w:szCs w:val="32"/>
        </w:rPr>
        <w:t>（六）工作交接</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hAnsi="宋体" w:eastAsia="仿宋_GB2312" w:cs="仿宋_GB2312"/>
          <w:sz w:val="32"/>
          <w:szCs w:val="32"/>
        </w:rPr>
        <w:t>轮岗干部在规定时间内办结相关手续，完成工作交接。</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六、本制度由学校党委组织部、统战部、人事处负责解释。</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18" w:name="_Toc17089"/>
      <w:bookmarkStart w:id="319" w:name="_Toc4193"/>
      <w:bookmarkStart w:id="320" w:name="_Toc30850"/>
      <w:bookmarkStart w:id="321" w:name="_Toc6688"/>
      <w:r>
        <w:rPr>
          <w:rFonts w:hint="eastAsia" w:ascii="Calibri" w:hAnsi="Calibri"/>
          <w:b/>
          <w:color w:val="000000"/>
          <w:sz w:val="36"/>
          <w:szCs w:val="36"/>
        </w:rPr>
        <w:t>柳州职业技术学院柔性引进人才管理办法</w:t>
      </w:r>
      <w:bookmarkEnd w:id="318"/>
      <w:bookmarkEnd w:id="319"/>
      <w:bookmarkEnd w:id="320"/>
      <w:bookmarkEnd w:id="321"/>
    </w:p>
    <w:p>
      <w:pPr>
        <w:pageBreakBefore w:val="0"/>
        <w:kinsoku/>
        <w:wordWrap/>
        <w:overflowPunct/>
        <w:topLinePunct w:val="0"/>
        <w:autoSpaceDE/>
        <w:autoSpaceDN/>
        <w:bidi w:val="0"/>
        <w:adjustRightInd w:val="0"/>
        <w:snapToGrid w:val="0"/>
        <w:spacing w:line="360" w:lineRule="auto"/>
        <w:jc w:val="center"/>
        <w:outlineLvl w:val="9"/>
        <w:rPr>
          <w:rFonts w:hint="eastAsia" w:ascii="仿宋_GB2312" w:eastAsia="仿宋_GB2312"/>
          <w:sz w:val="32"/>
          <w:szCs w:val="32"/>
        </w:rPr>
      </w:pPr>
      <w:r>
        <w:rPr>
          <w:rFonts w:hint="eastAsia" w:ascii="仿宋_GB2312" w:eastAsia="仿宋_GB2312"/>
          <w:sz w:val="32"/>
          <w:szCs w:val="32"/>
        </w:rPr>
        <w:t xml:space="preserve"> (柳职院字〔2021〕54 号)</w:t>
      </w:r>
    </w:p>
    <w:p>
      <w:pPr>
        <w:pageBreakBefore w:val="0"/>
        <w:kinsoku/>
        <w:wordWrap/>
        <w:overflowPunct/>
        <w:topLinePunct w:val="0"/>
        <w:autoSpaceDE/>
        <w:autoSpaceDN/>
        <w:bidi w:val="0"/>
        <w:spacing w:line="596" w:lineRule="exact"/>
        <w:jc w:val="center"/>
        <w:outlineLvl w:val="9"/>
        <w:rPr>
          <w:b/>
          <w:color w:val="000000"/>
          <w:sz w:val="36"/>
          <w:szCs w:val="36"/>
        </w:rPr>
      </w:pP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为加快实施人才强校战略，进一步拓宽人才引进的渠道，本着“不求所有，但求所用”的原则柔性引进人才，为教学、科研、社会服务和学校管理提供人才保障，特制定本管理办法。</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一、引进对象类别</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A类人才</w:t>
      </w:r>
      <w:r>
        <w:rPr>
          <w:rFonts w:hint="eastAsia" w:ascii="仿宋_GB2312" w:hAnsi="Calibri" w:eastAsia="仿宋_GB2312"/>
          <w:sz w:val="32"/>
          <w:szCs w:val="32"/>
        </w:rPr>
        <w:t>：中国或发达国家院士以及相当于上述层次的顶尖人才。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B类人才：</w:t>
      </w:r>
      <w:r>
        <w:rPr>
          <w:rFonts w:hint="eastAsia" w:ascii="仿宋_GB2312" w:hAnsi="Calibri" w:eastAsia="仿宋_GB2312"/>
          <w:sz w:val="32"/>
          <w:szCs w:val="32"/>
        </w:rPr>
        <w:t>国家高层次人才、教育部长江学者特聘教授和一流学科带头人及相当于上述层次的国家级领军人才。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C类人才：</w:t>
      </w:r>
      <w:r>
        <w:rPr>
          <w:rFonts w:hint="eastAsia" w:ascii="仿宋_GB2312" w:hAnsi="Calibri" w:eastAsia="仿宋_GB2312"/>
          <w:sz w:val="32"/>
          <w:szCs w:val="32"/>
        </w:rPr>
        <w:t>国家杰出（优秀）青年基金获得者、国家科技重大专项负责人、中华技能大奖、八桂学者及相当于上述层次的国家青年科技人才或自治区级高级人才。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D类人才：</w:t>
      </w:r>
      <w:r>
        <w:rPr>
          <w:rFonts w:hint="eastAsia" w:ascii="仿宋_GB2312" w:hAnsi="Calibri" w:eastAsia="仿宋_GB2312"/>
          <w:sz w:val="32"/>
          <w:szCs w:val="32"/>
        </w:rPr>
        <w:t>全国技术能手、自治区特聘专家、自治区优秀专家及相当于上述层次的自治区级人才。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E类人才：</w:t>
      </w:r>
      <w:r>
        <w:rPr>
          <w:rFonts w:hint="eastAsia" w:ascii="仿宋_GB2312" w:hAnsi="Calibri" w:eastAsia="仿宋_GB2312"/>
          <w:sz w:val="32"/>
          <w:szCs w:val="32"/>
        </w:rPr>
        <w:t>获得省部级及以上技术能手称号的高级技师、十百千人才工程二层次人选及相当于上述层次的技术技能型人才。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b/>
          <w:bCs/>
          <w:sz w:val="32"/>
          <w:szCs w:val="32"/>
        </w:rPr>
        <w:t>F类人才：</w:t>
      </w:r>
      <w:r>
        <w:rPr>
          <w:rFonts w:hint="eastAsia" w:ascii="仿宋_GB2312" w:hAnsi="Calibri" w:eastAsia="仿宋_GB2312"/>
          <w:sz w:val="32"/>
          <w:szCs w:val="32"/>
        </w:rPr>
        <w:t>大型或骨干企业技术专家、具有国家职业资格认证的高级技师或具有副高职称的紧缺人才。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具体分类标准见附件1《柳州职业技术学院柔性引进人才分类标准》。</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黑体" w:hAnsi="黑体" w:eastAsia="黑体"/>
          <w:b/>
          <w:sz w:val="32"/>
          <w:szCs w:val="32"/>
        </w:rPr>
        <w:t>二、工作任务主要范围</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学校与引进人才协商，在以下范围内确定具体工作任务。</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（一）对学校总体发展规划、专业建设、科学研究以及教学改革等方面工作提出建设性意见或建议，给予咨询及指导。</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（二）以项目负责人身份或指导校内人员，以柳州职业技术学院为项目主持单位成功申报和建设以下科研项目：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1.国家级教育教学研究项目；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2.省部级以上社会科学研究项目；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3.省部级以上自然科学研究项目；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4.市厅级重大科学研究项目；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5.重大横向科研项目（自然科学类单项到我校账户金额100万以上，哲学社会科学类单项到我校账户金额30万以上）；</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（三）指导学校获得省部级以上科学技术奖或省部级以上人文社科优秀成果奖；</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（四）负责组建和培育教学、科研团队，建成国家级教学团队或省部级以上科研团队；</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（五）负责开展省部级以上科研平台的培育和建设工作，建成省部级以上科研平台；</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（六）指导我校教师以第一作者身份，并以我校为第一作者单位在SCI、EI或中文核心期刊发表论文；</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（七）指导我校专业、课程、教学资源、实训基地、创新创业等建设工作，取得国家级教学建设项目立项或荣誉；</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（八）指导我校建成国家级规划教材；</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（九）指导我校教师、学生参加国家级技能竞赛，获二等奖以上成绩；</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（十）开展讲学、讲座或进行其它学术交流活动；</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（十一）完成合同约定的其他工作。</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三、引进方式</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（一）采用“关系不转、户口不迁、双向选择、合同约束”的方式，柔性引进我校在教学、科研、社会服务和学校管理等领域急需的人才；</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引进人才可以是个人，也可以是团队，如以团队方式引进，团队负责人应为A-D类人才，成员原则上应具有博士学位或副高级以上职称，团队应具有明确的研究方向和较高的创新水平，近三年所取得的标志性成果得到业内公认；</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（三）以合同约定工作任务、达成目标、来校工作时间和工作方式等，为学校提供服务；</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（四）柔性引进人才聘期一般为1-3年。</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四、引进待遇</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（一）柔性引进人才的薪酬实行年薪制或项目工资制，薪酬标准根据柔性引进人才拟完成的工作任务及预期的业绩成果协商确定；</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（二）柔性引进人才的工作配套经费协商面议；</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（三）学校为柔性引进人才提供必要的工作条件。</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五、引进程序</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（一）各用人部门根据年度柔性引进人才计划，提出拟聘人选，填写《柳州职业技术学院柔性引进人才审批表》，报学校人事处；</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（二）人事处会同相关部门审核，提出拟聘意见；</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（三）学校研究决定。</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六、考核与管理</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（一）用人部门负责柔性引进人才的日常管理及年度考核，年度考核不合格者合同自然终止，并按合同约定扣减相关薪酬。</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（二）聘用期满，学校人事处组织相关职能部门和用人部门根据合同要求对柔性引进人才进行聘期考核，考核结果上报学校。</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（三）聘期考核合格者，兑现相关薪酬，聘期考核不合格者，不再引进，并根据协议视目标责任合同完成情况扣减相关薪酬。</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七、附则</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（一）本办法中所称“以上”均含本级。</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（二）本办法自公布之日起执行，由学校人事处负责解释。</w:t>
      </w: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p>
    <w:p>
      <w:pPr>
        <w:pageBreakBefore w:val="0"/>
        <w:kinsoku/>
        <w:wordWrap/>
        <w:overflowPunct/>
        <w:topLinePunct w:val="0"/>
        <w:autoSpaceDE/>
        <w:autoSpaceDN/>
        <w:bidi w:val="0"/>
        <w:spacing w:line="580" w:lineRule="exact"/>
        <w:ind w:firstLine="640"/>
        <w:outlineLvl w:val="9"/>
        <w:rPr>
          <w:rFonts w:hint="eastAsia" w:ascii="仿宋_GB2312" w:hAnsi="Calibri" w:eastAsia="仿宋_GB2312"/>
          <w:sz w:val="32"/>
          <w:szCs w:val="32"/>
        </w:rPr>
      </w:pPr>
      <w:r>
        <w:rPr>
          <w:rFonts w:hint="eastAsia" w:ascii="仿宋_GB2312" w:hAnsi="Calibri" w:eastAsia="仿宋_GB2312"/>
          <w:sz w:val="32"/>
          <w:szCs w:val="32"/>
        </w:rPr>
        <w:t>附件：1.柳州职业技术学院柔性引进人才分类标准</w:t>
      </w:r>
    </w:p>
    <w:p>
      <w:pPr>
        <w:pageBreakBefore w:val="0"/>
        <w:kinsoku/>
        <w:wordWrap/>
        <w:overflowPunct/>
        <w:topLinePunct w:val="0"/>
        <w:autoSpaceDE/>
        <w:autoSpaceDN/>
        <w:bidi w:val="0"/>
        <w:spacing w:line="580" w:lineRule="exact"/>
        <w:ind w:firstLine="1600" w:firstLineChars="500"/>
        <w:outlineLvl w:val="9"/>
        <w:rPr>
          <w:rFonts w:hint="eastAsia" w:ascii="仿宋_GB2312" w:hAnsi="Calibri" w:eastAsia="仿宋_GB2312"/>
          <w:sz w:val="32"/>
          <w:szCs w:val="32"/>
        </w:rPr>
      </w:pPr>
      <w:r>
        <w:rPr>
          <w:rFonts w:hint="eastAsia" w:ascii="仿宋_GB2312" w:hAnsi="Calibri" w:eastAsia="仿宋_GB2312"/>
          <w:sz w:val="32"/>
          <w:szCs w:val="32"/>
        </w:rPr>
        <w:t>2.柳州职业技术学院柔性引进人才审批表</w:t>
      </w:r>
    </w:p>
    <w:p>
      <w:pPr>
        <w:pageBreakBefore w:val="0"/>
        <w:kinsoku/>
        <w:wordWrap/>
        <w:overflowPunct/>
        <w:topLinePunct w:val="0"/>
        <w:autoSpaceDE/>
        <w:autoSpaceDN/>
        <w:bidi w:val="0"/>
        <w:spacing w:line="580" w:lineRule="exact"/>
        <w:ind w:firstLine="1600" w:firstLineChars="500"/>
        <w:outlineLvl w:val="9"/>
        <w:rPr>
          <w:rFonts w:hint="eastAsia" w:ascii="仿宋_GB2312" w:hAnsi="Calibri" w:eastAsia="仿宋_GB2312"/>
          <w:sz w:val="32"/>
          <w:szCs w:val="32"/>
        </w:rPr>
      </w:pPr>
      <w:r>
        <w:rPr>
          <w:rFonts w:hint="eastAsia" w:ascii="仿宋_GB2312" w:hAnsi="Calibri" w:eastAsia="仿宋_GB2312"/>
          <w:sz w:val="32"/>
          <w:szCs w:val="32"/>
        </w:rPr>
        <w:t>3.柳州职业技术学院柔性引进人才年度考核表</w:t>
      </w:r>
    </w:p>
    <w:p>
      <w:pPr>
        <w:pageBreakBefore w:val="0"/>
        <w:kinsoku/>
        <w:wordWrap/>
        <w:overflowPunct/>
        <w:topLinePunct w:val="0"/>
        <w:autoSpaceDE/>
        <w:autoSpaceDN/>
        <w:bidi w:val="0"/>
        <w:spacing w:line="580" w:lineRule="exact"/>
        <w:ind w:firstLine="1568" w:firstLineChars="490"/>
        <w:outlineLvl w:val="9"/>
        <w:rPr>
          <w:rFonts w:hint="eastAsia" w:ascii="仿宋_GB2312" w:hAnsi="Calibri" w:eastAsia="仿宋_GB2312"/>
          <w:sz w:val="32"/>
          <w:szCs w:val="32"/>
        </w:rPr>
      </w:pPr>
      <w:r>
        <w:rPr>
          <w:rFonts w:hint="eastAsia" w:ascii="仿宋_GB2312" w:hAnsi="Calibri" w:eastAsia="仿宋_GB2312"/>
          <w:sz w:val="32"/>
          <w:szCs w:val="32"/>
        </w:rPr>
        <w:t>4.柳州职业技术学院柔性引进人才聘期考核表</w:t>
      </w:r>
    </w:p>
    <w:p>
      <w:pPr>
        <w:pStyle w:val="3"/>
        <w:rPr>
          <w:rFonts w:hint="eastAsia"/>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22" w:name="_Toc5962"/>
      <w:bookmarkStart w:id="323" w:name="_Toc4495"/>
      <w:bookmarkStart w:id="324" w:name="_Toc17718"/>
      <w:r>
        <w:rPr>
          <w:rFonts w:hint="eastAsia" w:ascii="Calibri" w:hAnsi="Calibri"/>
          <w:b/>
          <w:color w:val="000000"/>
          <w:sz w:val="36"/>
          <w:szCs w:val="36"/>
        </w:rPr>
        <w:t>柳州职业技术学院柔性引进人才分类标准</w:t>
      </w:r>
      <w:bookmarkEnd w:id="322"/>
      <w:bookmarkEnd w:id="323"/>
      <w:bookmarkEnd w:id="324"/>
    </w:p>
    <w:p>
      <w:pPr>
        <w:pStyle w:val="14"/>
        <w:pageBreakBefore w:val="0"/>
        <w:kinsoku/>
        <w:wordWrap/>
        <w:overflowPunct/>
        <w:topLinePunct w:val="0"/>
        <w:autoSpaceDE/>
        <w:autoSpaceDN/>
        <w:bidi w:val="0"/>
        <w:spacing w:before="0" w:beforeAutospacing="0" w:after="0" w:afterAutospacing="0" w:line="580" w:lineRule="exact"/>
        <w:contextualSpacing/>
        <w:jc w:val="center"/>
        <w:outlineLvl w:val="9"/>
        <w:rPr>
          <w:rFonts w:hint="eastAsia" w:ascii="Calibri" w:hAnsi="Calibri"/>
          <w:b/>
          <w:color w:val="000000"/>
          <w:kern w:val="2"/>
          <w:sz w:val="36"/>
          <w:szCs w:val="36"/>
        </w:rPr>
      </w:pP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A类人才：</w:t>
      </w:r>
      <w:r>
        <w:rPr>
          <w:rFonts w:hint="eastAsia" w:ascii="仿宋_GB2312" w:hAnsi="Calibri" w:eastAsia="仿宋_GB2312"/>
          <w:kern w:val="2"/>
          <w:sz w:val="32"/>
          <w:szCs w:val="32"/>
        </w:rPr>
        <w:t>包括诺贝尔奖、图灵奖、菲尔兹奖等国际性重要科学技术奖获得者、国家最高科技奖获得者、中国或发达国家院士、国家杰出人才，在世界一流大学、科研机构任职的国际著名学者，以及相当于上述层次的顶尖人才。</w:t>
      </w: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B类人才：</w:t>
      </w:r>
      <w:r>
        <w:rPr>
          <w:rFonts w:hint="eastAsia" w:ascii="仿宋_GB2312" w:hAnsi="Calibri" w:eastAsia="仿宋_GB2312"/>
          <w:kern w:val="2"/>
          <w:sz w:val="32"/>
          <w:szCs w:val="32"/>
        </w:rPr>
        <w:t>国家高层次人才、教育部长江学者特聘教授和一流学科带头人，二级教授（研究员），国家实验室、国家研究中心、国家重点实验室、国家工程（技术）研究中心、国家工程实验室主要负责人及相当于上述层次的领军人才；近5年担任过世界500强企业总部或国际著名金融机构、著名会计师事务所、著名学术组织等机构的高层管理人才；获得“茅盾文学奖”“鲁迅文学奖”“文华奖”“群星奖”等国家级常设性文艺类重要奖项（排名前三名）的创作人员。</w:t>
      </w: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C类人才：</w:t>
      </w:r>
      <w:r>
        <w:rPr>
          <w:rFonts w:hint="eastAsia" w:ascii="仿宋_GB2312" w:hAnsi="Calibri" w:eastAsia="仿宋_GB2312"/>
          <w:kern w:val="2"/>
          <w:sz w:val="32"/>
          <w:szCs w:val="32"/>
        </w:rPr>
        <w:t>国家实验室、国家研究中心、国家重点实验室、国家工程（技术）研究中心、国家工程实验室等国家科技创新基地以及国家重大科技基础设施学术技术带头人；国家杰出（优秀）青年基金获得者；国家重点研发计划、国家科技重大专项负责人，百千万人才工程国家级人选；中华技能大奖、八桂学者、全国文化名家暨“四个一批”人才。</w:t>
      </w: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D类人才：</w:t>
      </w:r>
      <w:r>
        <w:rPr>
          <w:rFonts w:hint="eastAsia" w:ascii="仿宋_GB2312" w:hAnsi="Calibri" w:eastAsia="仿宋_GB2312"/>
          <w:kern w:val="2"/>
          <w:sz w:val="32"/>
          <w:szCs w:val="32"/>
        </w:rPr>
        <w:t>具有全日制博士学位和副高职称或具有正高职称的拥有自主知识产权，有在国内外知名企业、高校、科研单位及相关机构从事研发或管理等专业工作经历，企事业单位认可的急需紧缺人才、学科（学术）带头人及经认定的海外高层次人才；在国内500强企业任过中层及以上职务或区内外大型名牌企业担任副总以上职务，大型或骨干企业担任副总经理（或相当于）及以上职务的企业高级经营管理人才；省部级重点实验室、工程实验室、工程技术研究中心和工程研究中心主任；全国技术能手；自治区特聘专家、自治区优秀专家。</w:t>
      </w: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E类人才：</w:t>
      </w:r>
      <w:r>
        <w:rPr>
          <w:rFonts w:hint="eastAsia" w:ascii="仿宋_GB2312" w:hAnsi="Calibri" w:eastAsia="仿宋_GB2312"/>
          <w:kern w:val="2"/>
          <w:sz w:val="32"/>
          <w:szCs w:val="32"/>
        </w:rPr>
        <w:t>企事业单位、具有博士学位的紧缺专业人才；在区内外大型名牌企业担任中层以上职务，大型或骨干企业担任副总经理（或相当于）及以上职务的企业高级经营管理人才；获得省部级及以上技术能手称号的高级技师；十百千人才工程二层次人选。</w:t>
      </w:r>
    </w:p>
    <w:p>
      <w:pPr>
        <w:pStyle w:val="14"/>
        <w:pageBreakBefore w:val="0"/>
        <w:kinsoku/>
        <w:wordWrap/>
        <w:overflowPunct/>
        <w:topLinePunct w:val="0"/>
        <w:autoSpaceDE/>
        <w:autoSpaceDN/>
        <w:bidi w:val="0"/>
        <w:spacing w:before="0" w:beforeAutospacing="0" w:after="0" w:afterAutospacing="0" w:line="580" w:lineRule="exact"/>
        <w:ind w:firstLine="643" w:firstLineChars="200"/>
        <w:contextualSpacing/>
        <w:outlineLvl w:val="9"/>
        <w:rPr>
          <w:rFonts w:hint="eastAsia" w:ascii="仿宋_GB2312" w:hAnsi="Calibri" w:eastAsia="仿宋_GB2312"/>
          <w:kern w:val="2"/>
          <w:sz w:val="32"/>
          <w:szCs w:val="32"/>
        </w:rPr>
      </w:pPr>
      <w:r>
        <w:rPr>
          <w:rFonts w:hint="eastAsia" w:ascii="仿宋_GB2312" w:hAnsi="Calibri" w:eastAsia="仿宋_GB2312"/>
          <w:b/>
          <w:bCs/>
          <w:kern w:val="2"/>
          <w:sz w:val="32"/>
          <w:szCs w:val="32"/>
        </w:rPr>
        <w:t>F类人才：</w:t>
      </w:r>
      <w:r>
        <w:rPr>
          <w:rFonts w:hint="eastAsia" w:ascii="仿宋_GB2312" w:hAnsi="Calibri" w:eastAsia="仿宋_GB2312"/>
          <w:kern w:val="2"/>
          <w:sz w:val="32"/>
          <w:szCs w:val="32"/>
        </w:rPr>
        <w:t>大型或骨干企业技术专家、具有国家职业资格认证的高级技师或具有副高职称的紧缺人才。</w:t>
      </w:r>
    </w:p>
    <w:p>
      <w:pPr>
        <w:pStyle w:val="14"/>
        <w:pageBreakBefore w:val="0"/>
        <w:kinsoku/>
        <w:wordWrap/>
        <w:overflowPunct/>
        <w:topLinePunct w:val="0"/>
        <w:autoSpaceDE/>
        <w:autoSpaceDN/>
        <w:bidi w:val="0"/>
        <w:spacing w:before="0" w:beforeAutospacing="0" w:after="0" w:afterAutospacing="0" w:line="580" w:lineRule="exact"/>
        <w:ind w:firstLine="640" w:firstLineChars="200"/>
        <w:contextualSpacing/>
        <w:outlineLvl w:val="9"/>
        <w:rPr>
          <w:rFonts w:hint="eastAsia" w:ascii="仿宋_GB2312" w:hAnsi="Calibri" w:eastAsia="仿宋_GB2312"/>
          <w:kern w:val="2"/>
          <w:sz w:val="32"/>
          <w:szCs w:val="32"/>
        </w:rPr>
      </w:pPr>
    </w:p>
    <w:p>
      <w:pPr>
        <w:pStyle w:val="14"/>
        <w:pageBreakBefore w:val="0"/>
        <w:kinsoku/>
        <w:wordWrap/>
        <w:overflowPunct/>
        <w:topLinePunct w:val="0"/>
        <w:autoSpaceDE/>
        <w:autoSpaceDN/>
        <w:bidi w:val="0"/>
        <w:spacing w:before="0" w:beforeAutospacing="0" w:after="0" w:afterAutospacing="0" w:line="580" w:lineRule="exact"/>
        <w:ind w:firstLine="640" w:firstLineChars="200"/>
        <w:contextualSpacing/>
        <w:outlineLvl w:val="9"/>
        <w:rPr>
          <w:rFonts w:hint="eastAsia" w:ascii="仿宋_GB2312" w:hAnsi="Calibri" w:eastAsia="仿宋_GB2312"/>
          <w:kern w:val="2"/>
          <w:sz w:val="32"/>
          <w:szCs w:val="32"/>
        </w:rPr>
      </w:pPr>
    </w:p>
    <w:p>
      <w:pPr>
        <w:pStyle w:val="14"/>
        <w:pageBreakBefore w:val="0"/>
        <w:kinsoku/>
        <w:wordWrap/>
        <w:overflowPunct/>
        <w:topLinePunct w:val="0"/>
        <w:autoSpaceDE/>
        <w:autoSpaceDN/>
        <w:bidi w:val="0"/>
        <w:spacing w:before="0" w:beforeAutospacing="0" w:after="0" w:afterAutospacing="0" w:line="580" w:lineRule="exact"/>
        <w:ind w:firstLine="640" w:firstLineChars="200"/>
        <w:contextualSpacing/>
        <w:outlineLvl w:val="9"/>
        <w:rPr>
          <w:rFonts w:hint="eastAsia" w:ascii="仿宋_GB2312" w:hAnsi="Calibri" w:eastAsia="仿宋_GB2312"/>
          <w:kern w:val="2"/>
          <w:sz w:val="32"/>
          <w:szCs w:val="32"/>
        </w:rPr>
      </w:pPr>
    </w:p>
    <w:p>
      <w:pPr>
        <w:pageBreakBefore w:val="0"/>
        <w:kinsoku/>
        <w:wordWrap/>
        <w:overflowPunct/>
        <w:topLinePunct w:val="0"/>
        <w:autoSpaceDE/>
        <w:autoSpaceDN/>
        <w:bidi w:val="0"/>
        <w:spacing w:line="596" w:lineRule="exact"/>
        <w:jc w:val="left"/>
        <w:outlineLvl w:val="9"/>
        <w:rPr>
          <w:rFonts w:ascii="黑体" w:hAnsi="Calibri" w:eastAsia="黑体"/>
          <w:sz w:val="32"/>
          <w:szCs w:val="32"/>
        </w:rPr>
      </w:pPr>
      <w:r>
        <w:rPr>
          <w:rFonts w:hint="eastAsia" w:ascii="黑体" w:hAnsi="Calibri" w:eastAsia="黑体"/>
          <w:sz w:val="32"/>
          <w:szCs w:val="32"/>
        </w:rPr>
        <w:t>附件2:</w:t>
      </w:r>
    </w:p>
    <w:p>
      <w:pPr>
        <w:pageBreakBefore w:val="0"/>
        <w:kinsoku/>
        <w:wordWrap/>
        <w:overflowPunct/>
        <w:topLinePunct w:val="0"/>
        <w:autoSpaceDE/>
        <w:autoSpaceDN/>
        <w:bidi w:val="0"/>
        <w:spacing w:line="360" w:lineRule="auto"/>
        <w:jc w:val="center"/>
        <w:outlineLvl w:val="9"/>
        <w:rPr>
          <w:rFonts w:hint="eastAsia" w:ascii="Calibri" w:hAnsi="Calibri"/>
          <w:b/>
          <w:color w:val="000000"/>
          <w:sz w:val="36"/>
          <w:szCs w:val="36"/>
        </w:rPr>
      </w:pPr>
      <w:r>
        <w:rPr>
          <w:rFonts w:hint="eastAsia" w:ascii="Calibri" w:hAnsi="Calibri"/>
          <w:b/>
          <w:color w:val="000000"/>
          <w:sz w:val="36"/>
          <w:szCs w:val="36"/>
        </w:rPr>
        <w:t>柳州职业技术学院柔性引进人才审批表</w:t>
      </w:r>
    </w:p>
    <w:p>
      <w:pPr>
        <w:pageBreakBefore w:val="0"/>
        <w:kinsoku/>
        <w:wordWrap/>
        <w:overflowPunct/>
        <w:topLinePunct w:val="0"/>
        <w:autoSpaceDE/>
        <w:autoSpaceDN/>
        <w:bidi w:val="0"/>
        <w:jc w:val="left"/>
        <w:outlineLvl w:val="9"/>
        <w:rPr>
          <w:rFonts w:hint="eastAsia" w:ascii="仿宋_GB2312" w:eastAsia="仿宋_GB2312"/>
          <w:bCs/>
          <w:szCs w:val="28"/>
        </w:rPr>
      </w:pPr>
      <w:r>
        <w:rPr>
          <w:rFonts w:hint="eastAsia" w:ascii="仿宋_GB2312" w:eastAsia="仿宋_GB2312"/>
          <w:bCs/>
          <w:szCs w:val="28"/>
        </w:rPr>
        <w:t>引进部门：</w:t>
      </w:r>
    </w:p>
    <w:tbl>
      <w:tblPr>
        <w:tblStyle w:val="17"/>
        <w:tblW w:w="9423"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312"/>
        <w:gridCol w:w="132"/>
        <w:gridCol w:w="1862"/>
        <w:gridCol w:w="1428"/>
        <w:gridCol w:w="900"/>
        <w:gridCol w:w="497"/>
        <w:gridCol w:w="769"/>
        <w:gridCol w:w="890"/>
        <w:gridCol w:w="158"/>
        <w:gridCol w:w="14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48"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姓名</w:t>
            </w:r>
          </w:p>
        </w:tc>
        <w:tc>
          <w:tcPr>
            <w:tcW w:w="1862" w:type="dxa"/>
            <w:vAlign w:val="center"/>
          </w:tcPr>
          <w:p>
            <w:pPr>
              <w:pageBreakBefore w:val="0"/>
              <w:kinsoku/>
              <w:wordWrap/>
              <w:overflowPunct/>
              <w:topLinePunct w:val="0"/>
              <w:autoSpaceDE/>
              <w:autoSpaceDN/>
              <w:bidi w:val="0"/>
              <w:jc w:val="left"/>
              <w:outlineLvl w:val="9"/>
              <w:rPr>
                <w:rFonts w:hint="eastAsia" w:ascii="仿宋_GB2312" w:eastAsia="仿宋_GB2312"/>
                <w:bCs/>
                <w:szCs w:val="28"/>
              </w:rPr>
            </w:pPr>
          </w:p>
        </w:tc>
        <w:tc>
          <w:tcPr>
            <w:tcW w:w="1428" w:type="dxa"/>
            <w:vAlign w:val="center"/>
          </w:tcPr>
          <w:p>
            <w:pPr>
              <w:pageBreakBefore w:val="0"/>
              <w:kinsoku/>
              <w:wordWrap/>
              <w:overflowPunct/>
              <w:topLinePunct w:val="0"/>
              <w:autoSpaceDE/>
              <w:autoSpaceDN/>
              <w:bidi w:val="0"/>
              <w:ind w:firstLine="210" w:firstLineChars="100"/>
              <w:jc w:val="left"/>
              <w:outlineLvl w:val="9"/>
              <w:rPr>
                <w:rFonts w:hint="eastAsia" w:ascii="仿宋_GB2312" w:eastAsia="仿宋_GB2312"/>
                <w:bCs/>
                <w:szCs w:val="28"/>
              </w:rPr>
            </w:pPr>
            <w:r>
              <w:rPr>
                <w:rFonts w:hint="eastAsia" w:ascii="仿宋_GB2312" w:eastAsia="仿宋_GB2312"/>
                <w:bCs/>
                <w:szCs w:val="28"/>
              </w:rPr>
              <w:t>性别</w:t>
            </w:r>
          </w:p>
        </w:tc>
        <w:tc>
          <w:tcPr>
            <w:tcW w:w="1397" w:type="dxa"/>
            <w:gridSpan w:val="2"/>
            <w:vAlign w:val="center"/>
          </w:tcPr>
          <w:p>
            <w:pPr>
              <w:pageBreakBefore w:val="0"/>
              <w:kinsoku/>
              <w:wordWrap/>
              <w:overflowPunct/>
              <w:topLinePunct w:val="0"/>
              <w:autoSpaceDE/>
              <w:autoSpaceDN/>
              <w:bidi w:val="0"/>
              <w:jc w:val="left"/>
              <w:outlineLvl w:val="9"/>
              <w:rPr>
                <w:rFonts w:hint="eastAsia" w:ascii="仿宋_GB2312" w:eastAsia="仿宋_GB2312"/>
                <w:bCs/>
                <w:szCs w:val="28"/>
              </w:rPr>
            </w:pPr>
          </w:p>
        </w:tc>
        <w:tc>
          <w:tcPr>
            <w:tcW w:w="1817" w:type="dxa"/>
            <w:gridSpan w:val="3"/>
            <w:vAlign w:val="center"/>
          </w:tcPr>
          <w:p>
            <w:pPr>
              <w:pageBreakBefore w:val="0"/>
              <w:kinsoku/>
              <w:wordWrap/>
              <w:overflowPunct/>
              <w:topLinePunct w:val="0"/>
              <w:autoSpaceDE/>
              <w:autoSpaceDN/>
              <w:bidi w:val="0"/>
              <w:ind w:firstLine="210" w:firstLineChars="100"/>
              <w:jc w:val="left"/>
              <w:outlineLvl w:val="9"/>
              <w:rPr>
                <w:rFonts w:hint="eastAsia" w:ascii="仿宋_GB2312" w:eastAsia="仿宋_GB2312"/>
                <w:bCs/>
                <w:szCs w:val="28"/>
              </w:rPr>
            </w:pPr>
            <w:r>
              <w:rPr>
                <w:rFonts w:hint="eastAsia" w:ascii="仿宋_GB2312" w:eastAsia="仿宋_GB2312"/>
                <w:bCs/>
                <w:szCs w:val="28"/>
              </w:rPr>
              <w:t>国籍/籍贯</w:t>
            </w:r>
          </w:p>
        </w:tc>
        <w:tc>
          <w:tcPr>
            <w:tcW w:w="1475" w:type="dxa"/>
            <w:vAlign w:val="center"/>
          </w:tcPr>
          <w:p>
            <w:pPr>
              <w:pageBreakBefore w:val="0"/>
              <w:kinsoku/>
              <w:wordWrap/>
              <w:overflowPunct/>
              <w:topLinePunct w:val="0"/>
              <w:autoSpaceDE/>
              <w:autoSpaceDN/>
              <w:bidi w:val="0"/>
              <w:jc w:val="left"/>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23"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出生年月</w:t>
            </w:r>
          </w:p>
        </w:tc>
        <w:tc>
          <w:tcPr>
            <w:tcW w:w="186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1428"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学历学位</w:t>
            </w:r>
          </w:p>
        </w:tc>
        <w:tc>
          <w:tcPr>
            <w:tcW w:w="1397"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1817" w:type="dxa"/>
            <w:gridSpan w:val="3"/>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专业技术职务</w:t>
            </w:r>
          </w:p>
        </w:tc>
        <w:tc>
          <w:tcPr>
            <w:tcW w:w="1475" w:type="dxa"/>
            <w:vAlign w:val="center"/>
          </w:tcPr>
          <w:p>
            <w:pPr>
              <w:pageBreakBefore w:val="0"/>
              <w:kinsoku/>
              <w:wordWrap/>
              <w:overflowPunct/>
              <w:topLinePunct w:val="0"/>
              <w:autoSpaceDE/>
              <w:autoSpaceDN/>
              <w:bidi w:val="0"/>
              <w:jc w:val="left"/>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48"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毕业院校</w:t>
            </w:r>
          </w:p>
        </w:tc>
        <w:tc>
          <w:tcPr>
            <w:tcW w:w="3290"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1397"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研究领域</w:t>
            </w:r>
          </w:p>
        </w:tc>
        <w:tc>
          <w:tcPr>
            <w:tcW w:w="3292" w:type="dxa"/>
            <w:gridSpan w:val="4"/>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622"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身份证号或护照号</w:t>
            </w:r>
          </w:p>
        </w:tc>
        <w:tc>
          <w:tcPr>
            <w:tcW w:w="3290"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1397"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人才类别</w:t>
            </w:r>
          </w:p>
        </w:tc>
        <w:tc>
          <w:tcPr>
            <w:tcW w:w="3292" w:type="dxa"/>
            <w:gridSpan w:val="4"/>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33"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工作单位</w:t>
            </w:r>
          </w:p>
        </w:tc>
        <w:tc>
          <w:tcPr>
            <w:tcW w:w="5456" w:type="dxa"/>
            <w:gridSpan w:val="5"/>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890"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职务</w:t>
            </w:r>
          </w:p>
        </w:tc>
        <w:tc>
          <w:tcPr>
            <w:tcW w:w="1633"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463"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联系地址</w:t>
            </w:r>
          </w:p>
        </w:tc>
        <w:tc>
          <w:tcPr>
            <w:tcW w:w="5456" w:type="dxa"/>
            <w:gridSpan w:val="5"/>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890"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邮编</w:t>
            </w:r>
          </w:p>
        </w:tc>
        <w:tc>
          <w:tcPr>
            <w:tcW w:w="1633"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83" w:hRule="atLeast"/>
          <w:jc w:val="center"/>
        </w:trPr>
        <w:tc>
          <w:tcPr>
            <w:tcW w:w="1444"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联系电话</w:t>
            </w:r>
          </w:p>
        </w:tc>
        <w:tc>
          <w:tcPr>
            <w:tcW w:w="3290" w:type="dxa"/>
            <w:gridSpan w:val="2"/>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c>
          <w:tcPr>
            <w:tcW w:w="900"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Email</w:t>
            </w:r>
          </w:p>
        </w:tc>
        <w:tc>
          <w:tcPr>
            <w:tcW w:w="3789" w:type="dxa"/>
            <w:gridSpan w:val="5"/>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90" w:hRule="atLeast"/>
          <w:jc w:val="center"/>
        </w:trPr>
        <w:tc>
          <w:tcPr>
            <w:tcW w:w="9423" w:type="dxa"/>
            <w:gridSpan w:val="10"/>
            <w:vAlign w:val="center"/>
          </w:tcPr>
          <w:p>
            <w:pPr>
              <w:pageBreakBefore w:val="0"/>
              <w:kinsoku/>
              <w:wordWrap/>
              <w:overflowPunct/>
              <w:topLinePunct w:val="0"/>
              <w:autoSpaceDE/>
              <w:autoSpaceDN/>
              <w:bidi w:val="0"/>
              <w:jc w:val="left"/>
              <w:outlineLvl w:val="9"/>
              <w:rPr>
                <w:rFonts w:hint="eastAsia" w:ascii="仿宋_GB2312" w:eastAsia="仿宋_GB2312"/>
                <w:bCs/>
                <w:szCs w:val="28"/>
              </w:rPr>
            </w:pPr>
            <w:r>
              <w:rPr>
                <w:rFonts w:hint="eastAsia" w:ascii="仿宋_GB2312" w:eastAsia="仿宋_GB2312"/>
                <w:bCs/>
                <w:szCs w:val="28"/>
              </w:rPr>
              <w:t>引进人才简介与近五年代表性成果：</w:t>
            </w: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p>
            <w:pPr>
              <w:pageBreakBefore w:val="0"/>
              <w:kinsoku/>
              <w:wordWrap/>
              <w:overflowPunct/>
              <w:topLinePunct w:val="0"/>
              <w:autoSpaceDE/>
              <w:autoSpaceDN/>
              <w:bidi w:val="0"/>
              <w:spacing w:after="292" w:afterLines="50" w:line="320" w:lineRule="exact"/>
              <w:outlineLvl w:val="9"/>
              <w:rPr>
                <w:rFonts w:ascii="宋体" w:hAnsi="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567" w:hRule="atLeast"/>
          <w:jc w:val="center"/>
        </w:trPr>
        <w:tc>
          <w:tcPr>
            <w:tcW w:w="131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协议期</w:t>
            </w:r>
          </w:p>
        </w:tc>
        <w:tc>
          <w:tcPr>
            <w:tcW w:w="8111" w:type="dxa"/>
            <w:gridSpan w:val="9"/>
            <w:vAlign w:val="center"/>
          </w:tcPr>
          <w:p>
            <w:pPr>
              <w:pageBreakBefore w:val="0"/>
              <w:kinsoku/>
              <w:wordWrap/>
              <w:overflowPunct/>
              <w:topLinePunct w:val="0"/>
              <w:autoSpaceDE/>
              <w:autoSpaceDN/>
              <w:bidi w:val="0"/>
              <w:jc w:val="left"/>
              <w:outlineLvl w:val="9"/>
              <w:rPr>
                <w:rFonts w:hint="eastAsia" w:ascii="仿宋_GB2312" w:eastAsia="仿宋_GB2312"/>
                <w:bCs/>
                <w:szCs w:val="28"/>
              </w:rPr>
            </w:pPr>
            <w:r>
              <w:rPr>
                <w:rFonts w:hint="eastAsia" w:ascii="仿宋_GB2312" w:eastAsia="仿宋_GB2312"/>
                <w:bCs/>
                <w:szCs w:val="28"/>
              </w:rPr>
              <w:t>共   年，     年   月    日 —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533" w:hRule="atLeast"/>
          <w:jc w:val="center"/>
        </w:trPr>
        <w:tc>
          <w:tcPr>
            <w:tcW w:w="1312" w:type="dxa"/>
            <w:vAlign w:val="center"/>
          </w:tcPr>
          <w:p>
            <w:pPr>
              <w:pageBreakBefore w:val="0"/>
              <w:kinsoku/>
              <w:wordWrap/>
              <w:overflowPunct/>
              <w:topLinePunct w:val="0"/>
              <w:autoSpaceDE/>
              <w:autoSpaceDN/>
              <w:bidi w:val="0"/>
              <w:jc w:val="center"/>
              <w:outlineLvl w:val="9"/>
              <w:rPr>
                <w:rFonts w:ascii="宋体" w:hAnsi="宋体"/>
                <w:sz w:val="24"/>
              </w:rPr>
            </w:pPr>
            <w:r>
              <w:rPr>
                <w:rFonts w:hint="eastAsia" w:ascii="仿宋_GB2312" w:eastAsia="仿宋_GB2312"/>
                <w:bCs/>
                <w:szCs w:val="28"/>
              </w:rPr>
              <w:t>引进人才的工作任务和目标</w:t>
            </w:r>
          </w:p>
        </w:tc>
        <w:tc>
          <w:tcPr>
            <w:tcW w:w="8111" w:type="dxa"/>
            <w:gridSpan w:val="9"/>
            <w:vAlign w:val="center"/>
          </w:tcPr>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698" w:hRule="atLeast"/>
          <w:jc w:val="center"/>
        </w:trPr>
        <w:tc>
          <w:tcPr>
            <w:tcW w:w="1312" w:type="dxa"/>
            <w:vAlign w:val="center"/>
          </w:tcPr>
          <w:p>
            <w:pPr>
              <w:pageBreakBefore w:val="0"/>
              <w:kinsoku/>
              <w:wordWrap/>
              <w:overflowPunct/>
              <w:topLinePunct w:val="0"/>
              <w:autoSpaceDE/>
              <w:autoSpaceDN/>
              <w:bidi w:val="0"/>
              <w:jc w:val="center"/>
              <w:outlineLvl w:val="9"/>
              <w:rPr>
                <w:rFonts w:ascii="宋体" w:hAnsi="宋体"/>
                <w:sz w:val="24"/>
              </w:rPr>
            </w:pPr>
            <w:r>
              <w:rPr>
                <w:rFonts w:hint="eastAsia" w:ascii="仿宋_GB2312" w:eastAsia="仿宋_GB2312"/>
                <w:bCs/>
                <w:szCs w:val="28"/>
              </w:rPr>
              <w:t>学校提供待遇</w:t>
            </w:r>
          </w:p>
        </w:tc>
        <w:tc>
          <w:tcPr>
            <w:tcW w:w="8111" w:type="dxa"/>
            <w:gridSpan w:val="9"/>
            <w:vAlign w:val="center"/>
          </w:tcPr>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p>
            <w:pPr>
              <w:pageBreakBefore w:val="0"/>
              <w:kinsoku/>
              <w:wordWrap/>
              <w:overflowPunct/>
              <w:topLinePunct w:val="0"/>
              <w:autoSpaceDE/>
              <w:autoSpaceDN/>
              <w:bidi w:val="0"/>
              <w:spacing w:line="320" w:lineRule="exact"/>
              <w:outlineLvl w:val="9"/>
              <w:rPr>
                <w:rFonts w:ascii="宋体" w:hAnsi="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280" w:hRule="atLeast"/>
          <w:jc w:val="center"/>
        </w:trPr>
        <w:tc>
          <w:tcPr>
            <w:tcW w:w="131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引进人才意见</w:t>
            </w:r>
          </w:p>
        </w:tc>
        <w:tc>
          <w:tcPr>
            <w:tcW w:w="8111" w:type="dxa"/>
            <w:gridSpan w:val="9"/>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 xml:space="preserve">             签字：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573" w:hRule="atLeast"/>
          <w:jc w:val="center"/>
        </w:trPr>
        <w:tc>
          <w:tcPr>
            <w:tcW w:w="131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引进部门推荐意见</w:t>
            </w:r>
          </w:p>
        </w:tc>
        <w:tc>
          <w:tcPr>
            <w:tcW w:w="8111" w:type="dxa"/>
            <w:gridSpan w:val="9"/>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负责人签字（盖章）：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792" w:hRule="atLeast"/>
          <w:jc w:val="center"/>
        </w:trPr>
        <w:tc>
          <w:tcPr>
            <w:tcW w:w="131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人事处  审核意见</w:t>
            </w:r>
          </w:p>
        </w:tc>
        <w:tc>
          <w:tcPr>
            <w:tcW w:w="8111" w:type="dxa"/>
            <w:gridSpan w:val="9"/>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负责人签字（盖章）：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cantSplit/>
          <w:trHeight w:val="1130" w:hRule="atLeast"/>
          <w:jc w:val="center"/>
        </w:trPr>
        <w:tc>
          <w:tcPr>
            <w:tcW w:w="1312" w:type="dxa"/>
            <w:vAlign w:val="center"/>
          </w:tcPr>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学校审批意见</w:t>
            </w:r>
          </w:p>
        </w:tc>
        <w:tc>
          <w:tcPr>
            <w:tcW w:w="8111" w:type="dxa"/>
            <w:gridSpan w:val="9"/>
            <w:vAlign w:val="center"/>
          </w:tcPr>
          <w:p>
            <w:pPr>
              <w:pageBreakBefore w:val="0"/>
              <w:kinsoku/>
              <w:wordWrap/>
              <w:overflowPunct/>
              <w:topLinePunct w:val="0"/>
              <w:autoSpaceDE/>
              <w:autoSpaceDN/>
              <w:bidi w:val="0"/>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p>
          <w:p>
            <w:pPr>
              <w:pageBreakBefore w:val="0"/>
              <w:kinsoku/>
              <w:wordWrap/>
              <w:overflowPunct/>
              <w:topLinePunct w:val="0"/>
              <w:autoSpaceDE/>
              <w:autoSpaceDN/>
              <w:bidi w:val="0"/>
              <w:jc w:val="center"/>
              <w:outlineLvl w:val="9"/>
              <w:rPr>
                <w:rFonts w:hint="eastAsia" w:ascii="仿宋_GB2312" w:eastAsia="仿宋_GB2312"/>
                <w:bCs/>
                <w:szCs w:val="28"/>
              </w:rPr>
            </w:pPr>
            <w:r>
              <w:rPr>
                <w:rFonts w:hint="eastAsia" w:ascii="仿宋_GB2312" w:eastAsia="仿宋_GB2312"/>
                <w:bCs/>
                <w:szCs w:val="28"/>
              </w:rPr>
              <w:t>负责人签字（盖章）：                     年　　月　　日</w:t>
            </w:r>
          </w:p>
        </w:tc>
      </w:tr>
    </w:tbl>
    <w:p>
      <w:pPr>
        <w:pageBreakBefore w:val="0"/>
        <w:kinsoku/>
        <w:wordWrap/>
        <w:overflowPunct/>
        <w:topLinePunct w:val="0"/>
        <w:autoSpaceDE/>
        <w:autoSpaceDN/>
        <w:bidi w:val="0"/>
        <w:jc w:val="left"/>
        <w:outlineLvl w:val="9"/>
        <w:rPr>
          <w:rFonts w:hint="eastAsia" w:ascii="仿宋_GB2312" w:eastAsia="仿宋_GB2312"/>
          <w:bCs/>
          <w:szCs w:val="28"/>
        </w:rPr>
      </w:pPr>
      <w:r>
        <w:rPr>
          <w:rFonts w:hint="eastAsia" w:ascii="仿宋_GB2312" w:eastAsia="仿宋_GB2312"/>
          <w:bCs/>
          <w:szCs w:val="28"/>
        </w:rPr>
        <w:t>注：本表一式三份，双面打印，审批通过后，人事处、引进部门及引进人才各存一份。</w:t>
      </w:r>
    </w:p>
    <w:p>
      <w:pPr>
        <w:pageBreakBefore w:val="0"/>
        <w:kinsoku/>
        <w:wordWrap/>
        <w:overflowPunct/>
        <w:topLinePunct w:val="0"/>
        <w:autoSpaceDE/>
        <w:autoSpaceDN/>
        <w:bidi w:val="0"/>
        <w:spacing w:line="596" w:lineRule="exact"/>
        <w:jc w:val="left"/>
        <w:outlineLvl w:val="9"/>
        <w:rPr>
          <w:rFonts w:ascii="黑体" w:hAnsi="Calibri" w:eastAsia="黑体"/>
          <w:sz w:val="32"/>
          <w:szCs w:val="32"/>
        </w:rPr>
      </w:pPr>
      <w:r>
        <w:rPr>
          <w:rFonts w:hint="eastAsia" w:ascii="黑体" w:hAnsi="Calibri" w:eastAsia="黑体"/>
          <w:sz w:val="32"/>
          <w:szCs w:val="32"/>
        </w:rPr>
        <w:t>附件3:</w:t>
      </w:r>
    </w:p>
    <w:p>
      <w:pPr>
        <w:pageBreakBefore w:val="0"/>
        <w:kinsoku/>
        <w:wordWrap/>
        <w:overflowPunct/>
        <w:topLinePunct w:val="0"/>
        <w:autoSpaceDE/>
        <w:autoSpaceDN/>
        <w:bidi w:val="0"/>
        <w:spacing w:line="360" w:lineRule="auto"/>
        <w:jc w:val="center"/>
        <w:outlineLvl w:val="9"/>
        <w:rPr>
          <w:rFonts w:hint="eastAsia" w:ascii="Calibri" w:hAnsi="Calibri"/>
          <w:b/>
          <w:color w:val="000000"/>
          <w:sz w:val="36"/>
          <w:szCs w:val="36"/>
        </w:rPr>
      </w:pPr>
      <w:r>
        <w:rPr>
          <w:rFonts w:hint="eastAsia" w:ascii="Calibri" w:hAnsi="Calibri"/>
          <w:b/>
          <w:color w:val="000000"/>
          <w:sz w:val="36"/>
          <w:szCs w:val="36"/>
        </w:rPr>
        <w:t>柳州职业技术学院柔性引进人才年度考核表</w:t>
      </w:r>
    </w:p>
    <w:tbl>
      <w:tblPr>
        <w:tblStyle w:val="17"/>
        <w:tblW w:w="928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4"/>
        <w:gridCol w:w="1150"/>
        <w:gridCol w:w="110"/>
        <w:gridCol w:w="780"/>
        <w:gridCol w:w="1035"/>
        <w:gridCol w:w="987"/>
        <w:gridCol w:w="738"/>
        <w:gridCol w:w="686"/>
        <w:gridCol w:w="822"/>
        <w:gridCol w:w="829"/>
        <w:gridCol w:w="12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21" w:hRule="atLeast"/>
          <w:jc w:val="center"/>
        </w:trPr>
        <w:tc>
          <w:tcPr>
            <w:tcW w:w="93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姓名</w:t>
            </w:r>
          </w:p>
        </w:tc>
        <w:tc>
          <w:tcPr>
            <w:tcW w:w="126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性别</w:t>
            </w:r>
          </w:p>
        </w:tc>
        <w:tc>
          <w:tcPr>
            <w:tcW w:w="103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98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出生年月</w:t>
            </w:r>
          </w:p>
        </w:tc>
        <w:tc>
          <w:tcPr>
            <w:tcW w:w="73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68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职称</w:t>
            </w:r>
          </w:p>
        </w:tc>
        <w:tc>
          <w:tcPr>
            <w:tcW w:w="8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82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学历学位</w:t>
            </w:r>
          </w:p>
        </w:tc>
        <w:tc>
          <w:tcPr>
            <w:tcW w:w="121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2" w:hRule="atLeast"/>
          <w:jc w:val="center"/>
        </w:trPr>
        <w:tc>
          <w:tcPr>
            <w:tcW w:w="93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研究领域</w:t>
            </w:r>
          </w:p>
        </w:tc>
        <w:tc>
          <w:tcPr>
            <w:tcW w:w="2040"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103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工作单位</w:t>
            </w:r>
          </w:p>
        </w:tc>
        <w:tc>
          <w:tcPr>
            <w:tcW w:w="2411"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8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联系方式</w:t>
            </w:r>
          </w:p>
        </w:tc>
        <w:tc>
          <w:tcPr>
            <w:tcW w:w="2043"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0" w:hRule="atLeast"/>
          <w:jc w:val="center"/>
        </w:trPr>
        <w:tc>
          <w:tcPr>
            <w:tcW w:w="2084"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用人部门</w:t>
            </w:r>
          </w:p>
        </w:tc>
        <w:tc>
          <w:tcPr>
            <w:tcW w:w="7201"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40" w:hRule="atLeast"/>
          <w:jc w:val="center"/>
        </w:trPr>
        <w:tc>
          <w:tcPr>
            <w:tcW w:w="93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年度工作总结</w:t>
            </w: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tc>
        <w:tc>
          <w:tcPr>
            <w:tcW w:w="8351" w:type="dxa"/>
            <w:gridSpan w:val="10"/>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line="440" w:lineRule="exact"/>
              <w:jc w:val="left"/>
              <w:outlineLvl w:val="9"/>
              <w:rPr>
                <w:rFonts w:hint="eastAsia" w:ascii="仿宋_GB2312" w:eastAsia="仿宋_GB2312"/>
                <w:bCs/>
                <w:szCs w:val="28"/>
              </w:rPr>
            </w:pPr>
            <w:r>
              <w:rPr>
                <w:rFonts w:hint="eastAsia" w:ascii="仿宋_GB2312" w:eastAsia="仿宋_GB2312"/>
                <w:bCs/>
                <w:szCs w:val="28"/>
              </w:rPr>
              <w:t>请围绕合同目标任务，根据本年度推进情况和对学校实际贡献等方面阐述。</w:t>
            </w: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 xml:space="preserve">                   本人签字：</w:t>
            </w: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5" w:hRule="atLeast"/>
          <w:jc w:val="center"/>
        </w:trPr>
        <w:tc>
          <w:tcPr>
            <w:tcW w:w="934" w:type="dxa"/>
            <w:tcBorders>
              <w:top w:val="single" w:color="auto" w:sz="4" w:space="0"/>
              <w:left w:val="single" w:color="auto" w:sz="6" w:space="0"/>
              <w:bottom w:val="single" w:color="auto" w:sz="4" w:space="0"/>
              <w:right w:val="single" w:color="auto" w:sz="4" w:space="0"/>
            </w:tcBorders>
            <w:vAlign w:val="center"/>
          </w:tcPr>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用人部门考核意见</w:t>
            </w:r>
          </w:p>
        </w:tc>
        <w:tc>
          <w:tcPr>
            <w:tcW w:w="8351" w:type="dxa"/>
            <w:gridSpan w:val="10"/>
            <w:tcBorders>
              <w:top w:val="single" w:color="auto" w:sz="4" w:space="0"/>
              <w:left w:val="single" w:color="auto" w:sz="4" w:space="0"/>
              <w:bottom w:val="single" w:color="auto" w:sz="4" w:space="0"/>
              <w:right w:val="single" w:color="auto" w:sz="6" w:space="0"/>
            </w:tcBorders>
          </w:tcPr>
          <w:p>
            <w:pPr>
              <w:pageBreakBefore w:val="0"/>
              <w:kinsoku/>
              <w:wordWrap/>
              <w:overflowPunct/>
              <w:topLinePunct w:val="0"/>
              <w:autoSpaceDE/>
              <w:autoSpaceDN/>
              <w:bidi w:val="0"/>
              <w:spacing w:line="440" w:lineRule="exact"/>
              <w:jc w:val="left"/>
              <w:outlineLvl w:val="9"/>
              <w:rPr>
                <w:rFonts w:hint="eastAsia" w:ascii="仿宋_GB2312" w:eastAsia="仿宋_GB2312"/>
                <w:bCs/>
                <w:szCs w:val="28"/>
              </w:rPr>
            </w:pPr>
            <w:r>
              <w:rPr>
                <w:rFonts w:hint="eastAsia" w:ascii="仿宋_GB2312" w:eastAsia="仿宋_GB2312"/>
                <w:bCs/>
                <w:szCs w:val="28"/>
              </w:rPr>
              <w:t>对照合同条款进行评价、考核，综合评价柔性引进人才年度工作情况，确定考核结果（优秀、合格或不合格）。</w:t>
            </w:r>
          </w:p>
          <w:p>
            <w:pPr>
              <w:pageBreakBefore w:val="0"/>
              <w:kinsoku/>
              <w:wordWrap/>
              <w:overflowPunct/>
              <w:topLinePunct w:val="0"/>
              <w:autoSpaceDE/>
              <w:autoSpaceDN/>
              <w:bidi w:val="0"/>
              <w:spacing w:line="440" w:lineRule="exact"/>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 xml:space="preserve">                      用人部门（公章）：    </w:t>
            </w:r>
          </w:p>
          <w:p>
            <w:pPr>
              <w:pageBreakBefore w:val="0"/>
              <w:kinsoku/>
              <w:wordWrap/>
              <w:overflowPunct/>
              <w:topLinePunct w:val="0"/>
              <w:autoSpaceDE/>
              <w:autoSpaceDN/>
              <w:bidi w:val="0"/>
              <w:spacing w:line="440" w:lineRule="exact"/>
              <w:jc w:val="center"/>
              <w:outlineLvl w:val="9"/>
              <w:rPr>
                <w:rFonts w:hint="eastAsia" w:ascii="仿宋_GB2312" w:eastAsia="仿宋_GB2312"/>
                <w:bCs/>
                <w:szCs w:val="28"/>
              </w:rPr>
            </w:pPr>
            <w:r>
              <w:rPr>
                <w:rFonts w:hint="eastAsia" w:ascii="仿宋_GB2312" w:eastAsia="仿宋_GB2312"/>
                <w:bCs/>
                <w:szCs w:val="28"/>
              </w:rPr>
              <w:t xml:space="preserve">                               年   月   日</w:t>
            </w:r>
          </w:p>
        </w:tc>
      </w:tr>
    </w:tbl>
    <w:p>
      <w:pPr>
        <w:pageBreakBefore w:val="0"/>
        <w:kinsoku/>
        <w:wordWrap/>
        <w:overflowPunct/>
        <w:topLinePunct w:val="0"/>
        <w:autoSpaceDE/>
        <w:autoSpaceDN/>
        <w:bidi w:val="0"/>
        <w:jc w:val="left"/>
        <w:outlineLvl w:val="9"/>
        <w:rPr>
          <w:rFonts w:hint="eastAsia" w:ascii="仿宋_GB2312" w:eastAsia="仿宋_GB2312"/>
          <w:bCs/>
          <w:szCs w:val="28"/>
        </w:rPr>
      </w:pPr>
      <w:r>
        <w:rPr>
          <w:rFonts w:hint="eastAsia" w:ascii="仿宋_GB2312" w:eastAsia="仿宋_GB2312"/>
          <w:bCs/>
          <w:szCs w:val="28"/>
        </w:rPr>
        <w:t>注：本表一式二份，人事处和用人部门各存一份。</w:t>
      </w:r>
    </w:p>
    <w:p>
      <w:pPr>
        <w:pageBreakBefore w:val="0"/>
        <w:kinsoku/>
        <w:wordWrap/>
        <w:overflowPunct/>
        <w:topLinePunct w:val="0"/>
        <w:autoSpaceDE/>
        <w:autoSpaceDN/>
        <w:bidi w:val="0"/>
        <w:spacing w:line="596" w:lineRule="exact"/>
        <w:jc w:val="left"/>
        <w:outlineLvl w:val="9"/>
        <w:rPr>
          <w:rFonts w:ascii="黑体" w:hAnsi="Calibri" w:eastAsia="黑体"/>
          <w:sz w:val="32"/>
          <w:szCs w:val="32"/>
        </w:rPr>
      </w:pPr>
      <w:r>
        <w:rPr>
          <w:rFonts w:hint="eastAsia" w:ascii="黑体" w:hAnsi="Calibri" w:eastAsia="黑体"/>
          <w:sz w:val="32"/>
          <w:szCs w:val="32"/>
        </w:rPr>
        <w:t>附件4:</w:t>
      </w:r>
    </w:p>
    <w:p>
      <w:pPr>
        <w:pageBreakBefore w:val="0"/>
        <w:kinsoku/>
        <w:wordWrap/>
        <w:overflowPunct/>
        <w:topLinePunct w:val="0"/>
        <w:autoSpaceDE/>
        <w:autoSpaceDN/>
        <w:bidi w:val="0"/>
        <w:spacing w:line="360" w:lineRule="auto"/>
        <w:jc w:val="center"/>
        <w:outlineLvl w:val="9"/>
        <w:rPr>
          <w:rFonts w:hint="eastAsia" w:ascii="Calibri" w:hAnsi="Calibri"/>
          <w:b/>
          <w:color w:val="000000"/>
          <w:sz w:val="36"/>
          <w:szCs w:val="36"/>
        </w:rPr>
      </w:pPr>
      <w:r>
        <w:rPr>
          <w:rFonts w:hint="eastAsia" w:ascii="Calibri" w:hAnsi="Calibri"/>
          <w:b/>
          <w:color w:val="000000"/>
          <w:sz w:val="36"/>
          <w:szCs w:val="36"/>
        </w:rPr>
        <w:t>柳州职业技术学院柔性引进人才聘期考核表</w:t>
      </w:r>
    </w:p>
    <w:tbl>
      <w:tblPr>
        <w:tblStyle w:val="17"/>
        <w:tblW w:w="9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5"/>
        <w:gridCol w:w="746"/>
        <w:gridCol w:w="438"/>
        <w:gridCol w:w="645"/>
        <w:gridCol w:w="870"/>
        <w:gridCol w:w="838"/>
        <w:gridCol w:w="857"/>
        <w:gridCol w:w="530"/>
        <w:gridCol w:w="825"/>
        <w:gridCol w:w="869"/>
        <w:gridCol w:w="13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2"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姓名</w:t>
            </w:r>
          </w:p>
        </w:tc>
        <w:tc>
          <w:tcPr>
            <w:tcW w:w="1184"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6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性别</w:t>
            </w:r>
          </w:p>
        </w:tc>
        <w:tc>
          <w:tcPr>
            <w:tcW w:w="87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838"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出生年月</w:t>
            </w:r>
          </w:p>
        </w:tc>
        <w:tc>
          <w:tcPr>
            <w:tcW w:w="85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53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职称</w:t>
            </w:r>
          </w:p>
        </w:tc>
        <w:tc>
          <w:tcPr>
            <w:tcW w:w="82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869"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学历学位</w:t>
            </w:r>
          </w:p>
        </w:tc>
        <w:tc>
          <w:tcPr>
            <w:tcW w:w="131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5"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研究领域</w:t>
            </w:r>
          </w:p>
        </w:tc>
        <w:tc>
          <w:tcPr>
            <w:tcW w:w="18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87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工作单位</w:t>
            </w:r>
          </w:p>
        </w:tc>
        <w:tc>
          <w:tcPr>
            <w:tcW w:w="2225"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c>
          <w:tcPr>
            <w:tcW w:w="82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联系方式</w:t>
            </w:r>
          </w:p>
        </w:tc>
        <w:tc>
          <w:tcPr>
            <w:tcW w:w="2182"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5" w:hRule="atLeast"/>
          <w:jc w:val="center"/>
        </w:trPr>
        <w:tc>
          <w:tcPr>
            <w:tcW w:w="2091"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用人部门</w:t>
            </w:r>
          </w:p>
        </w:tc>
        <w:tc>
          <w:tcPr>
            <w:tcW w:w="7185"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50"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聘期工作</w:t>
            </w: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总结</w:t>
            </w:r>
          </w:p>
        </w:tc>
        <w:tc>
          <w:tcPr>
            <w:tcW w:w="7931" w:type="dxa"/>
            <w:gridSpan w:val="10"/>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请围绕合同目标任务完成情况和对学校实际贡献等方面阐述。</w:t>
            </w: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outlineLvl w:val="9"/>
              <w:rPr>
                <w:rFonts w:hint="eastAsia" w:ascii="仿宋_GB2312" w:eastAsia="仿宋_GB2312"/>
                <w:bCs/>
                <w:szCs w:val="28"/>
              </w:rPr>
            </w:pPr>
          </w:p>
          <w:p>
            <w:pPr>
              <w:pageBreakBefore w:val="0"/>
              <w:kinsoku/>
              <w:wordWrap/>
              <w:overflowPunct/>
              <w:topLinePunct w:val="0"/>
              <w:autoSpaceDE/>
              <w:autoSpaceDN/>
              <w:bidi w:val="0"/>
              <w:spacing w:line="420" w:lineRule="exact"/>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 xml:space="preserve"> </w:t>
            </w: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 xml:space="preserve">                    本人签字：</w:t>
            </w: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0" w:hRule="atLeast"/>
          <w:jc w:val="center"/>
        </w:trPr>
        <w:tc>
          <w:tcPr>
            <w:tcW w:w="1345" w:type="dxa"/>
            <w:tcBorders>
              <w:top w:val="single" w:color="auto" w:sz="4" w:space="0"/>
              <w:left w:val="single" w:color="auto" w:sz="6"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ascii="宋体" w:hAnsi="宋体"/>
                <w:sz w:val="24"/>
              </w:rPr>
            </w:pPr>
            <w:r>
              <w:rPr>
                <w:rFonts w:hint="eastAsia" w:ascii="仿宋_GB2312" w:eastAsia="仿宋_GB2312"/>
                <w:bCs/>
                <w:szCs w:val="28"/>
              </w:rPr>
              <w:t>用人部门考核意见</w:t>
            </w:r>
          </w:p>
        </w:tc>
        <w:tc>
          <w:tcPr>
            <w:tcW w:w="7931" w:type="dxa"/>
            <w:gridSpan w:val="10"/>
            <w:tcBorders>
              <w:top w:val="single" w:color="auto" w:sz="4" w:space="0"/>
              <w:left w:val="single" w:color="auto" w:sz="4" w:space="0"/>
              <w:bottom w:val="single" w:color="auto" w:sz="4" w:space="0"/>
              <w:right w:val="single" w:color="auto" w:sz="6" w:space="0"/>
            </w:tcBorders>
          </w:tcPr>
          <w:p>
            <w:pPr>
              <w:pageBreakBefore w:val="0"/>
              <w:kinsoku/>
              <w:wordWrap/>
              <w:overflowPunct/>
              <w:topLinePunct w:val="0"/>
              <w:autoSpaceDE/>
              <w:autoSpaceDN/>
              <w:bidi w:val="0"/>
              <w:spacing w:line="420" w:lineRule="exact"/>
              <w:jc w:val="left"/>
              <w:outlineLvl w:val="9"/>
              <w:rPr>
                <w:rFonts w:hint="eastAsia" w:ascii="仿宋_GB2312" w:eastAsia="仿宋_GB2312"/>
                <w:bCs/>
                <w:szCs w:val="28"/>
              </w:rPr>
            </w:pPr>
            <w:r>
              <w:rPr>
                <w:rFonts w:hint="eastAsia" w:ascii="仿宋_GB2312" w:eastAsia="仿宋_GB2312"/>
                <w:bCs/>
                <w:szCs w:val="28"/>
              </w:rPr>
              <w:t>对照合同条款进行评价、考核，综合评价柔性引进人才聘期工作情况，确定聘期考核结果（优秀、合格或不合格），并提出是否续聘建议。</w:t>
            </w: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ind w:firstLine="480" w:firstLineChars="200"/>
              <w:outlineLvl w:val="9"/>
              <w:rPr>
                <w:rFonts w:ascii="宋体" w:hAnsi="宋体"/>
                <w:sz w:val="24"/>
              </w:rPr>
            </w:pPr>
          </w:p>
          <w:p>
            <w:pPr>
              <w:pageBreakBefore w:val="0"/>
              <w:kinsoku/>
              <w:wordWrap/>
              <w:overflowPunct/>
              <w:topLinePunct w:val="0"/>
              <w:autoSpaceDE/>
              <w:autoSpaceDN/>
              <w:bidi w:val="0"/>
              <w:spacing w:line="420" w:lineRule="exact"/>
              <w:jc w:val="center"/>
              <w:outlineLvl w:val="9"/>
              <w:rPr>
                <w:rFonts w:hint="eastAsia" w:ascii="仿宋_GB2312" w:eastAsia="仿宋_GB2312"/>
                <w:bCs/>
                <w:szCs w:val="28"/>
              </w:rPr>
            </w:pPr>
            <w:r>
              <w:rPr>
                <w:rFonts w:hint="eastAsia" w:ascii="仿宋_GB2312" w:eastAsia="仿宋_GB2312"/>
                <w:bCs/>
                <w:szCs w:val="28"/>
              </w:rPr>
              <w:t xml:space="preserve">                  用人部门（公章）：    </w:t>
            </w:r>
          </w:p>
          <w:p>
            <w:pPr>
              <w:pageBreakBefore w:val="0"/>
              <w:kinsoku/>
              <w:wordWrap/>
              <w:overflowPunct/>
              <w:topLinePunct w:val="0"/>
              <w:autoSpaceDE/>
              <w:autoSpaceDN/>
              <w:bidi w:val="0"/>
              <w:spacing w:line="420" w:lineRule="exact"/>
              <w:jc w:val="center"/>
              <w:outlineLvl w:val="9"/>
              <w:rPr>
                <w:rFonts w:ascii="宋体" w:hAnsi="宋体"/>
                <w:sz w:val="24"/>
              </w:rPr>
            </w:pPr>
            <w:r>
              <w:rPr>
                <w:rFonts w:hint="eastAsia" w:ascii="仿宋_GB2312" w:eastAsia="仿宋_GB2312"/>
                <w:bCs/>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5" w:hRule="atLeast"/>
          <w:jc w:val="center"/>
        </w:trPr>
        <w:tc>
          <w:tcPr>
            <w:tcW w:w="1345" w:type="dxa"/>
            <w:tcBorders>
              <w:top w:val="single" w:color="auto" w:sz="4" w:space="0"/>
              <w:left w:val="single" w:color="auto" w:sz="6" w:space="0"/>
              <w:bottom w:val="single" w:color="auto" w:sz="4" w:space="0"/>
              <w:right w:val="single" w:color="auto" w:sz="4" w:space="0"/>
            </w:tcBorders>
            <w:vAlign w:val="center"/>
          </w:tcPr>
          <w:p>
            <w:pPr>
              <w:pageBreakBefore w:val="0"/>
              <w:kinsoku/>
              <w:wordWrap/>
              <w:overflowPunct/>
              <w:topLinePunct w:val="0"/>
              <w:autoSpaceDE/>
              <w:autoSpaceDN/>
              <w:bidi w:val="0"/>
              <w:spacing w:line="420" w:lineRule="exact"/>
              <w:jc w:val="center"/>
              <w:outlineLvl w:val="9"/>
              <w:rPr>
                <w:rFonts w:ascii="宋体" w:hAnsi="宋体"/>
                <w:sz w:val="24"/>
              </w:rPr>
            </w:pPr>
            <w:r>
              <w:rPr>
                <w:rFonts w:hint="eastAsia" w:ascii="仿宋_GB2312" w:eastAsia="仿宋_GB2312"/>
                <w:bCs/>
                <w:szCs w:val="28"/>
              </w:rPr>
              <w:t>学校意见</w:t>
            </w:r>
          </w:p>
        </w:tc>
        <w:tc>
          <w:tcPr>
            <w:tcW w:w="7931" w:type="dxa"/>
            <w:gridSpan w:val="10"/>
            <w:tcBorders>
              <w:top w:val="single" w:color="auto" w:sz="4" w:space="0"/>
              <w:left w:val="single" w:color="auto" w:sz="4" w:space="0"/>
              <w:bottom w:val="single" w:color="auto" w:sz="4" w:space="0"/>
              <w:right w:val="single" w:color="auto" w:sz="6" w:space="0"/>
            </w:tcBorders>
          </w:tcPr>
          <w:p>
            <w:pPr>
              <w:pageBreakBefore w:val="0"/>
              <w:tabs>
                <w:tab w:val="left" w:pos="8712"/>
              </w:tabs>
              <w:kinsoku/>
              <w:wordWrap/>
              <w:overflowPunct/>
              <w:topLinePunct w:val="0"/>
              <w:autoSpaceDE/>
              <w:autoSpaceDN/>
              <w:bidi w:val="0"/>
              <w:spacing w:line="420" w:lineRule="exact"/>
              <w:ind w:right="50"/>
              <w:outlineLvl w:val="9"/>
              <w:rPr>
                <w:rFonts w:ascii="宋体" w:hAnsi="宋体"/>
                <w:sz w:val="24"/>
              </w:rPr>
            </w:pPr>
          </w:p>
          <w:p>
            <w:pPr>
              <w:pageBreakBefore w:val="0"/>
              <w:tabs>
                <w:tab w:val="left" w:pos="8712"/>
              </w:tabs>
              <w:kinsoku/>
              <w:wordWrap/>
              <w:overflowPunct/>
              <w:topLinePunct w:val="0"/>
              <w:autoSpaceDE/>
              <w:autoSpaceDN/>
              <w:bidi w:val="0"/>
              <w:spacing w:line="420" w:lineRule="exact"/>
              <w:ind w:right="50"/>
              <w:outlineLvl w:val="9"/>
              <w:rPr>
                <w:rFonts w:ascii="宋体" w:hAnsi="宋体"/>
                <w:sz w:val="24"/>
              </w:rPr>
            </w:pPr>
          </w:p>
          <w:p>
            <w:pPr>
              <w:pageBreakBefore w:val="0"/>
              <w:tabs>
                <w:tab w:val="left" w:pos="8712"/>
              </w:tabs>
              <w:kinsoku/>
              <w:wordWrap/>
              <w:overflowPunct/>
              <w:topLinePunct w:val="0"/>
              <w:autoSpaceDE/>
              <w:autoSpaceDN/>
              <w:bidi w:val="0"/>
              <w:spacing w:line="420" w:lineRule="exact"/>
              <w:ind w:right="50"/>
              <w:outlineLvl w:val="9"/>
              <w:rPr>
                <w:rFonts w:ascii="宋体" w:hAnsi="宋体"/>
                <w:sz w:val="24"/>
              </w:rPr>
            </w:pPr>
          </w:p>
          <w:p>
            <w:pPr>
              <w:pageBreakBefore w:val="0"/>
              <w:tabs>
                <w:tab w:val="left" w:pos="8712"/>
              </w:tabs>
              <w:kinsoku/>
              <w:wordWrap/>
              <w:overflowPunct/>
              <w:topLinePunct w:val="0"/>
              <w:autoSpaceDE/>
              <w:autoSpaceDN/>
              <w:bidi w:val="0"/>
              <w:spacing w:line="420" w:lineRule="exact"/>
              <w:ind w:right="50"/>
              <w:outlineLvl w:val="9"/>
              <w:rPr>
                <w:rFonts w:ascii="宋体" w:hAnsi="宋体"/>
                <w:sz w:val="24"/>
              </w:rPr>
            </w:pPr>
          </w:p>
          <w:p>
            <w:pPr>
              <w:pageBreakBefore w:val="0"/>
              <w:tabs>
                <w:tab w:val="left" w:pos="8712"/>
              </w:tabs>
              <w:kinsoku/>
              <w:wordWrap/>
              <w:overflowPunct/>
              <w:topLinePunct w:val="0"/>
              <w:autoSpaceDE/>
              <w:autoSpaceDN/>
              <w:bidi w:val="0"/>
              <w:spacing w:line="420" w:lineRule="exact"/>
              <w:ind w:right="410"/>
              <w:jc w:val="center"/>
              <w:outlineLvl w:val="9"/>
              <w:rPr>
                <w:rFonts w:ascii="宋体" w:hAnsi="宋体"/>
                <w:sz w:val="24"/>
              </w:rPr>
            </w:pPr>
            <w:r>
              <w:rPr>
                <w:rFonts w:hint="eastAsia" w:ascii="仿宋_GB2312" w:eastAsia="仿宋_GB2312"/>
                <w:bCs/>
                <w:szCs w:val="28"/>
              </w:rPr>
              <w:t xml:space="preserve">                                年   月   日</w:t>
            </w:r>
          </w:p>
        </w:tc>
      </w:tr>
    </w:tbl>
    <w:p>
      <w:pPr>
        <w:pageBreakBefore w:val="0"/>
        <w:kinsoku/>
        <w:wordWrap/>
        <w:overflowPunct/>
        <w:topLinePunct w:val="0"/>
        <w:autoSpaceDE/>
        <w:autoSpaceDN/>
        <w:bidi w:val="0"/>
        <w:spacing w:line="360" w:lineRule="exact"/>
        <w:jc w:val="left"/>
        <w:outlineLvl w:val="9"/>
        <w:rPr>
          <w:rFonts w:hint="eastAsia" w:ascii="仿宋_GB2312" w:eastAsia="仿宋_GB2312"/>
          <w:bCs/>
          <w:szCs w:val="28"/>
        </w:rPr>
      </w:pPr>
      <w:r>
        <w:rPr>
          <w:rFonts w:hint="eastAsia" w:ascii="仿宋_GB2312" w:eastAsia="仿宋_GB2312"/>
          <w:bCs/>
          <w:szCs w:val="28"/>
        </w:rPr>
        <w:t>注：本表一式二份，人事处和用人部门各存一份。</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bookmarkStart w:id="325" w:name="_Toc4144"/>
    </w:p>
    <w:p>
      <w:pPr>
        <w:pageBreakBefore w:val="0"/>
        <w:kinsoku/>
        <w:wordWrap/>
        <w:overflowPunct/>
        <w:topLinePunct w:val="0"/>
        <w:autoSpaceDE/>
        <w:autoSpaceDN/>
        <w:bidi w:val="0"/>
        <w:spacing w:line="596" w:lineRule="exact"/>
        <w:jc w:val="center"/>
        <w:outlineLvl w:val="9"/>
        <w:rPr>
          <w:rFonts w:hint="eastAsia"/>
          <w:b/>
          <w:color w:val="000000"/>
          <w:sz w:val="36"/>
          <w:szCs w:val="36"/>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26" w:name="_Toc32479"/>
      <w:bookmarkStart w:id="327" w:name="_Toc5696"/>
      <w:bookmarkStart w:id="328" w:name="_Toc7078"/>
      <w:r>
        <w:rPr>
          <w:rFonts w:hint="eastAsia" w:ascii="Calibri" w:hAnsi="Calibri"/>
          <w:b/>
          <w:color w:val="000000"/>
          <w:sz w:val="36"/>
          <w:szCs w:val="36"/>
        </w:rPr>
        <w:t>柳州职业技术学院教职工攻读博士学位管理办法</w:t>
      </w:r>
      <w:bookmarkEnd w:id="325"/>
      <w:bookmarkEnd w:id="326"/>
      <w:bookmarkEnd w:id="327"/>
      <w:bookmarkEnd w:id="328"/>
    </w:p>
    <w:p>
      <w:pPr>
        <w:pageBreakBefore w:val="0"/>
        <w:widowControl/>
        <w:kinsoku/>
        <w:wordWrap/>
        <w:overflowPunct/>
        <w:topLinePunct w:val="0"/>
        <w:autoSpaceDE/>
        <w:autoSpaceDN/>
        <w:bidi w:val="0"/>
        <w:jc w:val="center"/>
        <w:outlineLvl w:val="9"/>
        <w:rPr>
          <w:rFonts w:hint="eastAsia" w:ascii="仿宋_GB2312" w:eastAsia="仿宋_GB2312"/>
          <w:sz w:val="32"/>
          <w:szCs w:val="32"/>
        </w:rPr>
      </w:pPr>
      <w:r>
        <w:rPr>
          <w:rFonts w:hint="eastAsia" w:ascii="仿宋_GB2312" w:eastAsia="仿宋_GB2312"/>
          <w:sz w:val="32"/>
          <w:szCs w:val="32"/>
        </w:rPr>
        <w:t>(柳职院字〔2021〕38 号)</w:t>
      </w:r>
    </w:p>
    <w:p>
      <w:pPr>
        <w:pageBreakBefore w:val="0"/>
        <w:kinsoku/>
        <w:wordWrap/>
        <w:overflowPunct/>
        <w:topLinePunct w:val="0"/>
        <w:autoSpaceDE/>
        <w:autoSpaceDN/>
        <w:bidi w:val="0"/>
        <w:spacing w:line="500" w:lineRule="exact"/>
        <w:contextualSpacing/>
        <w:outlineLvl w:val="9"/>
        <w:rPr>
          <w:rFonts w:ascii="宋体" w:hAnsi="宋体"/>
          <w:szCs w:val="28"/>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为大力实施人才强校战略，鼓励和支持教职工提升学历学位，建设一支适应学校发展需要的结构合理、素质优良的师资队伍，提高学校人才培养质量和整体办学水平，特制订如下管理办法。</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一、基本原则</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（一）学以致用，按需培养。</w:t>
      </w:r>
      <w:r>
        <w:rPr>
          <w:rFonts w:hint="eastAsia" w:ascii="仿宋_GB2312" w:eastAsia="仿宋_GB2312"/>
          <w:sz w:val="32"/>
          <w:szCs w:val="32"/>
        </w:rPr>
        <w:t>教职工攻读博士学位应适应学校专业建设发展和紧缺人才培养的需要，报读的专业或研究方向应与本人所从事的工作、专业(学科)相同或相近，确保学成返校后能最大限度地发挥作用。</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（二）着眼未来，择优选派。</w:t>
      </w:r>
      <w:r>
        <w:rPr>
          <w:rFonts w:hint="eastAsia" w:ascii="仿宋_GB2312" w:eastAsia="仿宋_GB2312"/>
          <w:sz w:val="32"/>
          <w:szCs w:val="32"/>
        </w:rPr>
        <w:t>在保证工作正常运转的前提下，根据师资队伍年度培养计划，分期分批选派教职工攻读博士学位；优先选派工作业绩突出、发展潜力较大、能在学校专业（学科）建设中担当重任的中青年教师。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（三）严格管理，注重实效。</w:t>
      </w:r>
      <w:r>
        <w:rPr>
          <w:rFonts w:hint="eastAsia" w:ascii="仿宋_GB2312" w:eastAsia="仿宋_GB2312"/>
          <w:sz w:val="32"/>
          <w:szCs w:val="32"/>
        </w:rPr>
        <w:t>关注教职工攻读博士学位全过程的考核管理工作，最大限度保证教职工学有所成、服务学校建设发展。</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二、申请条件</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（一）申请对象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b/>
          <w:bCs/>
          <w:sz w:val="32"/>
          <w:szCs w:val="32"/>
        </w:rPr>
      </w:pPr>
      <w:r>
        <w:rPr>
          <w:rFonts w:hint="eastAsia" w:ascii="仿宋_GB2312" w:eastAsia="仿宋_GB2312"/>
          <w:sz w:val="32"/>
          <w:szCs w:val="32"/>
        </w:rPr>
        <w:t>我校在岗的事业编制（包括实名编和聘用人员控制数）教职工。</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（二）申请报考博士学位的教职工须符合以下条件：</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1.拥护党的路线、方针、政策，思想品德好，遵纪守法，爱岗敬业，上进心强。</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2.在校工作满1年，且近五年年度考核结果为合格及以上等次。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3.年龄一般不超过45周岁。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4.身心健康。</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5.攻读博士学位需要的其他条件。</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三、培养途径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教职工攻读博士学位主要通过以下途径：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（一）在职攻读国内高校统招的定向或者委托培养的博士研究生。</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（二）在职攻读境外高校博士研究生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（三）在职非全脱产攻读国外高校博士研究生。</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（四）在职攻读上级单位遴选的博士研究生培养项目。</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四、审批程序</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（一）个人申请。</w:t>
      </w:r>
      <w:r>
        <w:rPr>
          <w:rFonts w:hint="eastAsia" w:ascii="仿宋_GB2312" w:eastAsia="仿宋_GB2312"/>
          <w:sz w:val="32"/>
          <w:szCs w:val="32"/>
        </w:rPr>
        <w:t>拟攻读博士学位的教职工应在报名前10个工作日提出攻读博士学位申请。</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（二）部门审核。</w:t>
      </w:r>
      <w:r>
        <w:rPr>
          <w:rFonts w:hint="eastAsia" w:ascii="仿宋_GB2312" w:eastAsia="仿宋_GB2312"/>
          <w:sz w:val="32"/>
          <w:szCs w:val="32"/>
        </w:rPr>
        <w:t>教职工所在部门根据年度教职工培养计划、专业建设情况等提出意见；辅导员还需要学生工作处提出意见；申请在职出国（境）攻读博士学位的教职工，还需要国际交流处提出意见；若是科级及以上干部，须按学校干部管理权限和程序审批。</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（三）资格审查。</w:t>
      </w:r>
      <w:r>
        <w:rPr>
          <w:rFonts w:hint="eastAsia" w:ascii="仿宋_GB2312" w:eastAsia="仿宋_GB2312"/>
          <w:sz w:val="32"/>
          <w:szCs w:val="32"/>
        </w:rPr>
        <w:t>人事处会同相关部门对申请人的资格及有关事项进行审查。</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（四）研究决定。</w:t>
      </w:r>
      <w:r>
        <w:rPr>
          <w:rFonts w:hint="eastAsia" w:ascii="仿宋_GB2312" w:eastAsia="仿宋_GB2312"/>
          <w:sz w:val="32"/>
          <w:szCs w:val="32"/>
        </w:rPr>
        <w:t>申请在国内攻读博士学位的，由教职工所在部门的分管校领导和分管人事工作的校领导审批；申请到国（境）外攻读博士学位的，经教职工所在部门分管校领导和分管人事工作的校领导审批后，提交学校研究决定。</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（五）办理手续。</w:t>
      </w:r>
      <w:r>
        <w:rPr>
          <w:rFonts w:hint="eastAsia" w:ascii="仿宋_GB2312" w:eastAsia="仿宋_GB2312"/>
          <w:sz w:val="32"/>
          <w:szCs w:val="32"/>
        </w:rPr>
        <w:t>学校审批后，由人事处统一办理相关手续。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攻读上级单位遴选的博士研究生培养项目的，按照有关文件要求办理审批手续。</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五、学习时间及相关待遇</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（一）学习时间</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攻读博士学位全脱产学习时间一般为4年，确因需要延长全脱产学习时间的，经学校批准可延期1年；非全脱产学习，一般在寒暑假进行，确因需要占用上班时间，原则上1年不得超过45天。</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（二）相关待遇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1.工资待遇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在职全脱产攻读博士学位的，脱产学习期间，全额发放岗位工资、薪级工资、基础性绩效、公积金、工会福利、物业补贴，发放时间为4年，确因需要延长脱产学习时间的，经批准可延期发放1年。脱产学习期间，不发食材补贴，校内奖励性绩效等暂停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（2）在职非全脱产攻读博士学位的，在学校规定的工作日内正常工作的，享受相应的工资福利待遇。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学校报销攻读博士学位的学费、住宿费、交通费、学习资料费等培养费用，报销上限为15万元。培养费用原则上在取得博士学位证书回校报到后报销。确因经济困难需要，可以借支方式提前支付，但每年支付数额原则上不超过5万元。</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3.取得博士学位后，学校发给安家费，安家费数额为取得博士学位当年学校引进博士相关标准安家费减去实际报销的培养费用。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4.取得博士学位证书后，按照学校当年引进博士相关标准给予科研启动经费。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攻读上级单位遴选的博士研究生培养项目的，相关待遇按照有关文件要求、参照学校相关规定执行。</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六、学习期间管理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经学校批准攻读博士学位的教职工，取得录取通知书后，须在15天内与学校签订培养服务协议。经学校同意攻读上级单位遴选的博士研究生培养项目的教职工，按照上级单位有关规定签订协议的同时，还要与学校签订培养服务协议，未签订培养服务协议的一律视为未经学校批准，学校从其离岗之日起按旷工处理，并停发所有待遇。</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（二）签订协议生效后，须到所在部门、人事处、教务与实训管理处、国际交流处等相关部门进行报备，并在学校办公系统办理教职工外出学习请假手续。</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教职工全脱产攻读博士学位的，脱产期间原则上不得为其安排工作任务。教职工非全脱产攻读博士学位的，应当正确处理好工作与学习之间的关系，认真完成工作和学习任务。教职工攻读博士学位期间，按归属部门参加教职工的年度考核。年度考核合格者，可参加正常晋升岗位等级和薪级工资；符合专业技术职务申报条件的，可申报高一级专业技术职务评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教职工攻读博士学位期间由所在部门负责日常管理，对事关教职工切身利益之重要事项，要及时告知。教职工应主动与所在部门加强联系，每学期期末以书面形式向所在部门及人事处汇报学习情况和考试（考核）结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（五）各派出部门应加强对攻读博士学位教职工的管理，对有严重违纪行为的人员应当终止其学习，并按学校有关规定予以处理。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（六）攻读博士学位的教职工，未经学校同意，不得擅自变更留学国（境）别、身份，不得擅自更改专业、学习期限、学习形式。</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七）攻读博士学位的教职工在学习期间，应当自觉维护国家和学校利益，保守国家秘密，爱护学校声誉，遵守所在地、国（境）当地的法律法规和校纪校规，不得从事与派出身份不相符的活动。尊重知识产权，恪守学术道德，努力学习。</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（八）教职工脱产学习期满，应当及时返校工作。脱产学习结束后一个月内不返校工作的，自下月起按照《事业单位人事管理条例》处理。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（九）教职工在国（境）外取得的学历、学位，需经过自治区级以上教育行政部门认证。</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（十）教职工取得博士学位后，应当及时携带毕业证、学位证以及国（境）外取得的学历学位认证材料原件到人事处和所在部门报到，并将相关材料交人事处存档。</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（十一）教职工在职攻读博士学位期间所发表的论文、立项的科研课题、获得的成果必须同时以柳州职业技术学院为承担单位，对于符合学校科研业绩奖励办法的，给予相应奖励。</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七、服务期限与违约责任</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（一）教职工攻读博士学位前，必须与学校签订培养服务协议，服务期限为5年或8年，并取得相应业绩成果，具体以协议内容为准。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（二）攻读博士学位的教职工，有下列情形的，视为违约： </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1.教职工攻读博士学位期间未经学校同意，擅自变更留学国（境）别、身份、学习计划，或者从事规定以外的工作；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2.脱产学习期满不按时返校工作；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3.未能在规定的学习期限内完成学业；</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4.学成后未按期返校工作；</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5.服务期未满、因个人原因提出调离学校的；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6.未履行服务协议规定的其它内容。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（三）有违约情形的，按以下办法处理：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全脱产攻读博士学位的教职工，需退回在全脱产学习期间学校支付的所有费用（基本工资、薪级工资、基础性绩效、公积金、工会福利、物业补贴、培养费用等），同时按学校支付培养费用1:1标准向学校支付违约金，具体以实际服务年限扣减；</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2.非全脱产攻读博士学位的教职工，需退回学校支付的培养费，同时按学校支付培养费用1:1标准向学校支付违约金，具体以实际服务年限扣减。</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八、附则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（一）本办法由学校人事处负责解释。</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（二）2020年9月1日后获得博士学位的教职工可参照按本办法执行。</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bCs/>
          <w:sz w:val="32"/>
          <w:szCs w:val="32"/>
        </w:rPr>
      </w:pPr>
      <w:r>
        <w:rPr>
          <w:rFonts w:hint="eastAsia" w:ascii="仿宋_GB2312" w:eastAsia="仿宋_GB2312"/>
          <w:sz w:val="32"/>
          <w:szCs w:val="32"/>
        </w:rPr>
        <w:t>（三）本办法自发文之日起实施，此文发布前所有关于教职工攻读博士学位的相关规定同时废止。</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rPr>
      </w:pPr>
      <w:bookmarkStart w:id="329" w:name="_Toc18196"/>
      <w:bookmarkStart w:id="330" w:name="_Toc30532"/>
      <w:bookmarkStart w:id="331" w:name="_Toc744"/>
      <w:bookmarkStart w:id="332" w:name="_Toc23570"/>
      <w:r>
        <w:rPr>
          <w:rFonts w:hint="eastAsia" w:ascii="Calibri" w:hAnsi="Calibri"/>
          <w:b/>
          <w:color w:val="000000"/>
          <w:sz w:val="36"/>
          <w:szCs w:val="36"/>
        </w:rPr>
        <w:t>柳州职业技术学院思想政治理论课专职教师岗位奖励绩效发放管理办法</w:t>
      </w:r>
      <w:bookmarkEnd w:id="329"/>
      <w:bookmarkEnd w:id="330"/>
      <w:bookmarkEnd w:id="331"/>
      <w:bookmarkEnd w:id="332"/>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（柳职院字〔2021〕57 号）</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进一步促进新时代思想政治理论课专职教师队伍建设，推动思政课专职教师全面提升课堂教学质量和教学实效性并切实履行参与学校立德树人及大思政工作格局构建工作职责，根据教育部印发的《新时代高等学校思想政治理论课教师队伍建设规定》（教育部令第46号），自治区党委办公厅、自治区人民政府办公厅印发《关于深化新时代学校思想政治理论课改革创新的若干措施》（厅发〔2019〕146号）、《贯彻落实教育部〈新时代高等学校思想政治理论课教师队伍建设规定〉的实施细则》（桂教工委宣〔2020〕4号）等文件精神，结合学校实际，制定本管理办法。</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思想政治理论课专职教师岗位奖励绩效范围为学校人事处核定、编制在马克思主义学院、承担思想政治理论课教学任务的专职教师。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第三条</w:t>
      </w:r>
      <w:r>
        <w:rPr>
          <w:rFonts w:hint="eastAsia" w:ascii="仿宋_GB2312" w:eastAsia="仿宋_GB2312"/>
          <w:sz w:val="32"/>
          <w:szCs w:val="32"/>
        </w:rPr>
        <w:t xml:space="preserve">  岗位奖励绩效总量学校按人均每月2000元计算下拨，每年按10个月发放。</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岗位奖励绩效=基础绩效占绩效总额的70%+奖励绩效占绩效总额的30%。</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1.基础绩效的发放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基础绩效占绩效总额的70%。按照每人每月1400元，按月发放到个人账户。每年的3月--7月和9月--次年的1月，共10个月。不分职务、职称平均发放。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2.奖励绩效的发放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（1）奖励绩效占绩效总额的30%。每年7月和次年1月发放，分两次发放。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思想政治理论课专职教师按照《柳州职业技术学院思政课教师奖励性岗位津贴发放考核评价表》各项目申报，得出个人积分和个人系数，经马克思主义学院核定后，结合教师出勤情况。按照如下办法计算教师个人奖励绩效。奖励绩效计算公式：</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个人奖励绩效金额=基数X个人系数；</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基数=学校划拨奖励绩效占绩效总额的30%/总系数。</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（3）绩效考核指标体系主要包括思政课教师教学教改、参与学校大思政格局构建工作职责履行、科研工作、社会服务、党建工作以及其他工作、特别贡献、扣分情况等方面的内容。</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每学期核定奖励绩效时，根据学校和马克思主义学院本学期的工作实际，围绕所确定的绩效考核指标体系内容，确定本学期具体的考核指标和系数标准。马克思主义学院教职工大会2/3票数表决通过，方可执行。</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第五条</w:t>
      </w:r>
      <w:r>
        <w:rPr>
          <w:rFonts w:hint="eastAsia" w:ascii="仿宋_GB2312" w:eastAsia="仿宋_GB2312"/>
          <w:sz w:val="32"/>
          <w:szCs w:val="32"/>
        </w:rPr>
        <w:t xml:space="preserve">  认真贯彻落实《关于印发&lt;柳州职业技术学院教师职业道德考核办法&gt;和&lt;柳州职业技术学院教师职业道德负面清单和失范行为处理办法&gt;的通知》（柳职院字〔2021〕55号）等学校相关管理制度，对在教育教学活动中损害党中央权威、违背党的路线方针政策者，对有严重师德和学术道德失范行为、影响恶劣者，按有关规定予以党纪处分、行政处分、撤销教师资格、解聘等处理，涉及违法犯罪的及时移交司法部门处理。上述行为被认定后停发当年全部岗位奖励绩效。</w:t>
      </w:r>
    </w:p>
    <w:p>
      <w:pPr>
        <w:pageBreakBefore w:val="0"/>
        <w:kinsoku/>
        <w:wordWrap/>
        <w:overflowPunct/>
        <w:topLinePunct w:val="0"/>
        <w:autoSpaceDE/>
        <w:autoSpaceDN/>
        <w:bidi w:val="0"/>
        <w:spacing w:line="596" w:lineRule="exact"/>
        <w:ind w:firstLine="643" w:firstLineChars="200"/>
        <w:outlineLvl w:val="9"/>
        <w:rPr>
          <w:rFonts w:hint="eastAsia" w:ascii="仿宋_GB2312" w:eastAsia="仿宋_GB2312"/>
          <w:sz w:val="32"/>
          <w:szCs w:val="32"/>
        </w:rPr>
      </w:pPr>
      <w:r>
        <w:rPr>
          <w:rFonts w:hint="eastAsia" w:ascii="仿宋_GB2312" w:eastAsia="仿宋_GB2312"/>
          <w:b/>
          <w:bCs/>
          <w:sz w:val="32"/>
          <w:szCs w:val="32"/>
        </w:rPr>
        <w:t xml:space="preserve">第六条 </w:t>
      </w:r>
      <w:r>
        <w:rPr>
          <w:rFonts w:hint="eastAsia" w:ascii="仿宋_GB2312" w:eastAsia="仿宋_GB2312"/>
          <w:sz w:val="32"/>
          <w:szCs w:val="32"/>
        </w:rPr>
        <w:t xml:space="preserve"> 本细则由人事处、马克思主义学院在各自的职责范围内负责解释。岗位奖励绩效考核工作由马克思主义学院组织实施。</w:t>
      </w:r>
    </w:p>
    <w:p>
      <w:pPr>
        <w:pageBreakBefore w:val="0"/>
        <w:kinsoku/>
        <w:wordWrap/>
        <w:overflowPunct/>
        <w:topLinePunct w:val="0"/>
        <w:autoSpaceDE/>
        <w:autoSpaceDN/>
        <w:bidi w:val="0"/>
        <w:spacing w:line="596" w:lineRule="exact"/>
        <w:ind w:firstLine="643" w:firstLineChars="200"/>
        <w:outlineLvl w:val="9"/>
        <w:rPr>
          <w:rFonts w:hint="eastAsia" w:eastAsia="黑体"/>
          <w:color w:val="000000"/>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本管理办法从2021年9月开始执行，原《关于印发&lt;柳州职业技术学院思想政治理论课教师岗位奖励绩效发放细则（试行）&gt;的通知》（柳职院党字〔2020〕35号）停止执行。</w:t>
      </w:r>
    </w:p>
    <w:p>
      <w:pPr>
        <w:pageBreakBefore w:val="0"/>
        <w:widowControl/>
        <w:kinsoku/>
        <w:wordWrap/>
        <w:overflowPunct/>
        <w:topLinePunct w:val="0"/>
        <w:autoSpaceDE/>
        <w:autoSpaceDN/>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Calibri" w:hAnsi="Calibri"/>
          <w:b/>
          <w:color w:val="000000"/>
          <w:sz w:val="36"/>
          <w:szCs w:val="36"/>
          <w:lang w:val="en-US" w:eastAsia="zh-CN"/>
        </w:rPr>
      </w:pPr>
      <w:bookmarkStart w:id="333" w:name="_Toc534379481"/>
      <w:bookmarkStart w:id="334" w:name="_Toc301"/>
      <w:bookmarkStart w:id="335" w:name="_Toc11781"/>
      <w:bookmarkStart w:id="336" w:name="_Toc27852"/>
      <w:r>
        <w:rPr>
          <w:rFonts w:hint="eastAsia" w:ascii="Calibri" w:hAnsi="Calibri"/>
          <w:b/>
          <w:color w:val="000000"/>
          <w:sz w:val="36"/>
          <w:szCs w:val="36"/>
          <w:lang w:val="en-US" w:eastAsia="zh-CN"/>
        </w:rPr>
        <w:t>柳州职业技术学院</w:t>
      </w:r>
      <w:bookmarkEnd w:id="333"/>
      <w:bookmarkStart w:id="337" w:name="_Toc534379482"/>
      <w:r>
        <w:rPr>
          <w:rFonts w:hint="eastAsia" w:ascii="Calibri" w:hAnsi="Calibri"/>
          <w:b/>
          <w:color w:val="000000"/>
          <w:sz w:val="36"/>
          <w:szCs w:val="36"/>
          <w:lang w:val="en-US" w:eastAsia="zh-CN"/>
        </w:rPr>
        <w:t>2018年绩效评估办法（试行）</w:t>
      </w:r>
      <w:bookmarkEnd w:id="334"/>
      <w:bookmarkEnd w:id="335"/>
      <w:bookmarkEnd w:id="336"/>
      <w:bookmarkEnd w:id="337"/>
    </w:p>
    <w:p>
      <w:pPr>
        <w:pageBreakBefore w:val="0"/>
        <w:kinsoku/>
        <w:wordWrap/>
        <w:overflowPunct/>
        <w:topLinePunct w:val="0"/>
        <w:autoSpaceDE/>
        <w:autoSpaceDN/>
        <w:bidi w:val="0"/>
        <w:jc w:val="center"/>
        <w:outlineLvl w:val="9"/>
        <w:rPr>
          <w:rFonts w:ascii="微软雅黑" w:hAnsi="微软雅黑" w:eastAsia="微软雅黑"/>
          <w:b/>
          <w:szCs w:val="28"/>
        </w:rPr>
      </w:pP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绩效管理是学校管理的重要职能之一，科学、公正、务实的绩效管理是提高部门、员工积极性和学校管理效益的有效手段。为了提高学校核心竞争力和可持续发展能力，保证学校战略目标的顺利达成，并在学校形成人人踏实肯干、人人追求卓越的氛围，特制定本绩效管理办法。</w:t>
      </w:r>
    </w:p>
    <w:p>
      <w:pPr>
        <w:pageBreakBefore w:val="0"/>
        <w:kinsoku/>
        <w:wordWrap/>
        <w:overflowPunct/>
        <w:topLinePunct w:val="0"/>
        <w:autoSpaceDE/>
        <w:autoSpaceDN/>
        <w:bidi w:val="0"/>
        <w:spacing w:line="560" w:lineRule="exact"/>
        <w:ind w:firstLine="643" w:firstLineChars="200"/>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一、目的</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（一）战略目的。</w:t>
      </w:r>
      <w:r>
        <w:rPr>
          <w:rFonts w:hint="eastAsia" w:ascii="仿宋_GB2312" w:hAnsi="仿宋_GB2312" w:eastAsia="仿宋_GB2312" w:cs="仿宋_GB2312"/>
          <w:kern w:val="0"/>
          <w:sz w:val="32"/>
          <w:szCs w:val="32"/>
          <w:lang w:bidi="ar"/>
        </w:rPr>
        <w:t>传递和落实学校的战略发展与运营目标，提升员工、部门和学校的绩效。</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（二）管理目的。</w:t>
      </w:r>
      <w:r>
        <w:rPr>
          <w:rFonts w:hint="eastAsia" w:ascii="仿宋_GB2312" w:hAnsi="仿宋_GB2312" w:eastAsia="仿宋_GB2312" w:cs="仿宋_GB2312"/>
          <w:kern w:val="0"/>
          <w:sz w:val="32"/>
          <w:szCs w:val="32"/>
          <w:lang w:bidi="ar"/>
        </w:rPr>
        <w:t>改善学校的管理流程，促进管理的科学化和规范化，客观、公正地评价员工、部门的绩效和贡献，提升教职员工士气和满意度，增进学校的凝聚力和向心力。</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（三）发展目的。</w:t>
      </w:r>
      <w:r>
        <w:rPr>
          <w:rFonts w:hint="eastAsia" w:ascii="仿宋_GB2312" w:hAnsi="仿宋_GB2312" w:eastAsia="仿宋_GB2312" w:cs="仿宋_GB2312"/>
          <w:kern w:val="0"/>
          <w:sz w:val="32"/>
          <w:szCs w:val="32"/>
          <w:lang w:bidi="ar"/>
        </w:rPr>
        <w:t>发现部门、员工自身优势与工作中存在的优势和不足，反馈部门、教职员工客观的绩效表现，有效提高教职员工的知识、技能和素质，激发教职员工潜能。</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二、原则</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（一）分层评估、突出实绩。</w:t>
      </w:r>
      <w:r>
        <w:rPr>
          <w:rFonts w:hint="eastAsia" w:ascii="仿宋_GB2312" w:hAnsi="仿宋_GB2312" w:eastAsia="仿宋_GB2312" w:cs="仿宋_GB2312"/>
          <w:kern w:val="0"/>
          <w:sz w:val="32"/>
          <w:szCs w:val="32"/>
          <w:lang w:bidi="ar"/>
        </w:rPr>
        <w:t>兼顾各部门的工作特点，实行分层、分类评估；以关键绩效为导向，体现工作质量，以工作实绩为重点，突出业绩贡献。</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（二）客观公正、权责下移。</w:t>
      </w:r>
      <w:r>
        <w:rPr>
          <w:rFonts w:hint="eastAsia" w:ascii="仿宋_GB2312" w:hAnsi="仿宋_GB2312" w:eastAsia="仿宋_GB2312" w:cs="仿宋_GB2312"/>
          <w:kern w:val="0"/>
          <w:sz w:val="32"/>
          <w:szCs w:val="32"/>
          <w:lang w:bidi="ar"/>
        </w:rPr>
        <w:t>充分发扬民主，广泛征求部门和教职工意见，确保教职工的参与权和监督权；分层评估，各负其责，管理重心下移，强化各部门在评估工作中的主体作用。</w:t>
      </w:r>
    </w:p>
    <w:p>
      <w:pPr>
        <w:pageBreakBefore w:val="0"/>
        <w:kinsoku/>
        <w:wordWrap/>
        <w:overflowPunct/>
        <w:topLinePunct w:val="0"/>
        <w:autoSpaceDE/>
        <w:autoSpaceDN/>
        <w:bidi w:val="0"/>
        <w:spacing w:line="560" w:lineRule="exact"/>
        <w:ind w:firstLine="643" w:firstLineChars="200"/>
        <w:outlineLvl w:val="9"/>
        <w:rPr>
          <w:rFonts w:ascii="仿宋_GB2312" w:hAnsi="仿宋_GB2312" w:eastAsia="仿宋_GB2312" w:cs="仿宋_GB2312"/>
          <w:kern w:val="0"/>
          <w:sz w:val="32"/>
          <w:szCs w:val="32"/>
          <w:lang w:bidi="ar"/>
        </w:rPr>
      </w:pPr>
      <w:r>
        <w:rPr>
          <w:rFonts w:hint="eastAsia" w:ascii="楷体_GB2312" w:hAnsi="仿宋_GB2312" w:eastAsia="楷体_GB2312" w:cs="仿宋_GB2312"/>
          <w:b/>
          <w:kern w:val="0"/>
          <w:sz w:val="32"/>
          <w:szCs w:val="32"/>
          <w:lang w:bidi="ar"/>
        </w:rPr>
        <w:t>（三）定性与定量评估相结合。</w:t>
      </w:r>
      <w:r>
        <w:rPr>
          <w:rFonts w:hint="eastAsia" w:ascii="仿宋_GB2312" w:hAnsi="仿宋_GB2312" w:eastAsia="仿宋_GB2312" w:cs="仿宋_GB2312"/>
          <w:kern w:val="0"/>
          <w:sz w:val="32"/>
          <w:szCs w:val="32"/>
          <w:lang w:bidi="ar"/>
        </w:rPr>
        <w:t>重点评估各部门和教职工在党建管理与服务、教育教学、学生管理与服务、科学研究和社会服务等方面取得的可量化的业绩贡献，同时充分考虑其履行职责的过程表现和实际效果。</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三、评估时间</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2018年绩效评估以自然年度为时间单位，即2018年1月1日至12月30日，半年根据实际进行一次中期评估。</w:t>
      </w:r>
    </w:p>
    <w:tbl>
      <w:tblPr>
        <w:tblStyle w:val="17"/>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1984"/>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60" w:hRule="atLeast"/>
          <w:jc w:val="center"/>
        </w:trPr>
        <w:tc>
          <w:tcPr>
            <w:tcW w:w="709" w:type="dxa"/>
            <w:noWrap w:val="0"/>
            <w:vAlign w:val="top"/>
          </w:tcPr>
          <w:p>
            <w:pPr>
              <w:pageBreakBefore w:val="0"/>
              <w:kinsoku/>
              <w:wordWrap/>
              <w:overflowPunct/>
              <w:topLinePunct w:val="0"/>
              <w:autoSpaceDE/>
              <w:autoSpaceDN/>
              <w:bidi w:val="0"/>
              <w:jc w:val="center"/>
              <w:outlineLvl w:val="9"/>
              <w:rPr>
                <w:rFonts w:ascii="仿宋" w:hAnsi="仿宋" w:eastAsia="仿宋"/>
                <w:b/>
                <w:color w:val="000000"/>
                <w:sz w:val="24"/>
              </w:rPr>
            </w:pPr>
            <w:r>
              <w:rPr>
                <w:rFonts w:hint="eastAsia" w:ascii="仿宋" w:hAnsi="仿宋" w:eastAsia="仿宋"/>
                <w:b/>
                <w:color w:val="000000"/>
                <w:sz w:val="24"/>
              </w:rPr>
              <w:t>序号</w:t>
            </w:r>
          </w:p>
        </w:tc>
        <w:tc>
          <w:tcPr>
            <w:tcW w:w="2268" w:type="dxa"/>
            <w:noWrap w:val="0"/>
            <w:vAlign w:val="top"/>
          </w:tcPr>
          <w:p>
            <w:pPr>
              <w:pageBreakBefore w:val="0"/>
              <w:kinsoku/>
              <w:wordWrap/>
              <w:overflowPunct/>
              <w:topLinePunct w:val="0"/>
              <w:autoSpaceDE/>
              <w:autoSpaceDN/>
              <w:bidi w:val="0"/>
              <w:jc w:val="center"/>
              <w:outlineLvl w:val="9"/>
              <w:rPr>
                <w:rFonts w:ascii="仿宋" w:hAnsi="仿宋" w:eastAsia="仿宋"/>
                <w:b/>
                <w:color w:val="000000"/>
                <w:sz w:val="24"/>
              </w:rPr>
            </w:pPr>
            <w:r>
              <w:rPr>
                <w:rFonts w:hint="eastAsia" w:ascii="仿宋" w:hAnsi="仿宋" w:eastAsia="仿宋"/>
                <w:b/>
                <w:color w:val="000000"/>
                <w:sz w:val="24"/>
              </w:rPr>
              <w:t>评估类型</w:t>
            </w:r>
          </w:p>
        </w:tc>
        <w:tc>
          <w:tcPr>
            <w:tcW w:w="1984" w:type="dxa"/>
            <w:noWrap w:val="0"/>
            <w:vAlign w:val="top"/>
          </w:tcPr>
          <w:p>
            <w:pPr>
              <w:pageBreakBefore w:val="0"/>
              <w:kinsoku/>
              <w:wordWrap/>
              <w:overflowPunct/>
              <w:topLinePunct w:val="0"/>
              <w:autoSpaceDE/>
              <w:autoSpaceDN/>
              <w:bidi w:val="0"/>
              <w:jc w:val="center"/>
              <w:outlineLvl w:val="9"/>
              <w:rPr>
                <w:rFonts w:ascii="仿宋" w:hAnsi="仿宋" w:eastAsia="仿宋"/>
                <w:b/>
                <w:color w:val="000000"/>
                <w:sz w:val="24"/>
              </w:rPr>
            </w:pPr>
            <w:r>
              <w:rPr>
                <w:rFonts w:hint="eastAsia" w:ascii="仿宋" w:hAnsi="仿宋" w:eastAsia="仿宋"/>
                <w:b/>
                <w:color w:val="000000"/>
                <w:sz w:val="24"/>
              </w:rPr>
              <w:t>时间</w:t>
            </w:r>
          </w:p>
        </w:tc>
        <w:tc>
          <w:tcPr>
            <w:tcW w:w="3686" w:type="dxa"/>
            <w:noWrap w:val="0"/>
            <w:vAlign w:val="top"/>
          </w:tcPr>
          <w:p>
            <w:pPr>
              <w:pageBreakBefore w:val="0"/>
              <w:kinsoku/>
              <w:wordWrap/>
              <w:overflowPunct/>
              <w:topLinePunct w:val="0"/>
              <w:autoSpaceDE/>
              <w:autoSpaceDN/>
              <w:bidi w:val="0"/>
              <w:jc w:val="center"/>
              <w:outlineLvl w:val="9"/>
              <w:rPr>
                <w:rFonts w:ascii="仿宋" w:hAnsi="仿宋" w:eastAsia="仿宋"/>
                <w:b/>
                <w:color w:val="000000"/>
                <w:sz w:val="24"/>
              </w:rPr>
            </w:pPr>
            <w:r>
              <w:rPr>
                <w:rFonts w:hint="eastAsia" w:ascii="仿宋" w:hAnsi="仿宋" w:eastAsia="仿宋"/>
                <w:b/>
                <w:color w:val="000000"/>
                <w:sz w:val="24"/>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709"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1</w:t>
            </w:r>
          </w:p>
        </w:tc>
        <w:tc>
          <w:tcPr>
            <w:tcW w:w="2268"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中期评估</w:t>
            </w:r>
          </w:p>
        </w:tc>
        <w:tc>
          <w:tcPr>
            <w:tcW w:w="1984"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6月下旬</w:t>
            </w:r>
          </w:p>
        </w:tc>
        <w:tc>
          <w:tcPr>
            <w:tcW w:w="3686"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自评估+部分抽查评估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09"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2</w:t>
            </w:r>
          </w:p>
        </w:tc>
        <w:tc>
          <w:tcPr>
            <w:tcW w:w="2268"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年度评估</w:t>
            </w:r>
          </w:p>
        </w:tc>
        <w:tc>
          <w:tcPr>
            <w:tcW w:w="1984"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12月下旬</w:t>
            </w:r>
          </w:p>
        </w:tc>
        <w:tc>
          <w:tcPr>
            <w:tcW w:w="3686" w:type="dxa"/>
            <w:noWrap w:val="0"/>
            <w:vAlign w:val="top"/>
          </w:tcPr>
          <w:p>
            <w:pPr>
              <w:pageBreakBefore w:val="0"/>
              <w:kinsoku/>
              <w:wordWrap/>
              <w:overflowPunct/>
              <w:topLinePunct w:val="0"/>
              <w:autoSpaceDE/>
              <w:autoSpaceDN/>
              <w:bidi w:val="0"/>
              <w:jc w:val="center"/>
              <w:outlineLvl w:val="9"/>
              <w:rPr>
                <w:rFonts w:ascii="仿宋" w:hAnsi="仿宋" w:eastAsia="仿宋"/>
                <w:color w:val="000000"/>
                <w:sz w:val="24"/>
              </w:rPr>
            </w:pPr>
            <w:r>
              <w:rPr>
                <w:rFonts w:hint="eastAsia" w:ascii="仿宋" w:hAnsi="仿宋" w:eastAsia="仿宋"/>
                <w:color w:val="000000"/>
                <w:sz w:val="24"/>
              </w:rPr>
              <w:t>自评估+正式评估</w:t>
            </w:r>
          </w:p>
        </w:tc>
      </w:tr>
    </w:tbl>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四、评估范围</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1.绩效评估范围包括</w:t>
      </w:r>
      <w:r>
        <w:rPr>
          <w:rFonts w:hint="eastAsia" w:ascii="仿宋_GB2312" w:hAnsi="仿宋_GB2312" w:eastAsia="仿宋_GB2312" w:cs="仿宋_GB2312"/>
          <w:b/>
          <w:kern w:val="0"/>
          <w:sz w:val="32"/>
          <w:szCs w:val="32"/>
          <w:lang w:bidi="ar"/>
        </w:rPr>
        <w:t>部门绩效评估和员工绩效评估</w:t>
      </w:r>
      <w:r>
        <w:rPr>
          <w:rFonts w:hint="eastAsia" w:ascii="仿宋_GB2312" w:hAnsi="仿宋_GB2312" w:eastAsia="仿宋_GB2312" w:cs="仿宋_GB2312"/>
          <w:kern w:val="0"/>
          <w:sz w:val="32"/>
          <w:szCs w:val="32"/>
          <w:lang w:bidi="ar"/>
        </w:rPr>
        <w:t>。评</w:t>
      </w:r>
      <w:r>
        <w:rPr>
          <w:rFonts w:hint="eastAsia" w:ascii="仿宋_GB2312" w:hAnsi="仿宋_GB2312" w:eastAsia="仿宋_GB2312" w:cs="仿宋_GB2312"/>
          <w:b/>
          <w:kern w:val="0"/>
          <w:sz w:val="32"/>
          <w:szCs w:val="32"/>
          <w:lang w:bidi="ar"/>
        </w:rPr>
        <w:t>估的部门</w:t>
      </w:r>
      <w:r>
        <w:rPr>
          <w:rFonts w:hint="eastAsia" w:ascii="仿宋_GB2312" w:hAnsi="仿宋_GB2312" w:eastAsia="仿宋_GB2312" w:cs="仿宋_GB2312"/>
          <w:kern w:val="0"/>
          <w:sz w:val="32"/>
          <w:szCs w:val="32"/>
          <w:lang w:bidi="ar"/>
        </w:rPr>
        <w:t>包括19个职能教辅部门和9个二级学院，19个职能教辅部门分别是党委办公室（行政办公室）、党委组织部（统战部、人事处）、教职工发展中心、党委宣传部（策划处）、学生工作部（学生工作处）、教务与实训管理处、职教研究所（学报编辑部）、招生处、后勤与资产管理处、新校区建设办、财务处、科技开发校企合作就业处、纪检监察室、保卫处（武装部）、工会、团委、社区学院、图书馆、信息技术服务中心，原督导室、审计室的评估纳入党办校办；9个二级学院分别是机电工程学院、汽车工程学院、电子信息工程学院、环境与食品工程学院、财经与物流管理学院、贸易与旅游管理学院、艺术学院、马克思主义学院、通识教育学院。</w:t>
      </w:r>
      <w:r>
        <w:rPr>
          <w:rFonts w:hint="eastAsia" w:ascii="仿宋_GB2312" w:hAnsi="仿宋_GB2312" w:eastAsia="仿宋_GB2312" w:cs="仿宋_GB2312"/>
          <w:b/>
          <w:kern w:val="0"/>
          <w:sz w:val="32"/>
          <w:szCs w:val="32"/>
          <w:lang w:bidi="ar"/>
        </w:rPr>
        <w:t>员工绩效评估</w:t>
      </w:r>
      <w:r>
        <w:rPr>
          <w:rFonts w:hint="eastAsia" w:ascii="仿宋_GB2312" w:hAnsi="仿宋_GB2312" w:eastAsia="仿宋_GB2312" w:cs="仿宋_GB2312"/>
          <w:kern w:val="0"/>
          <w:sz w:val="32"/>
          <w:szCs w:val="32"/>
          <w:lang w:bidi="ar"/>
        </w:rPr>
        <w:t>为所有在职在岗人员（含聘用），主要包括中层干部、科级/一般管理人员、专任教师、学工工作管理人员。</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2.因病假、事假等原因，年度请假时间（不包括寒暑假）累计达半年以上的人员不参加当年绩效评估。</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3.在外单位挂职、扶贫等累计达半年以上人员评估，按照有关规定开展评估。</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五、评估机构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为了扎实</w:t>
      </w:r>
      <w:r>
        <w:rPr>
          <w:rFonts w:hint="eastAsia" w:ascii="仿宋_GB2312" w:hAnsi="仿宋_GB2312" w:eastAsia="仿宋_GB2312" w:cs="仿宋_GB2312"/>
          <w:kern w:val="0"/>
          <w:sz w:val="32"/>
          <w:szCs w:val="32"/>
          <w:lang w:bidi="ar"/>
        </w:rPr>
        <w:t>做好</w:t>
      </w:r>
      <w:r>
        <w:rPr>
          <w:rFonts w:ascii="仿宋_GB2312" w:hAnsi="仿宋_GB2312" w:eastAsia="仿宋_GB2312" w:cs="仿宋_GB2312"/>
          <w:kern w:val="0"/>
          <w:sz w:val="32"/>
          <w:szCs w:val="32"/>
          <w:lang w:bidi="ar"/>
        </w:rPr>
        <w:t>学</w:t>
      </w:r>
      <w:r>
        <w:rPr>
          <w:rFonts w:hint="eastAsia" w:ascii="仿宋_GB2312" w:hAnsi="仿宋_GB2312" w:eastAsia="仿宋_GB2312" w:cs="仿宋_GB2312"/>
          <w:kern w:val="0"/>
          <w:sz w:val="32"/>
          <w:szCs w:val="32"/>
          <w:lang w:bidi="ar"/>
        </w:rPr>
        <w:t>校</w:t>
      </w:r>
      <w:r>
        <w:rPr>
          <w:rFonts w:ascii="仿宋_GB2312" w:hAnsi="仿宋_GB2312" w:eastAsia="仿宋_GB2312" w:cs="仿宋_GB2312"/>
          <w:kern w:val="0"/>
          <w:sz w:val="32"/>
          <w:szCs w:val="32"/>
          <w:lang w:bidi="ar"/>
        </w:rPr>
        <w:t>绩效</w:t>
      </w:r>
      <w:r>
        <w:rPr>
          <w:rFonts w:hint="eastAsia" w:ascii="仿宋_GB2312" w:hAnsi="仿宋_GB2312" w:eastAsia="仿宋_GB2312" w:cs="仿宋_GB2312"/>
          <w:kern w:val="0"/>
          <w:sz w:val="32"/>
          <w:szCs w:val="32"/>
          <w:lang w:bidi="ar"/>
        </w:rPr>
        <w:t>管理</w:t>
      </w:r>
      <w:r>
        <w:rPr>
          <w:rFonts w:ascii="仿宋_GB2312" w:hAnsi="仿宋_GB2312" w:eastAsia="仿宋_GB2312" w:cs="仿宋_GB2312"/>
          <w:kern w:val="0"/>
          <w:sz w:val="32"/>
          <w:szCs w:val="32"/>
          <w:lang w:bidi="ar"/>
        </w:rPr>
        <w:t>工作，确保其公平性和公正性，成立绩效</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机构。</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（一）绩效评估领导小组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学校成立由校领导、相关部门负责人组成的评估工作领导小组，负责组织、指导、监督全校的绩效评估工作，审定评估结果，解决评估中遇到的重大问题。工作组构成如下：</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组  长：朱伟才  石令明</w:t>
      </w:r>
    </w:p>
    <w:p>
      <w:pPr>
        <w:pageBreakBefore w:val="0"/>
        <w:kinsoku/>
        <w:wordWrap/>
        <w:overflowPunct/>
        <w:topLinePunct w:val="0"/>
        <w:autoSpaceDE/>
        <w:autoSpaceDN/>
        <w:bidi w:val="0"/>
        <w:spacing w:line="56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副组长：张  翔  阳  旭  杨  毅  林若森  瞿  凡</w:t>
      </w:r>
    </w:p>
    <w:p>
      <w:pPr>
        <w:pageBreakBefore w:val="0"/>
        <w:kinsoku/>
        <w:wordWrap/>
        <w:overflowPunct/>
        <w:topLinePunct w:val="0"/>
        <w:autoSpaceDE/>
        <w:autoSpaceDN/>
        <w:bidi w:val="0"/>
        <w:spacing w:line="560" w:lineRule="exact"/>
        <w:ind w:firstLine="1600" w:firstLineChars="5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  鞠红霞  冉福松</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成  员：黄志强  唐冬雷  杨  琳  安掌明  韦  林</w:t>
      </w:r>
    </w:p>
    <w:p>
      <w:pPr>
        <w:pageBreakBefore w:val="0"/>
        <w:kinsoku/>
        <w:wordWrap/>
        <w:overflowPunct/>
        <w:topLinePunct w:val="0"/>
        <w:autoSpaceDE/>
        <w:autoSpaceDN/>
        <w:bidi w:val="0"/>
        <w:spacing w:line="560" w:lineRule="exact"/>
        <w:ind w:firstLine="1920" w:firstLineChars="6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黄  莉  邓亮顺  麻慧琼  何志忠  傅昌德</w:t>
      </w:r>
    </w:p>
    <w:p>
      <w:pPr>
        <w:pageBreakBefore w:val="0"/>
        <w:kinsoku/>
        <w:wordWrap/>
        <w:overflowPunct/>
        <w:topLinePunct w:val="0"/>
        <w:autoSpaceDE/>
        <w:autoSpaceDN/>
        <w:bidi w:val="0"/>
        <w:spacing w:line="560" w:lineRule="exact"/>
        <w:ind w:firstLine="1920" w:firstLineChars="6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高勇军</w:t>
      </w:r>
      <w:r>
        <w:rPr>
          <w:rFonts w:hint="eastAsia" w:ascii="仿宋_GB2312" w:hAnsi="仿宋_GB2312" w:eastAsia="仿宋_GB2312" w:cs="仿宋_GB2312"/>
          <w:kern w:val="0"/>
          <w:sz w:val="32"/>
          <w:szCs w:val="32"/>
          <w:lang w:bidi="ar"/>
        </w:rPr>
        <w:t xml:space="preserve">  覃纪武  韩  霄  唐述荣  谭界忠</w:t>
      </w:r>
    </w:p>
    <w:p>
      <w:pPr>
        <w:pageBreakBefore w:val="0"/>
        <w:kinsoku/>
        <w:wordWrap/>
        <w:overflowPunct/>
        <w:topLinePunct w:val="0"/>
        <w:autoSpaceDE/>
        <w:autoSpaceDN/>
        <w:bidi w:val="0"/>
        <w:spacing w:line="560" w:lineRule="exact"/>
        <w:ind w:firstLine="1920" w:firstLineChars="6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曾</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韬</w:t>
      </w:r>
      <w:r>
        <w:rPr>
          <w:rFonts w:hint="eastAsia" w:ascii="仿宋_GB2312" w:hAnsi="仿宋_GB2312" w:eastAsia="仿宋_GB2312" w:cs="仿宋_GB2312"/>
          <w:kern w:val="0"/>
          <w:sz w:val="32"/>
          <w:szCs w:val="32"/>
          <w:lang w:bidi="ar"/>
        </w:rPr>
        <w:t xml:space="preserve">  黎凤环  严泽民  李东航  邱福明</w:t>
      </w:r>
    </w:p>
    <w:p>
      <w:pPr>
        <w:pageBreakBefore w:val="0"/>
        <w:kinsoku/>
        <w:wordWrap/>
        <w:overflowPunct/>
        <w:topLinePunct w:val="0"/>
        <w:autoSpaceDE/>
        <w:autoSpaceDN/>
        <w:bidi w:val="0"/>
        <w:spacing w:line="560" w:lineRule="exact"/>
        <w:ind w:firstLine="1920" w:firstLineChars="6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陈文勇</w:t>
      </w:r>
      <w:r>
        <w:rPr>
          <w:rFonts w:hint="eastAsia" w:ascii="仿宋_GB2312" w:hAnsi="仿宋_GB2312" w:eastAsia="仿宋_GB2312" w:cs="仿宋_GB2312"/>
          <w:kern w:val="0"/>
          <w:sz w:val="32"/>
          <w:szCs w:val="32"/>
          <w:lang w:bidi="ar"/>
        </w:rPr>
        <w:t xml:space="preserve">  韦林华  韦小波  黄  宁  冯雪萍</w:t>
      </w:r>
    </w:p>
    <w:p>
      <w:pPr>
        <w:pageBreakBefore w:val="0"/>
        <w:kinsoku/>
        <w:wordWrap/>
        <w:overflowPunct/>
        <w:topLinePunct w:val="0"/>
        <w:autoSpaceDE/>
        <w:autoSpaceDN/>
        <w:bidi w:val="0"/>
        <w:spacing w:line="560" w:lineRule="exact"/>
        <w:ind w:firstLine="1920" w:firstLineChars="6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黎渝林</w:t>
      </w:r>
      <w:r>
        <w:rPr>
          <w:rFonts w:hint="eastAsia" w:ascii="仿宋_GB2312" w:hAnsi="仿宋_GB2312" w:eastAsia="仿宋_GB2312" w:cs="仿宋_GB2312"/>
          <w:kern w:val="0"/>
          <w:sz w:val="32"/>
          <w:szCs w:val="32"/>
          <w:lang w:bidi="ar"/>
        </w:rPr>
        <w:t xml:space="preserve">  李  革  左妮红  陈  芳</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（二）绩效评估办公室</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办公室设在</w:t>
      </w:r>
      <w:r>
        <w:rPr>
          <w:rFonts w:hint="eastAsia" w:ascii="仿宋_GB2312" w:hAnsi="仿宋_GB2312" w:eastAsia="仿宋_GB2312" w:cs="仿宋_GB2312"/>
          <w:kern w:val="0"/>
          <w:sz w:val="32"/>
          <w:szCs w:val="32"/>
          <w:lang w:bidi="ar"/>
        </w:rPr>
        <w:t>质量管理办公室</w:t>
      </w:r>
      <w:r>
        <w:rPr>
          <w:rFonts w:ascii="仿宋_GB2312" w:hAnsi="仿宋_GB2312" w:eastAsia="仿宋_GB2312" w:cs="仿宋_GB2312"/>
          <w:kern w:val="0"/>
          <w:sz w:val="32"/>
          <w:szCs w:val="32"/>
          <w:lang w:bidi="ar"/>
        </w:rPr>
        <w:t>，主要负责</w:t>
      </w:r>
      <w:r>
        <w:rPr>
          <w:rFonts w:hint="eastAsia" w:ascii="仿宋_GB2312" w:hAnsi="仿宋_GB2312" w:eastAsia="仿宋_GB2312" w:cs="仿宋_GB2312"/>
          <w:kern w:val="0"/>
          <w:sz w:val="32"/>
          <w:szCs w:val="32"/>
          <w:lang w:bidi="ar"/>
        </w:rPr>
        <w:t>制定年</w:t>
      </w:r>
      <w:r>
        <w:rPr>
          <w:rFonts w:ascii="仿宋_GB2312" w:hAnsi="仿宋_GB2312" w:eastAsia="仿宋_GB2312" w:cs="仿宋_GB2312"/>
          <w:kern w:val="0"/>
          <w:sz w:val="32"/>
          <w:szCs w:val="32"/>
          <w:lang w:bidi="ar"/>
        </w:rPr>
        <w:t>度绩效</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方案</w:t>
      </w:r>
      <w:r>
        <w:rPr>
          <w:rFonts w:hint="eastAsia" w:ascii="仿宋_GB2312" w:hAnsi="仿宋_GB2312" w:eastAsia="仿宋_GB2312" w:cs="仿宋_GB2312"/>
          <w:kern w:val="0"/>
          <w:sz w:val="32"/>
          <w:szCs w:val="32"/>
          <w:lang w:bidi="ar"/>
        </w:rPr>
        <w:t>，会同</w:t>
      </w:r>
      <w:r>
        <w:rPr>
          <w:rFonts w:ascii="仿宋_GB2312" w:hAnsi="仿宋_GB2312" w:eastAsia="仿宋_GB2312" w:cs="仿宋_GB2312"/>
          <w:kern w:val="0"/>
          <w:sz w:val="32"/>
          <w:szCs w:val="32"/>
          <w:lang w:bidi="ar"/>
        </w:rPr>
        <w:t>各部门拟定</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指标，全面组织和实施</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工作</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指导各部门</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工作小组开展工作，审核各部门</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方案，以及管理评估日常</w:t>
      </w:r>
      <w:r>
        <w:rPr>
          <w:rFonts w:hint="eastAsia" w:ascii="仿宋_GB2312" w:hAnsi="仿宋_GB2312" w:eastAsia="仿宋_GB2312" w:cs="仿宋_GB2312"/>
          <w:kern w:val="0"/>
          <w:sz w:val="32"/>
          <w:szCs w:val="32"/>
          <w:lang w:bidi="ar"/>
        </w:rPr>
        <w:t>事务</w:t>
      </w:r>
      <w:r>
        <w:rPr>
          <w:rFonts w:ascii="仿宋_GB2312" w:hAnsi="仿宋_GB2312" w:eastAsia="仿宋_GB2312" w:cs="仿宋_GB2312"/>
          <w:kern w:val="0"/>
          <w:sz w:val="32"/>
          <w:szCs w:val="32"/>
          <w:lang w:bidi="ar"/>
        </w:rPr>
        <w:t>和</w:t>
      </w:r>
      <w:r>
        <w:rPr>
          <w:rFonts w:hint="eastAsia" w:ascii="仿宋_GB2312" w:hAnsi="仿宋_GB2312" w:eastAsia="仿宋_GB2312" w:cs="仿宋_GB2312"/>
          <w:kern w:val="0"/>
          <w:sz w:val="32"/>
          <w:szCs w:val="32"/>
          <w:lang w:bidi="ar"/>
        </w:rPr>
        <w:t>接受</w:t>
      </w:r>
      <w:r>
        <w:rPr>
          <w:rFonts w:ascii="仿宋_GB2312" w:hAnsi="仿宋_GB2312" w:eastAsia="仿宋_GB2312" w:cs="仿宋_GB2312"/>
          <w:kern w:val="0"/>
          <w:sz w:val="32"/>
          <w:szCs w:val="32"/>
          <w:lang w:bidi="ar"/>
        </w:rPr>
        <w:t>相关咨询</w:t>
      </w:r>
      <w:r>
        <w:rPr>
          <w:rFonts w:hint="eastAsia" w:ascii="仿宋_GB2312" w:hAnsi="仿宋_GB2312" w:eastAsia="仿宋_GB2312" w:cs="仿宋_GB2312"/>
          <w:kern w:val="0"/>
          <w:sz w:val="32"/>
          <w:szCs w:val="32"/>
          <w:lang w:bidi="ar"/>
        </w:rPr>
        <w:t>指导等</w:t>
      </w:r>
      <w:r>
        <w:rPr>
          <w:rFonts w:ascii="仿宋_GB2312" w:hAnsi="仿宋_GB2312" w:eastAsia="仿宋_GB2312" w:cs="仿宋_GB2312"/>
          <w:kern w:val="0"/>
          <w:sz w:val="32"/>
          <w:szCs w:val="32"/>
          <w:lang w:bidi="ar"/>
        </w:rPr>
        <w:t>工作。</w:t>
      </w:r>
      <w:r>
        <w:rPr>
          <w:rFonts w:hint="eastAsia" w:ascii="仿宋_GB2312" w:hAnsi="仿宋_GB2312" w:eastAsia="仿宋_GB2312" w:cs="仿宋_GB2312"/>
          <w:kern w:val="0"/>
          <w:sz w:val="32"/>
          <w:szCs w:val="32"/>
          <w:lang w:bidi="ar"/>
        </w:rPr>
        <w:t>统一组织部门和中层干部绩效评估。</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（三）绩效评估监督组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由纪检监察室、工会部门组成，主要负责收集、整理绩效</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工作过程中的意见和存在问题</w:t>
      </w:r>
      <w:r>
        <w:rPr>
          <w:rFonts w:hint="eastAsia" w:ascii="仿宋_GB2312" w:hAnsi="仿宋_GB2312" w:eastAsia="仿宋_GB2312" w:cs="仿宋_GB2312"/>
          <w:kern w:val="0"/>
          <w:sz w:val="32"/>
          <w:szCs w:val="32"/>
          <w:lang w:bidi="ar"/>
        </w:rPr>
        <w:t>；</w:t>
      </w:r>
      <w:r>
        <w:rPr>
          <w:rFonts w:ascii="仿宋_GB2312" w:hAnsi="仿宋_GB2312" w:eastAsia="仿宋_GB2312" w:cs="仿宋_GB2312"/>
          <w:kern w:val="0"/>
          <w:sz w:val="32"/>
          <w:szCs w:val="32"/>
          <w:lang w:bidi="ar"/>
        </w:rPr>
        <w:t>接收被</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单位提出的申诉，及时与被</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单位进行反馈协调。如遇重大事项，及时向绩效</w:t>
      </w:r>
      <w:r>
        <w:rPr>
          <w:rFonts w:hint="eastAsia" w:ascii="仿宋_GB2312" w:hAnsi="仿宋_GB2312" w:eastAsia="仿宋_GB2312" w:cs="仿宋_GB2312"/>
          <w:kern w:val="0"/>
          <w:sz w:val="32"/>
          <w:szCs w:val="32"/>
          <w:lang w:bidi="ar"/>
        </w:rPr>
        <w:t>评估</w:t>
      </w:r>
      <w:r>
        <w:rPr>
          <w:rFonts w:ascii="仿宋_GB2312" w:hAnsi="仿宋_GB2312" w:eastAsia="仿宋_GB2312" w:cs="仿宋_GB2312"/>
          <w:kern w:val="0"/>
          <w:sz w:val="32"/>
          <w:szCs w:val="32"/>
          <w:lang w:bidi="ar"/>
        </w:rPr>
        <w:t>领导小组提请研究和处理。</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（四）部门绩效评估工作组</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各部门成立绩效评估小组，具体负责组织本部门科级、一般管理人员、辅导员、专任教师的绩效评估工作实施。评估小组成员由各部门主要负责人及教职工代表组成，人数一般5-7人（部门总人数少于5人的可以不成立评估小组，由部门负责人组织），可设组长1名，成员若干名，同时确定工作人员1名，部门绩效评估方案在本部门公示后报学校绩效评估办公室审查备案。</w:t>
      </w:r>
    </w:p>
    <w:p>
      <w:pPr>
        <w:pageBreakBefore w:val="0"/>
        <w:kinsoku/>
        <w:wordWrap/>
        <w:overflowPunct/>
        <w:topLinePunct w:val="0"/>
        <w:autoSpaceDE/>
        <w:autoSpaceDN/>
        <w:bidi w:val="0"/>
        <w:spacing w:line="56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六、评估内容、计分、排名及评估程序</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（一）部门和人员绩效评估内容</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部门绩效评估内容由关键绩效指标（</w:t>
      </w:r>
      <w:r>
        <w:rPr>
          <w:rFonts w:ascii="仿宋_GB2312" w:hAnsi="仿宋_GB2312" w:eastAsia="仿宋_GB2312" w:cs="仿宋_GB2312"/>
          <w:kern w:val="0"/>
          <w:sz w:val="32"/>
          <w:szCs w:val="32"/>
          <w:lang w:bidi="ar"/>
        </w:rPr>
        <w:t>KPI</w:t>
      </w:r>
      <w:r>
        <w:rPr>
          <w:rFonts w:hint="eastAsia" w:ascii="仿宋_GB2312" w:hAnsi="仿宋_GB2312" w:eastAsia="仿宋_GB2312" w:cs="仿宋_GB2312"/>
          <w:kern w:val="0"/>
          <w:sz w:val="32"/>
          <w:szCs w:val="32"/>
          <w:lang w:bidi="ar"/>
        </w:rPr>
        <w:t>）、重点/专项/创新工作绩效和扣分项等三部分组成。</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人员绩效评估内容由个人关键绩效指标（</w:t>
      </w:r>
      <w:r>
        <w:rPr>
          <w:rFonts w:ascii="仿宋_GB2312" w:hAnsi="仿宋_GB2312" w:eastAsia="仿宋_GB2312" w:cs="仿宋_GB2312"/>
          <w:kern w:val="0"/>
          <w:sz w:val="32"/>
          <w:szCs w:val="32"/>
          <w:lang w:bidi="ar"/>
        </w:rPr>
        <w:t>KPI</w:t>
      </w:r>
      <w:r>
        <w:rPr>
          <w:rFonts w:hint="eastAsia" w:ascii="仿宋_GB2312" w:hAnsi="仿宋_GB2312" w:eastAsia="仿宋_GB2312" w:cs="仿宋_GB2312"/>
          <w:kern w:val="0"/>
          <w:sz w:val="32"/>
          <w:szCs w:val="32"/>
          <w:lang w:bidi="ar"/>
        </w:rPr>
        <w:t>）、重点/专项/创新工作绩效、部门绩效评估分值、部门评价分值和扣分项等五部分组成。</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（二）计分和排名</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部门绩效评估总得分</w:t>
      </w:r>
      <w:r>
        <w:rPr>
          <w:rFonts w:ascii="仿宋_GB2312" w:hAnsi="仿宋_GB2312" w:eastAsia="仿宋_GB2312" w:cs="仿宋_GB2312"/>
          <w:kern w:val="0"/>
          <w:sz w:val="32"/>
          <w:szCs w:val="32"/>
          <w:lang w:bidi="ar"/>
        </w:rPr>
        <w:t>=部门</w:t>
      </w:r>
      <w:r>
        <w:rPr>
          <w:rFonts w:hint="eastAsia" w:ascii="仿宋_GB2312" w:hAnsi="仿宋_GB2312" w:eastAsia="仿宋_GB2312" w:cs="仿宋_GB2312"/>
          <w:kern w:val="0"/>
          <w:sz w:val="32"/>
          <w:szCs w:val="32"/>
          <w:lang w:bidi="ar"/>
        </w:rPr>
        <w:t>关键绩效指标（</w:t>
      </w:r>
      <w:r>
        <w:rPr>
          <w:rFonts w:ascii="仿宋_GB2312" w:hAnsi="仿宋_GB2312" w:eastAsia="仿宋_GB2312" w:cs="仿宋_GB2312"/>
          <w:kern w:val="0"/>
          <w:sz w:val="32"/>
          <w:szCs w:val="32"/>
          <w:lang w:bidi="ar"/>
        </w:rPr>
        <w:t>KPI</w:t>
      </w:r>
      <w:r>
        <w:rPr>
          <w:rFonts w:hint="eastAsia" w:ascii="仿宋_GB2312" w:hAnsi="仿宋_GB2312" w:eastAsia="仿宋_GB2312" w:cs="仿宋_GB2312"/>
          <w:kern w:val="0"/>
          <w:sz w:val="32"/>
          <w:szCs w:val="32"/>
          <w:lang w:bidi="ar"/>
        </w:rPr>
        <w:t>）分值×70</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重点/专项/创新工作绩效分值×30</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-扣分分值。</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中层正职绩效评估总得分=关键绩效指标（KPI）分值*15%+重点/专项/创新工作绩效分值*15%+部门绩效评估分值*50%+校领导评价分*10%+员工、管理或服务代表测评分</w:t>
      </w:r>
      <w:r>
        <w:rPr>
          <w:rFonts w:ascii="仿宋_GB2312" w:hAnsi="仿宋_GB2312" w:eastAsia="仿宋_GB2312" w:cs="仿宋_GB2312"/>
          <w:kern w:val="0"/>
          <w:sz w:val="32"/>
          <w:szCs w:val="32"/>
          <w:lang w:bidi="ar"/>
        </w:rPr>
        <w:t>*10%</w:t>
      </w:r>
      <w:r>
        <w:rPr>
          <w:rFonts w:hint="eastAsia" w:ascii="仿宋_GB2312" w:hAnsi="仿宋_GB2312" w:eastAsia="仿宋_GB2312" w:cs="仿宋_GB2312"/>
          <w:kern w:val="0"/>
          <w:sz w:val="32"/>
          <w:szCs w:val="32"/>
          <w:lang w:bidi="ar"/>
        </w:rPr>
        <w:t>—扣分分值。</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中层副职绩效评估总得分</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关键绩效指标（KPI）分值*40%+重点/专项/创新工作绩效分值*20%+部门绩效评估分值*30%+员工、管理或服务代表测评分*10%—扣分分值。</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中层干部的员工、管理或服务代表测评分实行交叉评价制，如职能教辅部门的中层干部测评分由管理服务对象（二级学院、职能教辅平行部门的代表评价），二级学院的中层干部的员工、管理或服务代表测评分由部门内员工、职能教辅部门代表评价，具体由组织部和质量办联合开展。）</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科级/一般管理人员绩效评估总得分</w:t>
      </w:r>
      <w:r>
        <w:rPr>
          <w:rFonts w:ascii="仿宋_GB2312" w:hAnsi="仿宋_GB2312" w:eastAsia="仿宋_GB2312" w:cs="仿宋_GB2312"/>
          <w:kern w:val="0"/>
          <w:sz w:val="32"/>
          <w:szCs w:val="32"/>
          <w:lang w:bidi="ar"/>
        </w:rPr>
        <w:t>=个人</w:t>
      </w:r>
      <w:r>
        <w:rPr>
          <w:rFonts w:hint="eastAsia" w:ascii="仿宋_GB2312" w:hAnsi="仿宋_GB2312" w:eastAsia="仿宋_GB2312" w:cs="仿宋_GB2312"/>
          <w:kern w:val="0"/>
          <w:sz w:val="32"/>
          <w:szCs w:val="32"/>
          <w:lang w:bidi="ar"/>
        </w:rPr>
        <w:t>关键绩效指标（</w:t>
      </w:r>
      <w:r>
        <w:rPr>
          <w:rFonts w:ascii="仿宋_GB2312" w:hAnsi="仿宋_GB2312" w:eastAsia="仿宋_GB2312" w:cs="仿宋_GB2312"/>
          <w:kern w:val="0"/>
          <w:sz w:val="32"/>
          <w:szCs w:val="32"/>
          <w:lang w:bidi="ar"/>
        </w:rPr>
        <w:t>KPI</w:t>
      </w:r>
      <w:r>
        <w:rPr>
          <w:rFonts w:hint="eastAsia" w:ascii="仿宋_GB2312" w:hAnsi="仿宋_GB2312" w:eastAsia="仿宋_GB2312" w:cs="仿宋_GB2312"/>
          <w:kern w:val="0"/>
          <w:sz w:val="32"/>
          <w:szCs w:val="32"/>
          <w:lang w:bidi="ar"/>
        </w:rPr>
        <w:t>）分值*45%+重点/专项/创新工作绩效分值*30%+部门绩效评估分值*15%</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部门评价分值</w:t>
      </w: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0</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—扣分分值。</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专任教师绩效评估总得分=教学、教研、科研相关KPI分值*45%+其它工作分值*30%+部门绩效评估分值*15%+部门评价分值</w:t>
      </w:r>
      <w:r>
        <w:rPr>
          <w:rFonts w:ascii="仿宋_GB2312" w:hAnsi="仿宋_GB2312" w:eastAsia="仿宋_GB2312" w:cs="仿宋_GB2312"/>
          <w:kern w:val="0"/>
          <w:sz w:val="32"/>
          <w:szCs w:val="32"/>
          <w:lang w:bidi="ar"/>
        </w:rPr>
        <w:t>*1</w:t>
      </w:r>
      <w:r>
        <w:rPr>
          <w:rFonts w:hint="eastAsia" w:ascii="仿宋_GB2312" w:hAnsi="仿宋_GB2312" w:eastAsia="仿宋_GB2312" w:cs="仿宋_GB2312"/>
          <w:kern w:val="0"/>
          <w:sz w:val="32"/>
          <w:szCs w:val="32"/>
          <w:lang w:bidi="ar"/>
        </w:rPr>
        <w:t>0</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—扣分分值。</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学生工作管理人员绩效评估总得分参照学工处针对学生工作管理人员相关考核具体要求执行。</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绩效评估排名实行分类、分组原则，职能教辅部门和二级学院（部）各为一组，根据评估总得分高低在各组内进行排名；另外，部门根据评估总得分评定“优秀”、“良好”、“合格”、“基本合格”或“不合格”等级，人员根据评估总得分评定“优秀”、“合格”、“基本合格”或“不合格”等级（如下表）。</w:t>
      </w:r>
    </w:p>
    <w:tbl>
      <w:tblPr>
        <w:tblStyle w:val="17"/>
        <w:tblW w:w="9060" w:type="dxa"/>
        <w:jc w:val="center"/>
        <w:tblInd w:w="0" w:type="dxa"/>
        <w:tblLayout w:type="fixed"/>
        <w:tblCellMar>
          <w:top w:w="28" w:type="dxa"/>
          <w:left w:w="108" w:type="dxa"/>
          <w:bottom w:w="28" w:type="dxa"/>
          <w:right w:w="108" w:type="dxa"/>
        </w:tblCellMar>
      </w:tblPr>
      <w:tblGrid>
        <w:gridCol w:w="735"/>
        <w:gridCol w:w="1046"/>
        <w:gridCol w:w="1134"/>
        <w:gridCol w:w="1566"/>
        <w:gridCol w:w="1412"/>
        <w:gridCol w:w="1701"/>
        <w:gridCol w:w="1466"/>
      </w:tblGrid>
      <w:tr>
        <w:tblPrEx>
          <w:tblLayout w:type="fixed"/>
          <w:tblCellMar>
            <w:top w:w="28" w:type="dxa"/>
            <w:left w:w="108" w:type="dxa"/>
            <w:bottom w:w="28" w:type="dxa"/>
            <w:right w:w="108" w:type="dxa"/>
          </w:tblCellMar>
        </w:tblPrEx>
        <w:trPr>
          <w:trHeight w:val="402" w:hRule="atLeast"/>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对象</w:t>
            </w:r>
          </w:p>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类型</w:t>
            </w:r>
          </w:p>
        </w:tc>
        <w:tc>
          <w:tcPr>
            <w:tcW w:w="104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等级</w:t>
            </w:r>
          </w:p>
        </w:tc>
        <w:tc>
          <w:tcPr>
            <w:tcW w:w="1134"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b/>
                <w:color w:val="000000"/>
                <w:sz w:val="24"/>
              </w:rPr>
              <w:t>优秀（A）</w:t>
            </w:r>
          </w:p>
        </w:tc>
        <w:tc>
          <w:tcPr>
            <w:tcW w:w="1566"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b/>
                <w:color w:val="000000"/>
                <w:sz w:val="24"/>
              </w:rPr>
              <w:t>良好（B）</w:t>
            </w:r>
          </w:p>
        </w:tc>
        <w:tc>
          <w:tcPr>
            <w:tcW w:w="1412"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b/>
                <w:color w:val="000000"/>
                <w:sz w:val="24"/>
              </w:rPr>
              <w:t>合格（C）</w:t>
            </w:r>
          </w:p>
        </w:tc>
        <w:tc>
          <w:tcPr>
            <w:tcW w:w="1701"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b/>
                <w:color w:val="000000"/>
                <w:sz w:val="24"/>
              </w:rPr>
              <w:t>基本合格（D）</w:t>
            </w:r>
          </w:p>
        </w:tc>
        <w:tc>
          <w:tcPr>
            <w:tcW w:w="146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napToGrid w:val="0"/>
              <w:spacing w:line="320" w:lineRule="exact"/>
              <w:jc w:val="center"/>
              <w:outlineLvl w:val="9"/>
              <w:rPr>
                <w:rFonts w:ascii="仿宋" w:hAnsi="仿宋" w:eastAsia="仿宋" w:cs="Arial"/>
                <w:b/>
                <w:color w:val="000000"/>
                <w:kern w:val="0"/>
                <w:sz w:val="24"/>
              </w:rPr>
            </w:pPr>
            <w:r>
              <w:rPr>
                <w:rFonts w:hint="eastAsia" w:ascii="仿宋" w:hAnsi="仿宋" w:eastAsia="仿宋"/>
                <w:b/>
                <w:color w:val="000000"/>
                <w:sz w:val="24"/>
              </w:rPr>
              <w:t>不合格（E）</w:t>
            </w:r>
          </w:p>
        </w:tc>
      </w:tr>
      <w:tr>
        <w:tblPrEx>
          <w:tblLayout w:type="fixed"/>
          <w:tblCellMar>
            <w:top w:w="28" w:type="dxa"/>
            <w:left w:w="108" w:type="dxa"/>
            <w:bottom w:w="28" w:type="dxa"/>
            <w:right w:w="108" w:type="dxa"/>
          </w:tblCellMar>
        </w:tblPrEx>
        <w:trPr>
          <w:trHeight w:val="624" w:hRule="atLeast"/>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部门</w:t>
            </w:r>
          </w:p>
        </w:tc>
        <w:tc>
          <w:tcPr>
            <w:tcW w:w="104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评估</w:t>
            </w:r>
          </w:p>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ascii="仿宋" w:hAnsi="仿宋" w:eastAsia="仿宋" w:cs="Arial"/>
                <w:b/>
                <w:color w:val="000000"/>
                <w:kern w:val="0"/>
                <w:sz w:val="24"/>
              </w:rPr>
              <w:t>总得分</w:t>
            </w:r>
          </w:p>
        </w:tc>
        <w:tc>
          <w:tcPr>
            <w:tcW w:w="1134"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color w:val="000000"/>
                <w:kern w:val="0"/>
                <w:sz w:val="24"/>
              </w:rPr>
            </w:pPr>
            <w:r>
              <w:rPr>
                <w:rFonts w:hint="eastAsia" w:ascii="仿宋" w:hAnsi="仿宋" w:eastAsia="仿宋"/>
                <w:color w:val="000000"/>
                <w:sz w:val="24"/>
              </w:rPr>
              <w:t>总得分≥90</w:t>
            </w:r>
          </w:p>
        </w:tc>
        <w:tc>
          <w:tcPr>
            <w:tcW w:w="1566"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color w:val="000000"/>
                <w:kern w:val="0"/>
                <w:sz w:val="24"/>
              </w:rPr>
            </w:pPr>
            <w:r>
              <w:rPr>
                <w:rFonts w:hint="eastAsia" w:ascii="仿宋" w:hAnsi="仿宋" w:eastAsia="仿宋"/>
                <w:color w:val="000000"/>
                <w:sz w:val="24"/>
              </w:rPr>
              <w:t>80≤总得分＜90</w:t>
            </w:r>
          </w:p>
        </w:tc>
        <w:tc>
          <w:tcPr>
            <w:tcW w:w="1412"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color w:val="000000"/>
                <w:kern w:val="0"/>
                <w:sz w:val="24"/>
              </w:rPr>
            </w:pPr>
            <w:r>
              <w:rPr>
                <w:rFonts w:hint="eastAsia" w:ascii="仿宋" w:hAnsi="仿宋" w:eastAsia="仿宋"/>
                <w:color w:val="000000"/>
                <w:sz w:val="24"/>
              </w:rPr>
              <w:t>70≤总得分＜80</w:t>
            </w:r>
          </w:p>
        </w:tc>
        <w:tc>
          <w:tcPr>
            <w:tcW w:w="1701"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color w:val="000000"/>
                <w:kern w:val="0"/>
                <w:sz w:val="24"/>
              </w:rPr>
            </w:pPr>
            <w:r>
              <w:rPr>
                <w:rFonts w:hint="eastAsia" w:ascii="仿宋" w:hAnsi="仿宋" w:eastAsia="仿宋"/>
                <w:color w:val="000000"/>
                <w:sz w:val="24"/>
              </w:rPr>
              <w:t>60≤总得分＜70</w:t>
            </w:r>
          </w:p>
        </w:tc>
        <w:tc>
          <w:tcPr>
            <w:tcW w:w="146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color w:val="000000"/>
                <w:kern w:val="0"/>
                <w:sz w:val="24"/>
              </w:rPr>
            </w:pPr>
            <w:r>
              <w:rPr>
                <w:rFonts w:hint="eastAsia" w:ascii="仿宋" w:hAnsi="仿宋" w:eastAsia="仿宋"/>
                <w:color w:val="000000"/>
                <w:sz w:val="24"/>
              </w:rPr>
              <w:t>总得分＜60</w:t>
            </w:r>
          </w:p>
        </w:tc>
      </w:tr>
    </w:tbl>
    <w:p>
      <w:pPr>
        <w:pStyle w:val="21"/>
        <w:pageBreakBefore w:val="0"/>
        <w:kinsoku/>
        <w:wordWrap/>
        <w:overflowPunct/>
        <w:topLinePunct w:val="0"/>
        <w:autoSpaceDE/>
        <w:autoSpaceDN/>
        <w:bidi w:val="0"/>
        <w:spacing w:line="500" w:lineRule="exact"/>
        <w:ind w:firstLine="562" w:firstLineChars="200"/>
        <w:outlineLvl w:val="9"/>
        <w:rPr>
          <w:rFonts w:ascii="仿宋" w:hAnsi="仿宋" w:eastAsia="仿宋"/>
          <w:b/>
          <w:sz w:val="28"/>
          <w:szCs w:val="28"/>
        </w:rPr>
      </w:pPr>
    </w:p>
    <w:tbl>
      <w:tblPr>
        <w:tblStyle w:val="17"/>
        <w:tblW w:w="9060" w:type="dxa"/>
        <w:jc w:val="center"/>
        <w:tblInd w:w="0" w:type="dxa"/>
        <w:tblLayout w:type="fixed"/>
        <w:tblCellMar>
          <w:top w:w="28" w:type="dxa"/>
          <w:left w:w="108" w:type="dxa"/>
          <w:bottom w:w="28" w:type="dxa"/>
          <w:right w:w="108" w:type="dxa"/>
        </w:tblCellMar>
      </w:tblPr>
      <w:tblGrid>
        <w:gridCol w:w="788"/>
        <w:gridCol w:w="453"/>
        <w:gridCol w:w="966"/>
        <w:gridCol w:w="348"/>
        <w:gridCol w:w="928"/>
        <w:gridCol w:w="170"/>
        <w:gridCol w:w="1104"/>
        <w:gridCol w:w="82"/>
        <w:gridCol w:w="14"/>
        <w:gridCol w:w="1172"/>
        <w:gridCol w:w="7"/>
        <w:gridCol w:w="1729"/>
        <w:gridCol w:w="1299"/>
      </w:tblGrid>
      <w:tr>
        <w:tblPrEx>
          <w:tblLayout w:type="fixed"/>
        </w:tblPrEx>
        <w:trPr>
          <w:trHeight w:val="946" w:hRule="atLeast"/>
          <w:jc w:val="center"/>
        </w:trPr>
        <w:tc>
          <w:tcPr>
            <w:tcW w:w="788" w:type="dxa"/>
            <w:tcBorders>
              <w:top w:val="single" w:color="auto" w:sz="4" w:space="0"/>
              <w:left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对象</w:t>
            </w:r>
          </w:p>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类型</w:t>
            </w:r>
          </w:p>
        </w:tc>
        <w:tc>
          <w:tcPr>
            <w:tcW w:w="1419" w:type="dxa"/>
            <w:gridSpan w:val="2"/>
            <w:tcBorders>
              <w:top w:val="single" w:color="auto" w:sz="4" w:space="0"/>
              <w:left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等级</w:t>
            </w:r>
          </w:p>
        </w:tc>
        <w:tc>
          <w:tcPr>
            <w:tcW w:w="1276" w:type="dxa"/>
            <w:gridSpan w:val="2"/>
            <w:tcBorders>
              <w:top w:val="single" w:color="auto" w:sz="4" w:space="0"/>
              <w:left w:val="nil"/>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优秀（A）</w:t>
            </w:r>
          </w:p>
        </w:tc>
        <w:tc>
          <w:tcPr>
            <w:tcW w:w="1274" w:type="dxa"/>
            <w:gridSpan w:val="2"/>
            <w:tcBorders>
              <w:top w:val="single" w:color="auto" w:sz="4" w:space="0"/>
              <w:left w:val="nil"/>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良好（B）</w:t>
            </w:r>
          </w:p>
        </w:tc>
        <w:tc>
          <w:tcPr>
            <w:tcW w:w="1275" w:type="dxa"/>
            <w:gridSpan w:val="4"/>
            <w:tcBorders>
              <w:top w:val="single" w:color="auto" w:sz="4" w:space="0"/>
              <w:left w:val="nil"/>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合格（C）</w:t>
            </w:r>
          </w:p>
        </w:tc>
        <w:tc>
          <w:tcPr>
            <w:tcW w:w="1729" w:type="dxa"/>
            <w:tcBorders>
              <w:top w:val="single" w:color="auto" w:sz="4" w:space="0"/>
              <w:left w:val="nil"/>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基本合格（D）</w:t>
            </w:r>
          </w:p>
        </w:tc>
        <w:tc>
          <w:tcPr>
            <w:tcW w:w="1299" w:type="dxa"/>
            <w:tcBorders>
              <w:top w:val="single" w:color="auto" w:sz="4" w:space="0"/>
              <w:left w:val="nil"/>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不合格（E）</w:t>
            </w:r>
          </w:p>
        </w:tc>
      </w:tr>
      <w:tr>
        <w:tblPrEx>
          <w:tblLayout w:type="fixed"/>
          <w:tblCellMar>
            <w:top w:w="28" w:type="dxa"/>
            <w:left w:w="108" w:type="dxa"/>
            <w:bottom w:w="28" w:type="dxa"/>
            <w:right w:w="108" w:type="dxa"/>
          </w:tblCellMar>
        </w:tblPrEx>
        <w:trPr>
          <w:trHeight w:val="624" w:hRule="atLeast"/>
          <w:jc w:val="center"/>
        </w:trPr>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 xml:space="preserve">中层干部 </w:t>
            </w:r>
          </w:p>
        </w:tc>
        <w:tc>
          <w:tcPr>
            <w:tcW w:w="141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中层干部绩效评估等级分配人数</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≤20%</w:t>
            </w:r>
          </w:p>
        </w:tc>
        <w:tc>
          <w:tcPr>
            <w:tcW w:w="1274"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≤30%</w:t>
            </w:r>
          </w:p>
        </w:tc>
        <w:tc>
          <w:tcPr>
            <w:tcW w:w="1275"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ascii="仿宋" w:hAnsi="仿宋" w:eastAsia="仿宋" w:cs="Arial"/>
                <w:b/>
                <w:color w:val="000000"/>
                <w:kern w:val="0"/>
                <w:sz w:val="24"/>
              </w:rPr>
              <w:t>-</w:t>
            </w:r>
          </w:p>
        </w:tc>
        <w:tc>
          <w:tcPr>
            <w:tcW w:w="1729" w:type="dxa"/>
            <w:tcBorders>
              <w:top w:val="single" w:color="auto" w:sz="4" w:space="0"/>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w:t>
            </w:r>
          </w:p>
        </w:tc>
        <w:tc>
          <w:tcPr>
            <w:tcW w:w="129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w:t>
            </w:r>
          </w:p>
        </w:tc>
      </w:tr>
      <w:tr>
        <w:tblPrEx>
          <w:tblLayout w:type="fixed"/>
          <w:tblCellMar>
            <w:top w:w="28" w:type="dxa"/>
            <w:left w:w="108" w:type="dxa"/>
            <w:bottom w:w="28" w:type="dxa"/>
            <w:right w:w="108" w:type="dxa"/>
          </w:tblCellMar>
        </w:tblPrEx>
        <w:trPr>
          <w:trHeight w:val="946" w:hRule="atLeast"/>
          <w:jc w:val="center"/>
        </w:trPr>
        <w:tc>
          <w:tcPr>
            <w:tcW w:w="1241" w:type="dxa"/>
            <w:gridSpan w:val="2"/>
            <w:tcBorders>
              <w:top w:val="single" w:color="auto" w:sz="4" w:space="0"/>
              <w:left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对象</w:t>
            </w:r>
          </w:p>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类型</w:t>
            </w:r>
          </w:p>
        </w:tc>
        <w:tc>
          <w:tcPr>
            <w:tcW w:w="1314" w:type="dxa"/>
            <w:gridSpan w:val="2"/>
            <w:tcBorders>
              <w:top w:val="single" w:color="auto" w:sz="4" w:space="0"/>
              <w:left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等级</w:t>
            </w:r>
          </w:p>
        </w:tc>
        <w:tc>
          <w:tcPr>
            <w:tcW w:w="1098" w:type="dxa"/>
            <w:gridSpan w:val="2"/>
            <w:tcBorders>
              <w:top w:val="single" w:color="auto" w:sz="4" w:space="0"/>
              <w:left w:val="nil"/>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优秀（A）</w:t>
            </w:r>
          </w:p>
        </w:tc>
        <w:tc>
          <w:tcPr>
            <w:tcW w:w="1200" w:type="dxa"/>
            <w:gridSpan w:val="3"/>
            <w:tcBorders>
              <w:top w:val="single" w:color="auto" w:sz="4" w:space="0"/>
              <w:left w:val="nil"/>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良好（B）</w:t>
            </w:r>
          </w:p>
        </w:tc>
        <w:tc>
          <w:tcPr>
            <w:tcW w:w="1172" w:type="dxa"/>
            <w:tcBorders>
              <w:top w:val="single" w:color="auto" w:sz="4" w:space="0"/>
              <w:left w:val="nil"/>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合格（C）</w:t>
            </w:r>
          </w:p>
        </w:tc>
        <w:tc>
          <w:tcPr>
            <w:tcW w:w="1736" w:type="dxa"/>
            <w:gridSpan w:val="2"/>
            <w:tcBorders>
              <w:top w:val="single" w:color="auto" w:sz="4" w:space="0"/>
              <w:left w:val="nil"/>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基本合格（D）</w:t>
            </w:r>
          </w:p>
        </w:tc>
        <w:tc>
          <w:tcPr>
            <w:tcW w:w="1299" w:type="dxa"/>
            <w:tcBorders>
              <w:top w:val="single" w:color="auto" w:sz="4" w:space="0"/>
              <w:left w:val="nil"/>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不合格（E）</w:t>
            </w:r>
          </w:p>
        </w:tc>
      </w:tr>
      <w:tr>
        <w:tblPrEx>
          <w:tblLayout w:type="fixed"/>
          <w:tblCellMar>
            <w:top w:w="28" w:type="dxa"/>
            <w:left w:w="108" w:type="dxa"/>
            <w:bottom w:w="28" w:type="dxa"/>
            <w:right w:w="108" w:type="dxa"/>
          </w:tblCellMar>
        </w:tblPrEx>
        <w:trPr>
          <w:trHeight w:val="624" w:hRule="atLeast"/>
          <w:jc w:val="center"/>
        </w:trPr>
        <w:tc>
          <w:tcPr>
            <w:tcW w:w="124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一般管理人员、专任教师、学生管理人员</w:t>
            </w:r>
          </w:p>
        </w:tc>
        <w:tc>
          <w:tcPr>
            <w:tcW w:w="13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部门内部员工绩效评估等级分配人数</w:t>
            </w:r>
          </w:p>
        </w:tc>
        <w:tc>
          <w:tcPr>
            <w:tcW w:w="1098"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≤20%</w:t>
            </w:r>
          </w:p>
        </w:tc>
        <w:tc>
          <w:tcPr>
            <w:tcW w:w="1186"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≤30%</w:t>
            </w:r>
          </w:p>
        </w:tc>
        <w:tc>
          <w:tcPr>
            <w:tcW w:w="118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ascii="仿宋" w:hAnsi="仿宋" w:eastAsia="仿宋" w:cs="Arial"/>
                <w:b/>
                <w:color w:val="000000"/>
                <w:kern w:val="0"/>
                <w:sz w:val="24"/>
              </w:rPr>
              <w:t>-</w:t>
            </w:r>
          </w:p>
        </w:tc>
        <w:tc>
          <w:tcPr>
            <w:tcW w:w="1736" w:type="dxa"/>
            <w:gridSpan w:val="2"/>
            <w:tcBorders>
              <w:top w:val="single" w:color="auto" w:sz="4" w:space="0"/>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w:t>
            </w:r>
          </w:p>
        </w:tc>
        <w:tc>
          <w:tcPr>
            <w:tcW w:w="129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w:t>
            </w:r>
          </w:p>
        </w:tc>
      </w:tr>
    </w:tbl>
    <w:p>
      <w:pPr>
        <w:pStyle w:val="21"/>
        <w:pageBreakBefore w:val="0"/>
        <w:kinsoku/>
        <w:wordWrap/>
        <w:overflowPunct/>
        <w:topLinePunct w:val="0"/>
        <w:autoSpaceDE/>
        <w:autoSpaceDN/>
        <w:bidi w:val="0"/>
        <w:spacing w:line="320" w:lineRule="exact"/>
        <w:ind w:firstLine="420" w:firstLineChars="200"/>
        <w:outlineLvl w:val="9"/>
        <w:rPr>
          <w:rFonts w:ascii="仿宋" w:hAnsi="仿宋" w:eastAsia="仿宋"/>
          <w:color w:val="000000"/>
          <w:szCs w:val="21"/>
        </w:rPr>
      </w:pPr>
      <w:r>
        <w:rPr>
          <w:rFonts w:hint="eastAsia" w:ascii="仿宋" w:hAnsi="仿宋" w:eastAsia="仿宋"/>
          <w:color w:val="000000"/>
          <w:szCs w:val="21"/>
        </w:rPr>
        <w:t>注：柳州市年度评估优秀从学校绩效评估优秀等级中推荐，人数不足时从下一等级中择优选取；柳州市年度评估合格等级对应学校绩效评估的良好、合格两个等级；柳州市年度评估基本合格、不合格等级对应学校绩效评估的基本合格、不合格等级。</w:t>
      </w:r>
      <w:r>
        <w:rPr>
          <w:rFonts w:ascii="仿宋" w:hAnsi="仿宋" w:eastAsia="仿宋"/>
          <w:color w:val="000000"/>
          <w:szCs w:val="21"/>
        </w:rPr>
        <w:t xml:space="preserve"> </w:t>
      </w:r>
    </w:p>
    <w:p>
      <w:pPr>
        <w:pageBreakBefore w:val="0"/>
        <w:kinsoku/>
        <w:wordWrap/>
        <w:overflowPunct/>
        <w:topLinePunct w:val="0"/>
        <w:autoSpaceDE/>
        <w:autoSpaceDN/>
        <w:bidi w:val="0"/>
        <w:spacing w:line="560" w:lineRule="exact"/>
        <w:ind w:firstLine="643" w:firstLineChars="200"/>
        <w:outlineLvl w:val="9"/>
        <w:rPr>
          <w:rFonts w:ascii="楷体_GB2312" w:hAnsi="仿宋_GB2312" w:eastAsia="楷体_GB2312" w:cs="仿宋_GB2312"/>
          <w:b/>
          <w:kern w:val="0"/>
          <w:sz w:val="32"/>
          <w:szCs w:val="32"/>
          <w:lang w:bidi="ar"/>
        </w:rPr>
      </w:pPr>
      <w:r>
        <w:rPr>
          <w:rFonts w:hint="eastAsia" w:ascii="楷体_GB2312" w:hAnsi="仿宋_GB2312" w:eastAsia="楷体_GB2312" w:cs="仿宋_GB2312"/>
          <w:b/>
          <w:kern w:val="0"/>
          <w:sz w:val="32"/>
          <w:szCs w:val="32"/>
          <w:lang w:bidi="ar"/>
        </w:rPr>
        <w:t>（三）评估程序</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评估程序包括：绩效指标制定、审核与实施，绩效自评，绩效数据核定与审定，绩效评估结果反馈等。</w:t>
      </w:r>
    </w:p>
    <w:p>
      <w:pPr>
        <w:pageBreakBefore w:val="0"/>
        <w:kinsoku/>
        <w:wordWrap/>
        <w:overflowPunct/>
        <w:topLinePunct w:val="0"/>
        <w:autoSpaceDE/>
        <w:autoSpaceDN/>
        <w:bidi w:val="0"/>
        <w:spacing w:line="560" w:lineRule="exact"/>
        <w:ind w:firstLine="643" w:firstLineChars="200"/>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七、评估结果应用</w:t>
      </w:r>
    </w:p>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（一）从2018年1月起，实现绩效评估结果逐步与绩效奖金挂钩，奖金系数如下，具体绩效评估奖金分配方法学校将另行发布。</w:t>
      </w:r>
    </w:p>
    <w:tbl>
      <w:tblPr>
        <w:tblStyle w:val="17"/>
        <w:tblW w:w="9060" w:type="dxa"/>
        <w:jc w:val="center"/>
        <w:tblInd w:w="0" w:type="dxa"/>
        <w:tblLayout w:type="fixed"/>
        <w:tblCellMar>
          <w:top w:w="28" w:type="dxa"/>
          <w:left w:w="108" w:type="dxa"/>
          <w:bottom w:w="28" w:type="dxa"/>
          <w:right w:w="108" w:type="dxa"/>
        </w:tblCellMar>
      </w:tblPr>
      <w:tblGrid>
        <w:gridCol w:w="735"/>
        <w:gridCol w:w="834"/>
        <w:gridCol w:w="1248"/>
        <w:gridCol w:w="1665"/>
        <w:gridCol w:w="1665"/>
        <w:gridCol w:w="1665"/>
        <w:gridCol w:w="1248"/>
      </w:tblGrid>
      <w:tr>
        <w:tblPrEx>
          <w:tblLayout w:type="fixed"/>
          <w:tblCellMar>
            <w:top w:w="28" w:type="dxa"/>
            <w:left w:w="108" w:type="dxa"/>
            <w:bottom w:w="28" w:type="dxa"/>
            <w:right w:w="108" w:type="dxa"/>
          </w:tblCellMar>
        </w:tblPrEx>
        <w:trPr>
          <w:trHeight w:val="402" w:hRule="atLeast"/>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对象</w:t>
            </w:r>
          </w:p>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类型</w:t>
            </w:r>
          </w:p>
        </w:tc>
        <w:tc>
          <w:tcPr>
            <w:tcW w:w="83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等级</w:t>
            </w:r>
          </w:p>
        </w:tc>
        <w:tc>
          <w:tcPr>
            <w:tcW w:w="1248"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优秀（A）</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良好（B）</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合格（C）</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基本合格（D）</w:t>
            </w:r>
          </w:p>
        </w:tc>
        <w:tc>
          <w:tcPr>
            <w:tcW w:w="124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不合格（E）</w:t>
            </w:r>
          </w:p>
        </w:tc>
      </w:tr>
      <w:tr>
        <w:tblPrEx>
          <w:tblLayout w:type="fixed"/>
          <w:tblCellMar>
            <w:top w:w="28" w:type="dxa"/>
            <w:left w:w="108" w:type="dxa"/>
            <w:bottom w:w="28" w:type="dxa"/>
            <w:right w:w="108" w:type="dxa"/>
          </w:tblCellMar>
        </w:tblPrEx>
        <w:trPr>
          <w:trHeight w:val="624" w:hRule="atLeast"/>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部门</w:t>
            </w:r>
          </w:p>
        </w:tc>
        <w:tc>
          <w:tcPr>
            <w:tcW w:w="83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奖金系数</w:t>
            </w:r>
          </w:p>
        </w:tc>
        <w:tc>
          <w:tcPr>
            <w:tcW w:w="1248"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1.2</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1.1</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1.0</w:t>
            </w:r>
          </w:p>
        </w:tc>
        <w:tc>
          <w:tcPr>
            <w:tcW w:w="1665" w:type="dxa"/>
            <w:tcBorders>
              <w:top w:val="single" w:color="auto" w:sz="4" w:space="0"/>
              <w:left w:val="nil"/>
              <w:bottom w:val="single" w:color="auto" w:sz="4" w:space="0"/>
              <w:right w:val="single" w:color="auto" w:sz="4" w:space="0"/>
            </w:tcBorders>
            <w:shd w:val="clear" w:color="auto" w:fill="auto"/>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0.9</w:t>
            </w:r>
          </w:p>
        </w:tc>
        <w:tc>
          <w:tcPr>
            <w:tcW w:w="124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spacing w:line="320" w:lineRule="exact"/>
              <w:jc w:val="center"/>
              <w:outlineLvl w:val="9"/>
              <w:rPr>
                <w:rFonts w:ascii="仿宋" w:hAnsi="仿宋" w:eastAsia="仿宋" w:cs="Arial"/>
                <w:b/>
                <w:color w:val="000000"/>
                <w:kern w:val="0"/>
                <w:sz w:val="24"/>
              </w:rPr>
            </w:pPr>
            <w:r>
              <w:rPr>
                <w:rFonts w:hint="eastAsia" w:ascii="仿宋" w:hAnsi="仿宋" w:eastAsia="仿宋" w:cs="Arial"/>
                <w:b/>
                <w:color w:val="000000"/>
                <w:kern w:val="0"/>
                <w:sz w:val="24"/>
              </w:rPr>
              <w:t>0</w:t>
            </w:r>
          </w:p>
        </w:tc>
      </w:tr>
    </w:tbl>
    <w:p>
      <w:pPr>
        <w:pageBreakBefore w:val="0"/>
        <w:kinsoku/>
        <w:wordWrap/>
        <w:overflowPunct/>
        <w:topLinePunct w:val="0"/>
        <w:autoSpaceDE/>
        <w:autoSpaceDN/>
        <w:bidi w:val="0"/>
        <w:spacing w:line="56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（等级、奖金系数拨付方法、分配公式参照《2018年柳州职业技术学院工作量及奖励性绩效奖金发放办法（试行）》）</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（二）绩效评估结果将作为柳州市事业单位年度评估基本依据；同时</w:t>
      </w:r>
      <w:r>
        <w:rPr>
          <w:rFonts w:ascii="仿宋_GB2312" w:hAnsi="仿宋_GB2312" w:eastAsia="仿宋_GB2312" w:cs="仿宋_GB2312"/>
          <w:kern w:val="0"/>
          <w:sz w:val="32"/>
          <w:szCs w:val="32"/>
          <w:lang w:bidi="ar"/>
        </w:rPr>
        <w:t>作为</w:t>
      </w:r>
      <w:r>
        <w:rPr>
          <w:rFonts w:hint="eastAsia" w:ascii="仿宋_GB2312" w:hAnsi="仿宋_GB2312" w:eastAsia="仿宋_GB2312" w:cs="仿宋_GB2312"/>
          <w:kern w:val="0"/>
          <w:sz w:val="32"/>
          <w:szCs w:val="32"/>
          <w:lang w:bidi="ar"/>
        </w:rPr>
        <w:t>部门、员工</w:t>
      </w:r>
      <w:r>
        <w:rPr>
          <w:rFonts w:ascii="仿宋_GB2312" w:hAnsi="仿宋_GB2312" w:eastAsia="仿宋_GB2312" w:cs="仿宋_GB2312"/>
          <w:kern w:val="0"/>
          <w:sz w:val="32"/>
          <w:szCs w:val="32"/>
          <w:lang w:bidi="ar"/>
        </w:rPr>
        <w:t>绩效奖金发放的依据</w:t>
      </w:r>
      <w:r>
        <w:rPr>
          <w:rFonts w:hint="eastAsia" w:ascii="仿宋_GB2312" w:hAnsi="仿宋_GB2312" w:eastAsia="仿宋_GB2312" w:cs="仿宋_GB2312"/>
          <w:kern w:val="0"/>
          <w:sz w:val="32"/>
          <w:szCs w:val="32"/>
          <w:lang w:bidi="ar"/>
        </w:rPr>
        <w:t>；作为</w:t>
      </w:r>
      <w:r>
        <w:rPr>
          <w:rFonts w:ascii="仿宋_GB2312" w:hAnsi="仿宋_GB2312" w:eastAsia="仿宋_GB2312" w:cs="仿宋_GB2312"/>
          <w:kern w:val="0"/>
          <w:sz w:val="32"/>
          <w:szCs w:val="32"/>
          <w:lang w:bidi="ar"/>
        </w:rPr>
        <w:t>制定</w:t>
      </w:r>
      <w:r>
        <w:rPr>
          <w:rFonts w:hint="eastAsia" w:ascii="仿宋_GB2312" w:hAnsi="仿宋_GB2312" w:eastAsia="仿宋_GB2312" w:cs="仿宋_GB2312"/>
          <w:kern w:val="0"/>
          <w:sz w:val="32"/>
          <w:szCs w:val="32"/>
          <w:lang w:bidi="ar"/>
        </w:rPr>
        <w:t>部门、</w:t>
      </w:r>
      <w:r>
        <w:rPr>
          <w:rFonts w:ascii="仿宋_GB2312" w:hAnsi="仿宋_GB2312" w:eastAsia="仿宋_GB2312" w:cs="仿宋_GB2312"/>
          <w:kern w:val="0"/>
          <w:sz w:val="32"/>
          <w:szCs w:val="32"/>
          <w:lang w:bidi="ar"/>
        </w:rPr>
        <w:t>员工</w:t>
      </w:r>
      <w:r>
        <w:rPr>
          <w:rFonts w:hint="eastAsia" w:ascii="仿宋_GB2312" w:hAnsi="仿宋_GB2312" w:eastAsia="仿宋_GB2312" w:cs="仿宋_GB2312"/>
          <w:kern w:val="0"/>
          <w:sz w:val="32"/>
          <w:szCs w:val="32"/>
          <w:lang w:bidi="ar"/>
        </w:rPr>
        <w:t>工作</w:t>
      </w:r>
      <w:r>
        <w:rPr>
          <w:rFonts w:ascii="仿宋_GB2312" w:hAnsi="仿宋_GB2312" w:eastAsia="仿宋_GB2312" w:cs="仿宋_GB2312"/>
          <w:kern w:val="0"/>
          <w:sz w:val="32"/>
          <w:szCs w:val="32"/>
          <w:lang w:bidi="ar"/>
        </w:rPr>
        <w:t>业绩改进计划的依据；作为员工职务升降、</w:t>
      </w:r>
      <w:r>
        <w:rPr>
          <w:rFonts w:hint="eastAsia" w:ascii="仿宋_GB2312" w:hAnsi="仿宋_GB2312" w:eastAsia="仿宋_GB2312" w:cs="仿宋_GB2312"/>
          <w:kern w:val="0"/>
          <w:sz w:val="32"/>
          <w:szCs w:val="32"/>
          <w:lang w:bidi="ar"/>
        </w:rPr>
        <w:t>职称评审、</w:t>
      </w:r>
      <w:r>
        <w:rPr>
          <w:rFonts w:ascii="仿宋_GB2312" w:hAnsi="仿宋_GB2312" w:eastAsia="仿宋_GB2312" w:cs="仿宋_GB2312"/>
          <w:kern w:val="0"/>
          <w:sz w:val="32"/>
          <w:szCs w:val="32"/>
          <w:lang w:bidi="ar"/>
        </w:rPr>
        <w:t>岗位调整的依据；制定员工培训</w:t>
      </w:r>
      <w:r>
        <w:rPr>
          <w:rFonts w:hint="eastAsia" w:ascii="仿宋_GB2312" w:hAnsi="仿宋_GB2312" w:eastAsia="仿宋_GB2312" w:cs="仿宋_GB2312"/>
          <w:kern w:val="0"/>
          <w:sz w:val="32"/>
          <w:szCs w:val="32"/>
          <w:lang w:bidi="ar"/>
        </w:rPr>
        <w:t>计划与职业发展规划</w:t>
      </w:r>
      <w:r>
        <w:rPr>
          <w:rFonts w:ascii="仿宋_GB2312" w:hAnsi="仿宋_GB2312" w:eastAsia="仿宋_GB2312" w:cs="仿宋_GB2312"/>
          <w:kern w:val="0"/>
          <w:sz w:val="32"/>
          <w:szCs w:val="32"/>
          <w:lang w:bidi="ar"/>
        </w:rPr>
        <w:t>的依据</w:t>
      </w:r>
      <w:r>
        <w:rPr>
          <w:rFonts w:hint="eastAsia" w:ascii="仿宋_GB2312" w:hAnsi="仿宋_GB2312" w:eastAsia="仿宋_GB2312" w:cs="仿宋_GB2312"/>
          <w:kern w:val="0"/>
          <w:sz w:val="32"/>
          <w:szCs w:val="32"/>
          <w:lang w:bidi="ar"/>
        </w:rPr>
        <w:t>。</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（三）惩罚措施</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故意不参与绩效评估的、个人绩效评估结果为</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基本合格</w:t>
      </w:r>
      <w:r>
        <w:rPr>
          <w:rFonts w:ascii="仿宋_GB2312" w:hAnsi="仿宋_GB2312" w:eastAsia="仿宋_GB2312" w:cs="仿宋_GB2312"/>
          <w:kern w:val="0"/>
          <w:sz w:val="32"/>
          <w:szCs w:val="32"/>
          <w:lang w:bidi="ar"/>
        </w:rPr>
        <w:t>”或“</w:t>
      </w:r>
      <w:r>
        <w:rPr>
          <w:rFonts w:hint="eastAsia" w:ascii="仿宋_GB2312" w:hAnsi="仿宋_GB2312" w:eastAsia="仿宋_GB2312" w:cs="仿宋_GB2312"/>
          <w:kern w:val="0"/>
          <w:sz w:val="32"/>
          <w:szCs w:val="32"/>
          <w:lang w:bidi="ar"/>
        </w:rPr>
        <w:t>不合格</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bidi="ar"/>
        </w:rPr>
        <w:t>的员工，交由学校绩效评估领导小组依据柳州市事业单位工作人员年度评估管理办法确定其年度评估结果。根据评估结果做出相关工资福利、专业技术职务、岗位或聘用等方面的调整。</w:t>
      </w:r>
    </w:p>
    <w:p>
      <w:pPr>
        <w:pageBreakBefore w:val="0"/>
        <w:kinsoku/>
        <w:wordWrap/>
        <w:overflowPunct/>
        <w:topLinePunct w:val="0"/>
        <w:autoSpaceDE/>
        <w:autoSpaceDN/>
        <w:bidi w:val="0"/>
        <w:spacing w:line="550" w:lineRule="exact"/>
        <w:ind w:firstLine="643" w:firstLineChars="200"/>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八、附则</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1.解释权</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本办法的解释说明权归质量管理办公室、人事处。</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2.实施细则</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本办法的未尽事宜及相关实施细则，由质量管理办公室联合相关部门及时补充。</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3.修改、废除权</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本办法由质量管理办公室修改、废除，经绩效评估领导小组考审批确认后生效。</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b/>
          <w:kern w:val="0"/>
          <w:sz w:val="32"/>
          <w:szCs w:val="32"/>
          <w:lang w:bidi="ar"/>
        </w:rPr>
      </w:pPr>
      <w:r>
        <w:rPr>
          <w:rFonts w:hint="eastAsia" w:ascii="仿宋_GB2312" w:hAnsi="仿宋_GB2312" w:eastAsia="仿宋_GB2312" w:cs="仿宋_GB2312"/>
          <w:b/>
          <w:kern w:val="0"/>
          <w:sz w:val="32"/>
          <w:szCs w:val="32"/>
          <w:lang w:bidi="ar"/>
        </w:rPr>
        <w:t>4.实施时间</w:t>
      </w:r>
    </w:p>
    <w:p>
      <w:pPr>
        <w:pageBreakBefore w:val="0"/>
        <w:kinsoku/>
        <w:wordWrap/>
        <w:overflowPunct/>
        <w:topLinePunct w:val="0"/>
        <w:autoSpaceDE/>
        <w:autoSpaceDN/>
        <w:bidi w:val="0"/>
        <w:spacing w:line="550" w:lineRule="exact"/>
        <w:ind w:firstLine="624" w:firstLineChars="200"/>
        <w:outlineLvl w:val="9"/>
        <w:rPr>
          <w:rFonts w:ascii="仿宋_GB2312" w:hAnsi="仿宋_GB2312" w:eastAsia="仿宋_GB2312" w:cs="仿宋_GB2312"/>
          <w:spacing w:val="-4"/>
          <w:kern w:val="0"/>
          <w:sz w:val="32"/>
          <w:szCs w:val="32"/>
          <w:lang w:bidi="ar"/>
        </w:rPr>
      </w:pPr>
      <w:r>
        <w:rPr>
          <w:rFonts w:hint="eastAsia" w:ascii="仿宋_GB2312" w:hAnsi="仿宋_GB2312" w:eastAsia="仿宋_GB2312" w:cs="仿宋_GB2312"/>
          <w:spacing w:val="-4"/>
          <w:kern w:val="0"/>
          <w:sz w:val="32"/>
          <w:szCs w:val="32"/>
          <w:lang w:bidi="ar"/>
        </w:rPr>
        <w:t>本办法的实施时间绩效评估领导小组审议通过后方可生效。</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b/>
          <w:color w:val="000000"/>
          <w:sz w:val="36"/>
          <w:szCs w:val="36"/>
        </w:rPr>
        <w:br w:type="page"/>
      </w:r>
      <w:bookmarkStart w:id="338" w:name="_Toc534379494"/>
      <w:r>
        <w:rPr>
          <w:rFonts w:hint="eastAsia" w:ascii="Calibri" w:hAnsi="Calibri"/>
          <w:b/>
          <w:color w:val="000000"/>
          <w:sz w:val="36"/>
          <w:szCs w:val="36"/>
          <w:lang w:val="en-US" w:eastAsia="zh-CN"/>
        </w:rPr>
        <w:t>柳州职业技术学院工资薪酬发放工作细则</w:t>
      </w:r>
      <w:bookmarkEnd w:id="338"/>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（柳职院字〔2018〕44号）</w:t>
      </w:r>
    </w:p>
    <w:p>
      <w:pPr>
        <w:pageBreakBefore w:val="0"/>
        <w:kinsoku/>
        <w:wordWrap/>
        <w:overflowPunct/>
        <w:topLinePunct w:val="0"/>
        <w:autoSpaceDE/>
        <w:autoSpaceDN/>
        <w:bidi w:val="0"/>
        <w:spacing w:line="360" w:lineRule="auto"/>
        <w:jc w:val="center"/>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第一章   总则</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为明确及规范我校教职工工资薪酬发放管理，确保工资薪酬发放的准确性、完整性、及时性，根据学校实际情况特制定本细则。</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本细则适用于学校所有在职在编人员，长期聘用人员及临时外聘教师、离退休及返聘人员。</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本细则中工资薪酬包括财政拨付的岗位工资、薪级工资及绩效工资（以下称基本工资），以及除财政资金拨付外的绩效工资、社会服务成本等（以下称工作量）。</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第二章   发放职责</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经费发放资料提供部门职责：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各行政（含业务归口管理部门）和二级学院经费发放部门负责向人事处提交日常行政工作量及课酬、绩效奖等发放资料；向财务处提交除日常行政工作量及课酬、绩效奖以外的其他工作量发放资料。发放部门对所提交资料的真实性、完整性、准确性负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人事处负责将上级部门审核批复的增人增资调资、年度考核优秀奖励、相关补贴等发放材料、代扣个人社会保障经费（失业险、医疗险、养老险、职业年金）扣缴资料，以及相关部门提供的，经人事处审核后的每月日常行政工作量及课酬、学期奖励性绩效等发放材料提供给财务处，并对所提交资料的真实性、完整性、准确性负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后勤处负责提供在工资表中代扣的个人水电费、物业费、公租房租金等材料，学生工作处负责提供在职老师在学校宿舍需代扣的房租材料，财务处负责提供公积金扣缴材料等。以上部门对所提交代扣资料的真实性、完整性、准确性负责。</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第五条  </w:t>
      </w:r>
      <w:r>
        <w:rPr>
          <w:rFonts w:hint="eastAsia" w:ascii="仿宋_GB2312" w:hAnsi="仿宋_GB2312" w:eastAsia="仿宋_GB2312" w:cs="仿宋_GB2312"/>
          <w:kern w:val="0"/>
          <w:sz w:val="32"/>
          <w:szCs w:val="32"/>
          <w:lang w:bidi="ar"/>
        </w:rPr>
        <w:t>财务处职责：</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1.负责审核、处理各部门提交的工资薪酬资料。主要审核发放是否符合规定，收入类型分类是否正确，流程请示是否齐全，经费方向是否按流程支出，金额填写是否规范。</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2.负责编制工资薪酬发放汇总表，并进行会计账务处理。</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3.负责将发放信息制盘提供给银行，督促银行及时发放。</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4.负责工资薪酬发放资料的归档工作。</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第三章  发放时间</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工资薪酬每月发放两次，每月10日为基本工资发放时间，月末为工作量发放时间，基本工资发放时间遇周末节假日将顺延，存在其他特殊情况将另行通知。</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第四章  薪酬的申报</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hint="eastAsia" w:ascii="仿宋_GB2312" w:hAnsi="仿宋_GB2312" w:eastAsia="仿宋_GB2312" w:cs="仿宋_GB2312"/>
          <w:kern w:val="0"/>
          <w:sz w:val="32"/>
          <w:szCs w:val="32"/>
          <w:lang w:bidi="ar"/>
        </w:rPr>
        <w:t xml:space="preserve">  日常行政工作量及课酬、绩效奖等需在收入申报系统申报，将核对无误申报单打印，经部门负责人签字后交至人事处审核；除日常行政工作量及课酬、绩效奖外的其他工作量需提请人员经费发放事前审批流程。待流程完成后，再录入工资收入申报管理系统进行申报。将人员经费事前审批表同纸质申报单、其他相关资料提交至财务处审核。</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基本工资变动材料于每月7日前提供至财务处。收入申报系统开通为每月1-25日，25日后系统关闭不再受理。经办人员需按人员类别、收入分类、流程批准的经费支出方向、规定的摘要书写要求正确录入发放信息。纸质申报单于25日前报送审核部门，逾期未报送的，系统将自动做出本月发放取消处理，次月经办人员要重新打印，待提交纸质申报单后再进行发放。</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第五章  审核和发放流程</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资料审核：</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1.财务处根据相关部门已提供的工资变动资料代扣法定必须代为扣除的职工个人社保、公积金及个人所得税，根据相关部门提供的工资变动材料计算调整相关人员基本工资、代扣个人物业费、水电费等。</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2.人事处负责审核各部门提交的日常行政工作量及课酬、绩效奖发放情况表，汇总后统一报财务处办理发放审批手续。</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 财务处负责审核部门除日常行政工作量及课酬、绩效奖以外的其他工作量的发放情况表。</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审核受理过程中纸质材料审核不通过的，如缺少材料，经办人需补办相关材料；如信息录入错误，由经办人员提请人事处或财务处审核部门在网上取消该笔申报单打印状态，由经办人员修改信息正确后重新打印提交。</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5.审核通过的申报单交由相关领导审批签字，并将发放数据按人员类型分别进行挂入账账务处理。如相关部门经费不足无法挂账处理，则告知该部门相关情况，并根据反馈做申报单退回或暂缓处理。</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工资薪酬发放：</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1．财务处工资会计负责工资数据编辑计算及相关账务处理，核对无误后汇总填制支付申请单，经分管科长负责数据审核后，报相关领导审批。</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2.工资会计根据审批后的支付申请单编制支出凭证并按银行要求格式加密制盘，交由出纳付款。</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3.工资会计在基本工资发放后2日内将工资数据上传至工资申报系统进行，便于职工查阅。并将工资变动材料与银行回单整理归档。</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各类工资薪酬由财务处统一发放至个人银行卡，不得发放现金或代领，并依法代扣代缴个人所得税。</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第六章  误算、误发情况处理</w:t>
      </w:r>
    </w:p>
    <w:p>
      <w:pPr>
        <w:pageBreakBefore w:val="0"/>
        <w:kinsoku/>
        <w:wordWrap/>
        <w:overflowPunct/>
        <w:topLinePunct w:val="0"/>
        <w:autoSpaceDE/>
        <w:autoSpaceDN/>
        <w:bidi w:val="0"/>
        <w:spacing w:line="55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因为误算、误发而多付职工的工资薪酬时，人事处或经办部门、财务处查实后有权向员工行使追索权。</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第十三条  </w:t>
      </w:r>
      <w:r>
        <w:rPr>
          <w:rFonts w:hint="eastAsia" w:ascii="仿宋_GB2312" w:hAnsi="仿宋_GB2312" w:eastAsia="仿宋_GB2312" w:cs="仿宋_GB2312"/>
          <w:kern w:val="0"/>
          <w:sz w:val="32"/>
          <w:szCs w:val="32"/>
          <w:lang w:bidi="ar"/>
        </w:rPr>
        <w:t>因误算、误发而少付职工的工资薪酬时，由人事处或经办部门、财务处负责查实情况。如情况属实，则因为误算而少付的由人事处或经办部门提出补发申请，按学校审批程序签批后，给予员工补发。</w:t>
      </w:r>
    </w:p>
    <w:p>
      <w:pPr>
        <w:pageBreakBefore w:val="0"/>
        <w:kinsoku/>
        <w:wordWrap/>
        <w:overflowPunct/>
        <w:topLinePunct w:val="0"/>
        <w:autoSpaceDE/>
        <w:autoSpaceDN/>
        <w:bidi w:val="0"/>
        <w:spacing w:line="550"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5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第七章  附则</w:t>
      </w:r>
    </w:p>
    <w:p>
      <w:pPr>
        <w:pageBreakBefore w:val="0"/>
        <w:kinsoku/>
        <w:wordWrap/>
        <w:overflowPunct/>
        <w:topLinePunct w:val="0"/>
        <w:autoSpaceDE/>
        <w:autoSpaceDN/>
        <w:bidi w:val="0"/>
        <w:spacing w:line="55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本细则自颁布之日起实施，解释权归财务处。</w:t>
      </w:r>
    </w:p>
    <w:p>
      <w:pPr>
        <w:pageBreakBefore w:val="0"/>
        <w:kinsoku/>
        <w:wordWrap/>
        <w:overflowPunct/>
        <w:topLinePunct w:val="0"/>
        <w:autoSpaceDE/>
        <w:autoSpaceDN/>
        <w:bidi w:val="0"/>
        <w:spacing w:line="550" w:lineRule="exact"/>
        <w:ind w:firstLine="640" w:firstLineChars="200"/>
        <w:outlineLvl w:val="9"/>
        <w:rPr>
          <w:rFonts w:hint="eastAsia" w:ascii="仿宋_GB2312" w:hAnsi="仿宋_GB2312" w:eastAsia="仿宋_GB2312" w:cs="仿宋_GB2312"/>
          <w:kern w:val="0"/>
          <w:sz w:val="32"/>
          <w:szCs w:val="32"/>
          <w:lang w:bidi="ar"/>
        </w:r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ascii="宋体" w:hAnsi="宋体"/>
          <w:b/>
          <w:bCs/>
          <w:color w:val="000000"/>
          <w:sz w:val="36"/>
          <w:szCs w:val="36"/>
          <w:lang w:val="en-US" w:eastAsia="zh-CN"/>
        </w:rPr>
      </w:pPr>
      <w:bookmarkStart w:id="339" w:name="_Toc534379516"/>
      <w:bookmarkStart w:id="340" w:name="_Toc6676"/>
      <w:bookmarkStart w:id="341" w:name="_Toc978"/>
      <w:bookmarkStart w:id="342" w:name="_Toc12474"/>
      <w:r>
        <w:rPr>
          <w:rFonts w:hint="eastAsia" w:ascii="宋体" w:hAnsi="宋体"/>
          <w:b/>
          <w:bCs/>
          <w:color w:val="000000"/>
          <w:sz w:val="36"/>
          <w:szCs w:val="36"/>
          <w:lang w:val="en-US" w:eastAsia="zh-CN"/>
        </w:rPr>
        <w:t>柳州职业技术学院</w:t>
      </w:r>
      <w:bookmarkEnd w:id="339"/>
      <w:bookmarkStart w:id="343" w:name="_Toc534379517"/>
      <w:r>
        <w:rPr>
          <w:rFonts w:hint="eastAsia" w:ascii="宋体" w:hAnsi="宋体"/>
          <w:b/>
          <w:bCs/>
          <w:color w:val="000000"/>
          <w:sz w:val="36"/>
          <w:szCs w:val="36"/>
          <w:lang w:val="en-US" w:eastAsia="zh-CN"/>
        </w:rPr>
        <w:t>职称认定、职称申报暂行规定</w:t>
      </w:r>
      <w:bookmarkEnd w:id="340"/>
      <w:bookmarkEnd w:id="341"/>
      <w:bookmarkEnd w:id="342"/>
      <w:bookmarkEnd w:id="343"/>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（柳职院职改字〔2018〕6号）</w:t>
      </w:r>
    </w:p>
    <w:p>
      <w:pPr>
        <w:pageBreakBefore w:val="0"/>
        <w:kinsoku/>
        <w:wordWrap/>
        <w:overflowPunct/>
        <w:topLinePunct w:val="0"/>
        <w:autoSpaceDE/>
        <w:autoSpaceDN/>
        <w:bidi w:val="0"/>
        <w:outlineLvl w:val="9"/>
        <w:rPr>
          <w:szCs w:val="28"/>
        </w:rPr>
      </w:pP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为规范学校职称管理工作，根据上级相关文件精神并结合学校实际，就教职工职称认定、职称申报等工作规定如下：</w:t>
      </w:r>
    </w:p>
    <w:p>
      <w:pPr>
        <w:pageBreakBefore w:val="0"/>
        <w:kinsoku/>
        <w:wordWrap/>
        <w:overflowPunct/>
        <w:topLinePunct w:val="0"/>
        <w:autoSpaceDE/>
        <w:autoSpaceDN/>
        <w:bidi w:val="0"/>
        <w:spacing w:line="580" w:lineRule="exact"/>
        <w:ind w:firstLine="643" w:firstLineChars="200"/>
        <w:jc w:val="left"/>
        <w:outlineLvl w:val="9"/>
        <w:rPr>
          <w:rFonts w:ascii="黑体" w:hAnsi="黑体" w:eastAsia="黑体"/>
          <w:b/>
          <w:sz w:val="32"/>
          <w:szCs w:val="32"/>
        </w:rPr>
      </w:pPr>
      <w:r>
        <w:rPr>
          <w:rFonts w:hint="eastAsia" w:ascii="黑体" w:hAnsi="黑体" w:eastAsia="黑体"/>
          <w:b/>
          <w:sz w:val="32"/>
          <w:szCs w:val="32"/>
        </w:rPr>
        <w:t>一、职称认定</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1.教职工申请职称认定，需从事与所学专业对口或相近的专业技术工作，达到规定年限要求，经考核合格，其申请的职称系列应与本人所从事的专业技术岗位工作性质一致。</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2.申请职称认定教职工必须是国家教育主管部门承认学历的全日制院校本科、硕士、博士毕业生。</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（1）全日制本科应届毕业生毕业后工作满1年后，可申请认定相应的助理级职称；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（2）全日制应届硕士研究生毕业后工作满3年、全日制应届博士研究生毕业工作后，可申请认定相应的中级职称；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（3）博士后流动站、工作站期满合格出站人员，可认定副高级职称。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3.已实行全国统一考试的职称系列不再进行相应的职称认定。</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4.教职工申请认定的职称有执业资格证要求的，须获得相应的执业资格证书后方可申请认定。认定应在达到要求的时间起2年内办理完成（博士后从出站之日算起，博士从建立劳动关系之日算起）。逾期未办理须通过评审取得相应的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5.职称认定原则上不作二次认定，认定后不能因获得新学历条件再次认定。</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6.职称认定申请按附件规定的流程实施。</w:t>
      </w:r>
    </w:p>
    <w:p>
      <w:pPr>
        <w:pageBreakBefore w:val="0"/>
        <w:kinsoku/>
        <w:wordWrap/>
        <w:overflowPunct/>
        <w:topLinePunct w:val="0"/>
        <w:autoSpaceDE/>
        <w:autoSpaceDN/>
        <w:bidi w:val="0"/>
        <w:spacing w:line="580" w:lineRule="exact"/>
        <w:ind w:firstLine="643" w:firstLineChars="200"/>
        <w:jc w:val="left"/>
        <w:outlineLvl w:val="9"/>
        <w:rPr>
          <w:rFonts w:ascii="黑体" w:hAnsi="黑体" w:eastAsia="黑体"/>
          <w:b/>
          <w:sz w:val="32"/>
          <w:szCs w:val="32"/>
        </w:rPr>
      </w:pPr>
      <w:r>
        <w:rPr>
          <w:rFonts w:hint="eastAsia" w:ascii="黑体" w:hAnsi="黑体" w:eastAsia="黑体"/>
          <w:b/>
          <w:sz w:val="32"/>
          <w:szCs w:val="32"/>
        </w:rPr>
        <w:t>二、职称申报</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1.教职工申报职称，其申报的职称系列应与本人所从事的专业技术岗位工作性质一致。</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2.在教学岗位主要从事教学工作的教职工应申报教师系列职称。同时，鼓励在取得教师系列职称后，申报与本人工作相关的其他系列职称。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3.教职工申报实验系列职称应是在学校实验、实训岗位上的工作人员，教职工申报图书馆系列、工程系列、经济系列、会计系列、研究系列等职称的，本人应是在图书馆、实习工厂及行政、教学管理和服务部门相对应的技术岗位上工作的人员。因学校工作需要调整工作岗位的专业技术人员，可以申报原专业技术岗位的职称。</w:t>
      </w:r>
    </w:p>
    <w:p>
      <w:pPr>
        <w:pageBreakBefore w:val="0"/>
        <w:kinsoku/>
        <w:wordWrap/>
        <w:overflowPunct/>
        <w:topLinePunct w:val="0"/>
        <w:autoSpaceDE/>
        <w:autoSpaceDN/>
        <w:bidi w:val="0"/>
        <w:spacing w:line="580" w:lineRule="exact"/>
        <w:ind w:firstLine="640" w:firstLineChars="200"/>
        <w:jc w:val="left"/>
        <w:outlineLvl w:val="9"/>
        <w:rPr>
          <w:rFonts w:ascii="仿宋_GB2312" w:hAnsi="宋体" w:eastAsia="仿宋_GB2312"/>
          <w:sz w:val="32"/>
          <w:szCs w:val="32"/>
        </w:rPr>
      </w:pPr>
      <w:r>
        <w:rPr>
          <w:rFonts w:hint="eastAsia" w:ascii="仿宋_GB2312" w:hAnsi="宋体" w:eastAsia="仿宋_GB2312"/>
          <w:sz w:val="32"/>
          <w:szCs w:val="32"/>
        </w:rPr>
        <w:t>此暂行规定由学校职改办负责解释，未尽事宜由柳州职业技术学院职称改革工作领导小组讨论决定。</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宋体" w:hAnsi="宋体"/>
          <w:b/>
          <w:bCs/>
          <w:color w:val="000000"/>
          <w:sz w:val="36"/>
          <w:szCs w:val="36"/>
          <w:lang w:val="en-US" w:eastAsia="zh-CN"/>
        </w:rPr>
      </w:pPr>
      <w:bookmarkStart w:id="344" w:name="_Toc8047"/>
      <w:bookmarkStart w:id="345" w:name="_Toc13204"/>
      <w:bookmarkStart w:id="346" w:name="_Toc25865"/>
      <w:bookmarkStart w:id="347" w:name="_Toc11230"/>
      <w:bookmarkStart w:id="348" w:name="_Toc24418"/>
      <w:r>
        <w:rPr>
          <w:rFonts w:hint="eastAsia" w:ascii="宋体" w:hAnsi="宋体"/>
          <w:b/>
          <w:bCs/>
          <w:color w:val="000000"/>
          <w:sz w:val="36"/>
          <w:szCs w:val="36"/>
          <w:lang w:val="en-US" w:eastAsia="zh-CN"/>
        </w:rPr>
        <w:t>柳州职业技术学院全面深化新时代</w:t>
      </w:r>
      <w:bookmarkEnd w:id="344"/>
      <w:bookmarkStart w:id="349" w:name="_Toc4011"/>
      <w:r>
        <w:rPr>
          <w:rFonts w:hint="eastAsia" w:ascii="宋体" w:hAnsi="宋体"/>
          <w:b/>
          <w:bCs/>
          <w:color w:val="000000"/>
          <w:sz w:val="36"/>
          <w:szCs w:val="36"/>
          <w:lang w:val="en-US" w:eastAsia="zh-CN"/>
        </w:rPr>
        <w:t>教师队伍建设改革的实施意见</w:t>
      </w:r>
      <w:bookmarkEnd w:id="345"/>
      <w:bookmarkEnd w:id="346"/>
      <w:bookmarkEnd w:id="347"/>
      <w:bookmarkEnd w:id="348"/>
      <w:bookmarkEnd w:id="349"/>
    </w:p>
    <w:p>
      <w:pPr>
        <w:pageBreakBefore w:val="0"/>
        <w:kinsoku/>
        <w:wordWrap/>
        <w:overflowPunct/>
        <w:topLinePunct w:val="0"/>
        <w:autoSpaceDE/>
        <w:autoSpaceDN/>
        <w:bidi w:val="0"/>
        <w:jc w:val="center"/>
        <w:outlineLvl w:val="9"/>
        <w:rPr>
          <w:rFonts w:hint="eastAsia" w:ascii="仿宋_GB2312" w:hAnsi="仿宋" w:eastAsia="仿宋_GB2312"/>
          <w:b w:val="0"/>
          <w:bCs w:val="0"/>
          <w:sz w:val="32"/>
          <w:szCs w:val="32"/>
          <w:lang w:eastAsia="zh-CN"/>
        </w:rPr>
      </w:pPr>
      <w:r>
        <w:rPr>
          <w:rFonts w:hint="eastAsia" w:ascii="仿宋_GB2312" w:hAnsi="仿宋" w:eastAsia="仿宋_GB2312"/>
          <w:b w:val="0"/>
          <w:bCs w:val="0"/>
          <w:sz w:val="32"/>
          <w:szCs w:val="32"/>
          <w:lang w:eastAsia="zh-CN"/>
        </w:rPr>
        <w:t>（</w:t>
      </w:r>
      <w:r>
        <w:rPr>
          <w:rFonts w:hint="eastAsia" w:ascii="仿宋_GB2312" w:eastAsia="仿宋_GB2312"/>
          <w:b w:val="0"/>
          <w:bCs w:val="0"/>
          <w:sz w:val="32"/>
          <w:szCs w:val="32"/>
        </w:rPr>
        <w:t>柳职院党字〔2019〕18号</w:t>
      </w:r>
      <w:r>
        <w:rPr>
          <w:rFonts w:hint="eastAsia" w:ascii="仿宋_GB2312" w:hAnsi="仿宋" w:eastAsia="仿宋_GB2312"/>
          <w:b w:val="0"/>
          <w:bCs w:val="0"/>
          <w:sz w:val="32"/>
          <w:szCs w:val="32"/>
          <w:lang w:eastAsia="zh-CN"/>
        </w:rPr>
        <w:t>）</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教师是落实学校立德树人根本任务的第一资源，为深入贯彻落实《中共中央 、国务院关于全面深化新时代教师队伍建设改革的意见》》（中发</w:t>
      </w:r>
      <w:r>
        <w:rPr>
          <w:rFonts w:hint="eastAsia" w:ascii="仿宋_GB2312" w:eastAsia="仿宋_GB2312"/>
          <w:sz w:val="32"/>
          <w:szCs w:val="32"/>
        </w:rPr>
        <w:t>〔2018〕</w:t>
      </w:r>
      <w:r>
        <w:rPr>
          <w:rFonts w:hint="eastAsia" w:ascii="仿宋_GB2312" w:hAnsi="仿宋" w:eastAsia="仿宋_GB2312" w:cs="宋体"/>
          <w:kern w:val="0"/>
          <w:sz w:val="32"/>
          <w:szCs w:val="32"/>
        </w:rPr>
        <w:t>4 号）文件精神，落实自治区党委政府《关于全面深化新时代教师队伍建设改革的实施意见》（桂发</w:t>
      </w:r>
      <w:r>
        <w:rPr>
          <w:rFonts w:hint="eastAsia" w:ascii="仿宋_GB2312" w:eastAsia="仿宋_GB2312"/>
          <w:sz w:val="32"/>
          <w:szCs w:val="32"/>
        </w:rPr>
        <w:t>〔2018〕</w:t>
      </w:r>
      <w:r>
        <w:rPr>
          <w:rFonts w:hint="eastAsia" w:ascii="仿宋_GB2312" w:hAnsi="仿宋" w:eastAsia="仿宋_GB2312" w:cs="宋体"/>
          <w:kern w:val="0"/>
          <w:sz w:val="32"/>
          <w:szCs w:val="32"/>
        </w:rPr>
        <w:t xml:space="preserve">14号）文件的要求，建设一支高素质专业化创新型教师队伍，加快我校建设中国特色社会主义高水平高等职业院校步伐，现就全面加强我校教师队伍建设，提出如下实施意见。 </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黑体" w:hAnsi="黑体" w:eastAsia="黑体" w:cs="华文仿宋"/>
          <w:b/>
          <w:sz w:val="32"/>
          <w:szCs w:val="32"/>
        </w:rPr>
      </w:pPr>
      <w:r>
        <w:rPr>
          <w:rFonts w:hint="eastAsia" w:ascii="黑体" w:hAnsi="黑体" w:eastAsia="黑体" w:cs="华文仿宋"/>
          <w:b/>
          <w:sz w:val="32"/>
          <w:szCs w:val="32"/>
        </w:rPr>
        <w:t>一、指导思想</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全面贯彻党的十九大精神，以习近平新时代中国特色社会主义思想为指导，坚持社会主义办学方向，落实立德树人根本任务。以师德师风建设为基础，坚持引进与培养结合、专职与兼职并重，优化师资队伍结构，提升教师教学与实践能力。着重培育教师的现代职业教育理念、先进的职业教育教学方法、过硬的实践操作能力，着重搭建开放性的校企共享共存式教师资源平台。进一步深化人事分配制度、激励机制改革，创新管理模式，充分调动教师积极性，打造一支开放式、国际化、创新型的专兼结合的教师队伍。为加快我校建设中国特色社会主义高水平高等职业院校步伐，提供人才保障和智力支持 。</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黑体" w:hAnsi="黑体" w:eastAsia="黑体" w:cs="华文仿宋"/>
          <w:b/>
          <w:sz w:val="32"/>
          <w:szCs w:val="32"/>
        </w:rPr>
      </w:pPr>
      <w:r>
        <w:rPr>
          <w:rFonts w:hint="eastAsia" w:ascii="黑体" w:hAnsi="黑体" w:eastAsia="黑体" w:cs="华文仿宋"/>
          <w:b/>
          <w:sz w:val="32"/>
          <w:szCs w:val="32"/>
        </w:rPr>
        <w:t xml:space="preserve">二、基本原则 </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坚持党的领导，确保政治方向。坚持党管干部、党管人才，坚持依法治教、依法执教，坚持严格管理监督与激励关怀相结合，充分发挥党委的领导和把关作用，确保党牢牢掌握教师队伍建设的领导权，保证教师队伍建设正确的政治方向。</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注重思想素质，突出师德师风。把提高教师思想政治素质和职业道德水平摆在首要位置，把社会主义核心价值观贯穿教书育人全过程，突出全员全方位全过程师德养成，建立健全师德建设长效机制，推动教师成为先进思想文化的传播者、党执政的坚定支持者、学生健康成长的指导者。</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坚持改革创新，强化建设保障。聚焦教师工作难点重点，加大高层次人才和名师的引进和培育，加大产教融合校企合作，建设高水平“双师”队伍；创新教师职称评聘、工作绩效评价、薪酬制度改革等机制制度，激发教师活力。坚持优先发展教师队伍，优先谋划教师工作，优先保障教师队伍建设。</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黑体" w:hAnsi="黑体" w:eastAsia="黑体" w:cs="华文仿宋"/>
          <w:b/>
          <w:sz w:val="32"/>
          <w:szCs w:val="32"/>
        </w:rPr>
      </w:pPr>
      <w:r>
        <w:rPr>
          <w:rFonts w:hint="eastAsia" w:ascii="黑体" w:hAnsi="黑体" w:eastAsia="黑体" w:cs="华文仿宋"/>
          <w:b/>
          <w:sz w:val="32"/>
          <w:szCs w:val="32"/>
        </w:rPr>
        <w:t>三、建设目标</w:t>
      </w:r>
    </w:p>
    <w:p>
      <w:pPr>
        <w:pageBreakBefore w:val="0"/>
        <w:widowControl/>
        <w:kinsoku/>
        <w:wordWrap/>
        <w:overflowPunct/>
        <w:topLinePunct w:val="0"/>
        <w:autoSpaceDE/>
        <w:autoSpaceDN/>
        <w:bidi w:val="0"/>
        <w:spacing w:line="596" w:lineRule="exact"/>
        <w:ind w:firstLine="640" w:firstLineChars="200"/>
        <w:jc w:val="left"/>
        <w:outlineLvl w:val="9"/>
        <w:rPr>
          <w:rFonts w:hint="eastAsia" w:ascii="仿宋_GB2312" w:hAnsi="仿宋" w:eastAsia="仿宋_GB2312" w:cs="华文仿宋"/>
          <w:sz w:val="32"/>
          <w:szCs w:val="32"/>
        </w:rPr>
      </w:pPr>
      <w:r>
        <w:rPr>
          <w:rFonts w:hint="eastAsia" w:ascii="仿宋_GB2312" w:hAnsi="仿宋" w:eastAsia="仿宋_GB2312" w:cs="宋体"/>
          <w:kern w:val="0"/>
          <w:sz w:val="32"/>
          <w:szCs w:val="32"/>
        </w:rPr>
        <w:t>到2035年，教师党支部建设坚强有力，教师管理体制机制科学高效，教师引进和培养培训体系、教师岗位职责和绩效考核评价体系健全，教师职称评聘、薪酬改革等管理制度更加完善，教师政治思想素质和职业道德优良，教师教书育人的主动性和积极性高，教师主动适应信息化、人工智能等新技术变革，综合素质、专业化水平和创新能力大幅提升，培养造就一批有影响力的骨干教师、教学名师、技能大师等专业领军人才，建成一批省级、国家级教学科研创新团队，教师规模、结构、素质能力满足学校高水平发展需要。</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黑体" w:hAnsi="黑体" w:eastAsia="黑体" w:cs="华文仿宋"/>
          <w:b/>
          <w:sz w:val="32"/>
          <w:szCs w:val="32"/>
        </w:rPr>
      </w:pPr>
      <w:r>
        <w:rPr>
          <w:rFonts w:hint="eastAsia" w:ascii="黑体" w:hAnsi="黑体" w:eastAsia="黑体" w:cs="华文仿宋"/>
          <w:b/>
          <w:sz w:val="32"/>
          <w:szCs w:val="32"/>
        </w:rPr>
        <w:t>四、主要任务</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sz w:val="32"/>
          <w:szCs w:val="32"/>
        </w:rPr>
      </w:pPr>
      <w:r>
        <w:rPr>
          <w:rFonts w:hint="eastAsia" w:ascii="仿宋_GB2312" w:hAnsi="仿宋" w:eastAsia="仿宋_GB2312" w:cs="华文仿宋"/>
          <w:sz w:val="32"/>
          <w:szCs w:val="32"/>
        </w:rPr>
        <w:t>重点实施教师党支部和党员队伍建设、</w:t>
      </w:r>
      <w:r>
        <w:rPr>
          <w:rFonts w:hint="eastAsia" w:ascii="仿宋_GB2312" w:hAnsi="仿宋" w:eastAsia="仿宋_GB2312" w:cs="华文仿宋"/>
          <w:bCs/>
          <w:sz w:val="32"/>
          <w:szCs w:val="32"/>
        </w:rPr>
        <w:t>师德师风建设、人事分配制度改革、</w:t>
      </w:r>
      <w:r>
        <w:rPr>
          <w:rFonts w:hint="eastAsia" w:ascii="仿宋_GB2312" w:hAnsi="仿宋" w:eastAsia="仿宋_GB2312" w:cs="华文仿宋"/>
          <w:sz w:val="32"/>
          <w:szCs w:val="32"/>
        </w:rPr>
        <w:t>领军人才和优秀团队培育引进</w:t>
      </w:r>
      <w:r>
        <w:rPr>
          <w:rFonts w:hint="eastAsia" w:ascii="仿宋_GB2312" w:hAnsi="仿宋" w:eastAsia="仿宋_GB2312" w:cs="华文仿宋"/>
          <w:bCs/>
          <w:sz w:val="32"/>
          <w:szCs w:val="32"/>
        </w:rPr>
        <w:t>、</w:t>
      </w:r>
      <w:r>
        <w:rPr>
          <w:rFonts w:hint="eastAsia" w:ascii="仿宋_GB2312" w:hAnsi="仿宋" w:eastAsia="仿宋_GB2312" w:cs="华文仿宋"/>
          <w:sz w:val="32"/>
          <w:szCs w:val="32"/>
        </w:rPr>
        <w:t>“双师素质”提升和兼职教师队伍优化、</w:t>
      </w:r>
      <w:r>
        <w:rPr>
          <w:rFonts w:hint="eastAsia" w:ascii="仿宋_GB2312" w:hAnsi="仿宋" w:eastAsia="仿宋_GB2312" w:cs="华文仿宋"/>
          <w:bCs/>
          <w:sz w:val="32"/>
          <w:szCs w:val="32"/>
        </w:rPr>
        <w:t>教师职业能力提升等</w:t>
      </w:r>
      <w:r>
        <w:rPr>
          <w:rFonts w:hint="eastAsia" w:ascii="仿宋_GB2312" w:hAnsi="仿宋" w:eastAsia="仿宋_GB2312" w:cs="华文仿宋"/>
          <w:sz w:val="32"/>
          <w:szCs w:val="32"/>
        </w:rPr>
        <w:t>六项计划。</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（一）教师党支部和党员队伍建设</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将全面从严治党要求落实到每个教师党支部和教师党员，把党的政治建设摆在首位，用习近平新时代中国特色社会主义思想武装头脑，充分发挥教师党支部教育管理监督党员和宣传引导凝聚师生的战斗堡垒作用，发挥党员教师先锋模范作用。注重选拔党性强、业务精、有威信、肯奉献的优秀党员教师担任教师党支部书记，培育教师党支部书记“双带头人”，到2020年基本实现教师党支部书记“双带头人”全覆盖。严格规范教师党支部“三会一课”、组织生活会、主题党日活动、谈心谈话等党内组织生活制度，加强党员教师日常教育管理。推进“两学一做”学习教育常态化制度化，开展“不忘初心、牢记使命”主题教育，引导党员教师增强“四个”意识，坚定“四个自信”，坚决做到“两个维护”。自觉爱党、护党、为党，敬业修德，奉献社会，争做“四有”好教师的示范标杆。重视做好在优秀青年教师、海外留学归国教师中发展党员工作。健全把骨干教师培养成党员，把党员教师培养成教学、科研、管理骨干的“双培养”机制。配齐建强学校思想政治工作队伍、党务工作队伍和专职辅导员队伍，完善选拔、培养、激励机制，形成一支专职为主、专兼结合、数量充足、素质优良的工作力量。培育一批在区内外有一定影响的思想政治工作领军人才和青年杰出人才。</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（二）师德师风建设</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color w:val="000000"/>
          <w:sz w:val="32"/>
          <w:szCs w:val="32"/>
        </w:rPr>
      </w:pPr>
      <w:r>
        <w:rPr>
          <w:rFonts w:hint="eastAsia" w:ascii="仿宋_GB2312" w:hAnsi="仿宋" w:eastAsia="仿宋_GB2312" w:cs="华文仿宋"/>
          <w:bCs/>
          <w:color w:val="000000"/>
          <w:sz w:val="32"/>
          <w:szCs w:val="32"/>
        </w:rPr>
        <w:t>以思想教育、制度建设、集中整治、严明纪律为抓手，创新师德师风建设载体，</w:t>
      </w:r>
      <w:r>
        <w:rPr>
          <w:rFonts w:hint="eastAsia" w:ascii="仿宋_GB2312" w:hAnsi="仿宋" w:eastAsia="仿宋_GB2312"/>
          <w:bCs/>
          <w:sz w:val="32"/>
          <w:szCs w:val="32"/>
        </w:rPr>
        <w:t>建设“柳职院”百色培训学院红色教育基地，加强教师共产主义理想信念、社会主义核心价值观教育，建设柳州市工业博物馆“柳职院”工业精神教育基地，让全体教师学习和传承开明开放、敢为人先、创新创业、自强不息的柳州工业精神，深入开展“大国工匠进校园”、“劳模进校园”的活动，举办“走近最美教师”师德大讲堂，开展“师德模范”、“四有”好教师评选活动，引导全校教师学先进、做先进，</w:t>
      </w:r>
      <w:r>
        <w:rPr>
          <w:rFonts w:hint="eastAsia" w:ascii="仿宋_GB2312" w:hAnsi="仿宋" w:eastAsia="仿宋_GB2312" w:cs="华文仿宋"/>
          <w:bCs/>
          <w:color w:val="000000"/>
          <w:sz w:val="32"/>
          <w:szCs w:val="32"/>
        </w:rPr>
        <w:t>引导广大教师以德立身、以德立学、以德施教，争做有理想信念、有道德情操、有扎实学识、有仁爱之心的“四有”好老师。着眼青年教师群体特点，加强青年教师思想政治工作，加强新入职教师上岗前思想政治培训，组织新教师入职宣誓，引导和激励新教师“乐从师、为人师、做名师”，增强教书育人的责任感、使命感和荣誉感。建立师德师风考核机制，将师德师风考核纳入教师绩效考核指标体系，在职称晋升、教学质量评价、岗位聘任、年度考核、评优评先、项目申报、职务聘任等方面严格实行师德问题“零容忍”。</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（三）人事分配制度改革</w:t>
      </w:r>
    </w:p>
    <w:p>
      <w:pPr>
        <w:pageBreakBefore w:val="0"/>
        <w:widowControl/>
        <w:kinsoku/>
        <w:wordWrap/>
        <w:overflowPunct/>
        <w:topLinePunct w:val="0"/>
        <w:autoSpaceDE/>
        <w:autoSpaceDN/>
        <w:bidi w:val="0"/>
        <w:adjustRightInd w:val="0"/>
        <w:snapToGrid w:val="0"/>
        <w:spacing w:line="596" w:lineRule="exact"/>
        <w:ind w:firstLine="640" w:firstLineChars="20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严把教师选聘入口关。实行新进教师思想政治素质和业务能力双重考察，严格教师职业准入，将新入职教师岗前培训和教育实习作为认定教育教学能力、取得高等学校教师资格的必备条件。</w:t>
      </w:r>
    </w:p>
    <w:p>
      <w:pPr>
        <w:pageBreakBefore w:val="0"/>
        <w:kinsoku/>
        <w:wordWrap/>
        <w:overflowPunct/>
        <w:topLinePunct w:val="0"/>
        <w:autoSpaceDE/>
        <w:autoSpaceDN/>
        <w:bidi w:val="0"/>
        <w:spacing w:line="596" w:lineRule="exact"/>
        <w:ind w:firstLine="480"/>
        <w:outlineLvl w:val="9"/>
        <w:rPr>
          <w:rFonts w:hint="eastAsia" w:ascii="仿宋_GB2312" w:hAnsi="仿宋" w:eastAsia="仿宋_GB2312" w:cs="华文仿宋"/>
          <w:bCs/>
          <w:sz w:val="32"/>
          <w:szCs w:val="32"/>
        </w:rPr>
      </w:pPr>
      <w:r>
        <w:rPr>
          <w:rFonts w:hint="eastAsia" w:ascii="仿宋_GB2312" w:hAnsi="仿宋" w:eastAsia="仿宋_GB2312"/>
          <w:sz w:val="32"/>
          <w:szCs w:val="32"/>
        </w:rPr>
        <w:t>实行岗位分类管理。</w:t>
      </w:r>
      <w:r>
        <w:rPr>
          <w:rFonts w:hint="eastAsia" w:ascii="仿宋_GB2312" w:hAnsi="仿宋" w:eastAsia="仿宋_GB2312" w:cs="华文仿宋"/>
          <w:bCs/>
          <w:sz w:val="32"/>
          <w:szCs w:val="32"/>
        </w:rPr>
        <w:t>科学核定岗位总量和结构比例，逐步推行教学、科研和管理人员分类管理，推进岗位类型、岗位级别、岗位职责、工作业绩与个人绩效收入紧密挂钩。推行教师职务聘任制改革，将职称聘任与岗位职责、工作标准、工作任务相结合，建立量化的聘期考核评价标准，完善低级高聘或高级低聘的管理办法，将教授副教授上课、主讲核心课或新开课作为基本要求，加强聘期考核，做到能上能下、能进能出。探索管理岗位职员制改革，不断建立与高职教育相适应的新型职员制管理。制定教师到企业兼职从事科技成果转化活动的办法和离岗创业办法，促进教师创新创业。</w:t>
      </w:r>
    </w:p>
    <w:p>
      <w:pPr>
        <w:pageBreakBefore w:val="0"/>
        <w:kinsoku/>
        <w:wordWrap/>
        <w:overflowPunct/>
        <w:topLinePunct w:val="0"/>
        <w:autoSpaceDE/>
        <w:autoSpaceDN/>
        <w:bidi w:val="0"/>
        <w:spacing w:line="596" w:lineRule="exact"/>
        <w:ind w:firstLine="48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建立“柳职院人才特区”机制，</w:t>
      </w:r>
      <w:r>
        <w:rPr>
          <w:rFonts w:hint="eastAsia" w:ascii="仿宋_GB2312" w:hAnsi="仿宋" w:eastAsia="仿宋_GB2312"/>
          <w:sz w:val="32"/>
          <w:szCs w:val="32"/>
        </w:rPr>
        <w:t>完善“固定岗+流动岗”人力资源配置管理，为高层次人才引进、培育、使用、考核评价和人才跨界交流合作提供“一站式”服务，促进校企人员双向交流、教师跨界合作。</w:t>
      </w:r>
      <w:r>
        <w:rPr>
          <w:rFonts w:hint="eastAsia" w:ascii="仿宋_GB2312" w:hAnsi="仿宋" w:eastAsia="仿宋_GB2312" w:cs="华文仿宋"/>
          <w:bCs/>
          <w:sz w:val="32"/>
          <w:szCs w:val="32"/>
        </w:rPr>
        <w:t>探索校企共聘高层次人才、新录用人员“预聘”机制，加大聘用行业企业专家、技能大师的力度</w:t>
      </w:r>
      <w:r>
        <w:rPr>
          <w:rFonts w:hint="eastAsia" w:ascii="仿宋_GB2312" w:hAnsi="仿宋" w:eastAsia="仿宋_GB2312"/>
          <w:sz w:val="32"/>
          <w:szCs w:val="32"/>
        </w:rPr>
        <w:t>，盘活校内外人才资源。</w:t>
      </w:r>
    </w:p>
    <w:p>
      <w:pPr>
        <w:pageBreakBefore w:val="0"/>
        <w:widowControl/>
        <w:kinsoku/>
        <w:wordWrap/>
        <w:overflowPunct/>
        <w:topLinePunct w:val="0"/>
        <w:autoSpaceDE/>
        <w:autoSpaceDN/>
        <w:bidi w:val="0"/>
        <w:adjustRightInd w:val="0"/>
        <w:snapToGrid w:val="0"/>
        <w:spacing w:line="596" w:lineRule="exact"/>
        <w:ind w:firstLine="640" w:firstLineChars="200"/>
        <w:outlineLvl w:val="9"/>
        <w:rPr>
          <w:rFonts w:hint="eastAsia" w:ascii="仿宋_GB2312" w:hAnsi="仿宋" w:eastAsia="仿宋_GB2312" w:cs="华文仿宋"/>
          <w:bCs/>
          <w:sz w:val="32"/>
          <w:szCs w:val="32"/>
        </w:rPr>
      </w:pPr>
      <w:r>
        <w:rPr>
          <w:rFonts w:hint="eastAsia" w:ascii="仿宋_GB2312" w:hAnsi="仿宋" w:eastAsia="仿宋_GB2312"/>
          <w:sz w:val="32"/>
          <w:szCs w:val="32"/>
        </w:rPr>
        <w:t>实施目标管理。</w:t>
      </w:r>
      <w:r>
        <w:rPr>
          <w:rFonts w:hint="eastAsia" w:ascii="仿宋_GB2312" w:hAnsi="仿宋" w:eastAsia="仿宋_GB2312" w:cs="华文仿宋"/>
          <w:bCs/>
          <w:sz w:val="32"/>
          <w:szCs w:val="32"/>
        </w:rPr>
        <w:t>完善卓越绩效导向的教师评价体系，</w:t>
      </w:r>
      <w:r>
        <w:rPr>
          <w:rFonts w:hint="eastAsia" w:ascii="仿宋_GB2312" w:hAnsi="仿宋" w:eastAsia="仿宋_GB2312"/>
          <w:sz w:val="32"/>
          <w:szCs w:val="32"/>
        </w:rPr>
        <w:t>以岗位目标、任务、工作标准为基础制定岗位评价指标、突出关键绩效指标，</w:t>
      </w:r>
      <w:r>
        <w:rPr>
          <w:rFonts w:hint="eastAsia" w:ascii="仿宋_GB2312" w:hAnsi="仿宋" w:eastAsia="仿宋_GB2312" w:cs="华文仿宋"/>
          <w:bCs/>
          <w:sz w:val="32"/>
          <w:szCs w:val="32"/>
        </w:rPr>
        <w:t>激发教师教书育人、干事创业。将师德师风、教育教学业绩、科研成果、社会服务业绩等纳入教师考核评价主要指标，将师德考核摆在首位，突出教育教学业绩，多维度考评教育教学、科研、社会服务等工作实绩。加强考核评价结果运用，把考核评价结果作为职称职务评聘、绩效分配、评优评先等重要依据，充分发挥考核评价的鉴定、指导、激励、教育等综合功能。</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cs="华文仿宋"/>
          <w:bCs/>
          <w:sz w:val="32"/>
          <w:szCs w:val="32"/>
        </w:rPr>
      </w:pPr>
      <w:r>
        <w:rPr>
          <w:rFonts w:hint="eastAsia" w:ascii="仿宋_GB2312" w:hAnsi="仿宋" w:eastAsia="仿宋_GB2312"/>
          <w:bCs/>
          <w:sz w:val="32"/>
          <w:szCs w:val="32"/>
        </w:rPr>
        <w:t>建立多样化绩效工资分配制度。</w:t>
      </w:r>
      <w:r>
        <w:rPr>
          <w:rFonts w:hint="eastAsia" w:ascii="仿宋_GB2312" w:hAnsi="仿宋" w:eastAsia="仿宋_GB2312"/>
          <w:sz w:val="32"/>
          <w:szCs w:val="32"/>
        </w:rPr>
        <w:t>根据岗位类型、岗位职责目标、工作任务性质，制定年薪制、协议工资制、项目工资制、月津贴制、基础津贴+项目津贴制等多元化工资分配制度。探索将</w:t>
      </w:r>
      <w:r>
        <w:rPr>
          <w:rFonts w:hint="eastAsia" w:ascii="仿宋_GB2312" w:hAnsi="仿宋" w:eastAsia="仿宋_GB2312"/>
          <w:sz w:val="32"/>
          <w:szCs w:val="32"/>
          <w:lang w:val="zh-CN"/>
        </w:rPr>
        <w:t>校企合作、技术服务、社会培训、自办企业等所得收入，按一定比例作为绩效工资来源。科学</w:t>
      </w:r>
      <w:r>
        <w:rPr>
          <w:rFonts w:hint="eastAsia" w:ascii="仿宋_GB2312" w:hAnsi="仿宋" w:eastAsia="仿宋_GB2312" w:cs="华文仿宋"/>
          <w:bCs/>
          <w:sz w:val="32"/>
          <w:szCs w:val="32"/>
        </w:rPr>
        <w:t>合理调节校内各类人员的收入分配，绩效工资分配向工作绩效突出的单位、关键岗位、高层次人才、业务骨干和做出突出成绩的人员倾斜。</w:t>
      </w:r>
    </w:p>
    <w:p>
      <w:pPr>
        <w:pageBreakBefore w:val="0"/>
        <w:kinsoku/>
        <w:wordWrap/>
        <w:overflowPunct/>
        <w:topLinePunct w:val="0"/>
        <w:autoSpaceDE/>
        <w:autoSpaceDN/>
        <w:bidi w:val="0"/>
        <w:spacing w:line="596" w:lineRule="exact"/>
        <w:ind w:firstLine="48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深化职称评聘改革。建立与师德师风、教学工作量、教学质量、科研成果、社会服务业绩、导师工作、技能竞赛、学生管理、党务工作等相关的职称评审指标体系，自主组织职称评审，按岗聘任。坚持师德表现为评聘的首要条件，在重点评价“代表性成果”和实际贡献的基础上，提高教学业绩在评聘中的比重，同时考核教师参与专业建设、团队建设、导师工作、技能竞赛、学生管理、党务工作等业绩情况。</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(四)领军人才和优秀团队培育引进</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sz w:val="32"/>
          <w:szCs w:val="32"/>
        </w:rPr>
      </w:pPr>
      <w:r>
        <w:rPr>
          <w:rFonts w:hint="eastAsia" w:ascii="仿宋_GB2312" w:hAnsi="仿宋" w:eastAsia="仿宋_GB2312" w:cs="华文仿宋"/>
          <w:sz w:val="32"/>
          <w:szCs w:val="32"/>
        </w:rPr>
        <w:t>加强平台建设。加大创新协同研究院的建设，建立高水平科创中心、技术中心和孵化基地，积极申报区级、国家级创新团队和人才小高地，围绕学校重点发展的先进装备制造和电子信息、新能源汽车与工程机械、现代物流、电子商务等专业群，搭建高水平的科研平台，培育和引进高层次人才和团队。</w:t>
      </w:r>
      <w:r>
        <w:rPr>
          <w:rFonts w:hint="eastAsia" w:ascii="仿宋_GB2312" w:hAnsi="仿宋" w:eastAsia="仿宋_GB2312" w:cs="华文仿宋"/>
          <w:bCs/>
          <w:sz w:val="32"/>
          <w:szCs w:val="32"/>
        </w:rPr>
        <w:t>建立优秀人才信息库，聘请一批有实践经验的技术专家、能工巧匠、管理人员参与专业建设、课程建设、承担实践教学任务，建立技术能手、技能大师、首席专家工作室，构建开放式、学校与行业企业互动的人力资源共享平台。</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cs="华文仿宋"/>
          <w:bCs/>
          <w:sz w:val="32"/>
          <w:szCs w:val="32"/>
        </w:rPr>
        <w:t>提升优秀人才工作室和团队建设。持续遴选建设一批理念先进、特色突出、意义重大，以核心课程、重点专业、重大科研课题和技术服务项目、重大教改项目为牵引，具有示范引领作用的名师、大师、教授工作室。</w:t>
      </w:r>
      <w:r>
        <w:rPr>
          <w:rFonts w:hint="eastAsia" w:ascii="仿宋_GB2312" w:hAnsi="仿宋" w:eastAsia="仿宋_GB2312"/>
          <w:sz w:val="32"/>
          <w:szCs w:val="32"/>
        </w:rPr>
        <w:t>由教学名师领衔，建立由行业企业能工巧匠和学校骨干教师混编组成的开放型教学创新团队，共同开展课程体系和教学方法改革，重点探索基于专业群的模块化教学模式，培养国家“万人计划”教学名师，创建“黄大年式”教师团队，</w:t>
      </w:r>
      <w:r>
        <w:rPr>
          <w:rFonts w:hint="eastAsia" w:ascii="仿宋_GB2312" w:hAnsi="仿宋" w:eastAsia="仿宋_GB2312"/>
          <w:bCs/>
          <w:sz w:val="32"/>
          <w:szCs w:val="32"/>
        </w:rPr>
        <w:t>建成一批高水平结构化“善做善教”的开放型教学创新团队。</w:t>
      </w:r>
      <w:r>
        <w:rPr>
          <w:rFonts w:hint="eastAsia" w:ascii="仿宋_GB2312" w:hAnsi="仿宋" w:eastAsia="仿宋_GB2312"/>
          <w:sz w:val="32"/>
          <w:szCs w:val="32"/>
        </w:rPr>
        <w:t>由行业技术领军人物或技能大师领衔，校企人员共同参与，以“院士工作站”、“技能大师工作室”、“专家联合工作室”为平台，开展新技术转化推广、技术难题攻关，推动区域支柱产业升级，创建省级、国家级水平的技术技能大师工作室，建成一批</w:t>
      </w:r>
      <w:r>
        <w:rPr>
          <w:rFonts w:hint="eastAsia" w:ascii="仿宋_GB2312" w:hAnsi="仿宋" w:eastAsia="仿宋_GB2312"/>
          <w:bCs/>
          <w:sz w:val="32"/>
          <w:szCs w:val="32"/>
        </w:rPr>
        <w:t>“企业离不开”的</w:t>
      </w:r>
      <w:r>
        <w:rPr>
          <w:rFonts w:hint="eastAsia" w:ascii="仿宋_GB2312" w:hAnsi="仿宋" w:eastAsia="仿宋_GB2312"/>
          <w:sz w:val="32"/>
          <w:szCs w:val="32"/>
        </w:rPr>
        <w:t>高水平、校企双向流动</w:t>
      </w:r>
      <w:r>
        <w:rPr>
          <w:rFonts w:hint="eastAsia" w:ascii="仿宋_GB2312" w:hAnsi="仿宋" w:eastAsia="仿宋_GB2312"/>
          <w:bCs/>
          <w:sz w:val="32"/>
          <w:szCs w:val="32"/>
        </w:rPr>
        <w:t>的</w:t>
      </w:r>
      <w:r>
        <w:rPr>
          <w:rFonts w:hint="eastAsia" w:ascii="仿宋_GB2312" w:hAnsi="仿宋" w:eastAsia="仿宋_GB2312"/>
          <w:sz w:val="32"/>
          <w:szCs w:val="32"/>
        </w:rPr>
        <w:t>开放型技术技能创新服务团队。</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sz w:val="32"/>
          <w:szCs w:val="32"/>
        </w:rPr>
      </w:pPr>
      <w:r>
        <w:rPr>
          <w:rFonts w:hint="eastAsia" w:ascii="仿宋_GB2312" w:hAnsi="仿宋" w:eastAsia="仿宋_GB2312" w:cs="华文仿宋"/>
          <w:sz w:val="32"/>
          <w:szCs w:val="32"/>
        </w:rPr>
        <w:t>加大优秀人才培育。加大对攻读博士学位教师的支持和服务，改善优秀人才生活、工作条件，支持他们开展新技术研发、科研成果转化、参加国际学术会议、出国出境学习研修等，进一步提升专业技术和科研开发能力、教育教学能力、课程开发和教育管理能力。坚持设置专职科研岗位，持续</w:t>
      </w:r>
      <w:r>
        <w:rPr>
          <w:rFonts w:hint="eastAsia" w:ascii="仿宋_GB2312" w:hAnsi="仿宋" w:eastAsia="仿宋_GB2312" w:cs="华文仿宋"/>
          <w:bCs/>
          <w:sz w:val="32"/>
          <w:szCs w:val="32"/>
        </w:rPr>
        <w:t>为教师开展科学研究、技术服务创造条件，重点支持教师申报重大科研课题，</w:t>
      </w:r>
      <w:r>
        <w:rPr>
          <w:rFonts w:hint="eastAsia" w:ascii="仿宋_GB2312" w:hAnsi="仿宋" w:eastAsia="仿宋_GB2312" w:cs="华文仿宋"/>
          <w:sz w:val="32"/>
          <w:szCs w:val="32"/>
        </w:rPr>
        <w:t>支持教师与企业合作进行技术改造、科技成果转化。</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sz w:val="32"/>
          <w:szCs w:val="32"/>
        </w:rPr>
      </w:pPr>
      <w:r>
        <w:rPr>
          <w:rFonts w:hint="eastAsia" w:ascii="仿宋_GB2312" w:hAnsi="仿宋" w:eastAsia="仿宋_GB2312" w:cs="华文仿宋"/>
          <w:sz w:val="32"/>
          <w:szCs w:val="32"/>
        </w:rPr>
        <w:t>围绕</w:t>
      </w:r>
      <w:r>
        <w:rPr>
          <w:rFonts w:hint="eastAsia" w:ascii="仿宋_GB2312" w:hAnsi="仿宋" w:eastAsia="仿宋_GB2312"/>
          <w:sz w:val="32"/>
          <w:szCs w:val="32"/>
        </w:rPr>
        <w:t>柳州支柱产业升级的需求，通过“</w:t>
      </w:r>
      <w:r>
        <w:rPr>
          <w:rFonts w:hint="eastAsia" w:ascii="仿宋_GB2312" w:hAnsi="仿宋" w:eastAsia="仿宋_GB2312"/>
          <w:bCs/>
          <w:sz w:val="32"/>
          <w:szCs w:val="32"/>
        </w:rPr>
        <w:t>借、引、聘、培”，</w:t>
      </w:r>
      <w:r>
        <w:rPr>
          <w:rFonts w:hint="eastAsia" w:ascii="仿宋_GB2312" w:hAnsi="仿宋" w:eastAsia="仿宋_GB2312"/>
          <w:sz w:val="32"/>
          <w:szCs w:val="32"/>
        </w:rPr>
        <w:t>汇聚一批国家“万人计划”专家学者、教学名师、国家杰出青年基金获得者、国家科技重大专项负责人等国家级人才，培养一批高水平专业（群）带头人、技术创新服务先锋，将机电设备维修与管理、工程机械运用技术等专业群的带头人培养成行业有权威、国际有影响的专业（群）领军人物，培养具有绝技绝艺的国家级水平的技能大师。</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（五）“双师素质”提升和兼职教师队伍优化</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color w:val="FF0000"/>
          <w:sz w:val="32"/>
          <w:szCs w:val="32"/>
        </w:rPr>
      </w:pPr>
      <w:r>
        <w:rPr>
          <w:rFonts w:hint="eastAsia" w:ascii="仿宋_GB2312" w:hAnsi="仿宋" w:eastAsia="仿宋_GB2312" w:cs="华文仿宋"/>
          <w:sz w:val="32"/>
          <w:szCs w:val="32"/>
        </w:rPr>
        <w:t>突出教师企业挂职锻炼和职业技能培训。建立健全政府、行业企业和学校协同培养“双师”教师的机制，建立一批区级、国家级职业教育师资培养培训基地（</w:t>
      </w:r>
      <w:r>
        <w:rPr>
          <w:rFonts w:hint="eastAsia" w:ascii="仿宋_GB2312" w:hAnsi="仿宋" w:eastAsia="仿宋_GB2312"/>
          <w:sz w:val="32"/>
          <w:szCs w:val="32"/>
        </w:rPr>
        <w:t>教师企业研修、挂职锻炼基地</w:t>
      </w:r>
      <w:r>
        <w:rPr>
          <w:rFonts w:hint="eastAsia" w:ascii="仿宋_GB2312" w:hAnsi="仿宋" w:eastAsia="仿宋_GB2312" w:cs="华文仿宋"/>
          <w:sz w:val="32"/>
          <w:szCs w:val="32"/>
        </w:rPr>
        <w:t>），规范教师挂职单位和岗位遴选，严格挂职过</w:t>
      </w:r>
      <w:r>
        <w:rPr>
          <w:rFonts w:hint="eastAsia" w:ascii="仿宋_GB2312" w:hAnsi="仿宋" w:eastAsia="仿宋_GB2312" w:cs="华文仿宋"/>
          <w:bCs/>
          <w:sz w:val="32"/>
          <w:szCs w:val="32"/>
        </w:rPr>
        <w:t>程管理和考核，确保挂职对教师素质和能力提升有实效。坚持</w:t>
      </w:r>
      <w:r>
        <w:rPr>
          <w:rFonts w:hint="eastAsia" w:ascii="仿宋_GB2312" w:hAnsi="仿宋" w:eastAsia="仿宋_GB2312"/>
          <w:sz w:val="32"/>
          <w:szCs w:val="32"/>
        </w:rPr>
        <w:t>教师每年至少1个月在企业挂职实践，每5年完成一次教师全员轮训。</w:t>
      </w:r>
      <w:r>
        <w:rPr>
          <w:rFonts w:hint="eastAsia" w:ascii="仿宋_GB2312" w:hAnsi="仿宋" w:eastAsia="仿宋_GB2312" w:cs="华文仿宋"/>
          <w:sz w:val="32"/>
          <w:szCs w:val="32"/>
        </w:rPr>
        <w:t>有计划针对性举办和选派教师参加职业技能、新技术、新工艺培训，与知名企业或认证机构联合开展职业能力认证。</w:t>
      </w:r>
      <w:r>
        <w:rPr>
          <w:rFonts w:hint="eastAsia" w:ascii="仿宋_GB2312" w:hAnsi="仿宋" w:eastAsia="仿宋_GB2312" w:cs="华文仿宋"/>
          <w:bCs/>
          <w:sz w:val="32"/>
          <w:szCs w:val="32"/>
        </w:rPr>
        <w:t>推进“双师型”教师认定，将通过“双师型”教师认定与教师职称评审挂钩，</w:t>
      </w:r>
      <w:r>
        <w:rPr>
          <w:rFonts w:hint="eastAsia" w:ascii="仿宋_GB2312" w:hAnsi="仿宋" w:eastAsia="仿宋_GB2312"/>
          <w:sz w:val="32"/>
          <w:szCs w:val="32"/>
        </w:rPr>
        <w:t>加大对“双师型”教师的激励，逐步实</w:t>
      </w:r>
      <w:r>
        <w:rPr>
          <w:rFonts w:hint="eastAsia" w:ascii="仿宋_GB2312" w:hAnsi="仿宋" w:eastAsia="仿宋_GB2312" w:cs="华文仿宋"/>
          <w:sz w:val="32"/>
          <w:szCs w:val="32"/>
        </w:rPr>
        <w:t>现100%专</w:t>
      </w:r>
      <w:r>
        <w:rPr>
          <w:rFonts w:hint="eastAsia" w:ascii="仿宋_GB2312" w:hAnsi="仿宋" w:eastAsia="仿宋_GB2312"/>
          <w:sz w:val="32"/>
          <w:szCs w:val="32"/>
        </w:rPr>
        <w:t>业教师成为“双师型”教师。</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注重发挥兼职教师作用。完善兼职教师队伍的聘请、培训、交流、管理机制，建立兼职教师人才库，加大聘用行业企业专家、高技能人才为兼职教师的力度，构建专兼结合“双师型”科研、教学创新团队，加强行业企业与学校专任教师的交流合作。探索开发针对兼职教师的教育培训项目，为兼职教师举办职业教育心理学、教育教学方法培训等，提高兼职教师的教学能力，鼓励和支持兼职教师联合专任教师申报科研、教学改革项目。</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（六）教师职业能力提升</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sz w:val="32"/>
          <w:szCs w:val="32"/>
        </w:rPr>
        <w:t>完善新入职教师标准，探索企业招聘、预聘、校企共同招聘相结合的新教师招聘制度，逐步实现</w:t>
      </w:r>
      <w:r>
        <w:rPr>
          <w:rFonts w:hint="eastAsia" w:ascii="仿宋_GB2312" w:hAnsi="仿宋" w:eastAsia="仿宋_GB2312"/>
          <w:bCs/>
          <w:sz w:val="32"/>
          <w:szCs w:val="32"/>
        </w:rPr>
        <w:t>100%新入职专业教师具有三年以上企业工作经历。</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sz w:val="32"/>
          <w:szCs w:val="32"/>
        </w:rPr>
        <w:t>完善教师海外研修的管理制度，建立教师海外研修基地，有针对性地组织教师到国际知名企业、高校和培训机构，进行研修、培训、访学、攻读学位，学习发达国家先进生产技术、管理模式、职业教育理念和教学方法，逐步实现</w:t>
      </w:r>
      <w:r>
        <w:rPr>
          <w:rFonts w:hint="eastAsia" w:ascii="仿宋_GB2312" w:hAnsi="仿宋" w:eastAsia="仿宋_GB2312"/>
          <w:bCs/>
          <w:sz w:val="32"/>
          <w:szCs w:val="32"/>
        </w:rPr>
        <w:t>100%骨干教师具有海外研修经历。</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sz w:val="32"/>
          <w:szCs w:val="32"/>
        </w:rPr>
        <w:t>开展全员外语培训和考核，全校中青年教师至少能用一种外语进行日常交流，制定双语教学或多种语言教学标准，全面提升教师国际化教学能力，逐步实现</w:t>
      </w:r>
      <w:r>
        <w:rPr>
          <w:rFonts w:hint="eastAsia" w:ascii="仿宋_GB2312" w:hAnsi="仿宋" w:eastAsia="仿宋_GB2312"/>
          <w:bCs/>
          <w:sz w:val="32"/>
          <w:szCs w:val="32"/>
        </w:rPr>
        <w:t>100%骨干教师能开展双语或多种语言教学。</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sz w:val="32"/>
          <w:szCs w:val="32"/>
        </w:rPr>
        <w:t>开展“云物大智”等新知识、新方法、教育技术与教育教学相融合的培训，制定“智慧+”教学标准，开展“智慧+”教学研修与经验交流分享，全面提升教师运用新技术开展教学的能力，逐步实现</w:t>
      </w:r>
      <w:r>
        <w:rPr>
          <w:rFonts w:hint="eastAsia" w:ascii="仿宋_GB2312" w:hAnsi="仿宋" w:eastAsia="仿宋_GB2312"/>
          <w:bCs/>
          <w:sz w:val="32"/>
          <w:szCs w:val="32"/>
        </w:rPr>
        <w:t>100%专任教师能开展“智慧+”教学。</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Cs/>
          <w:sz w:val="32"/>
          <w:szCs w:val="32"/>
        </w:rPr>
      </w:pPr>
      <w:r>
        <w:rPr>
          <w:rFonts w:hint="eastAsia" w:ascii="仿宋_GB2312" w:hAnsi="仿宋" w:eastAsia="仿宋_GB2312"/>
          <w:sz w:val="32"/>
          <w:szCs w:val="32"/>
        </w:rPr>
        <w:t>建立教师与行业企业联系机制，明确联系对象、方式、任务及管理制度，密切政校行企合作，广泛整合社会资源，逐步实现</w:t>
      </w:r>
      <w:r>
        <w:rPr>
          <w:rFonts w:hint="eastAsia" w:ascii="仿宋_GB2312" w:hAnsi="仿宋" w:eastAsia="仿宋_GB2312"/>
          <w:bCs/>
          <w:sz w:val="32"/>
          <w:szCs w:val="32"/>
        </w:rPr>
        <w:t>100%专任教师与知名企业建立紧密联系。</w:t>
      </w:r>
    </w:p>
    <w:p>
      <w:pPr>
        <w:pageBreakBefore w:val="0"/>
        <w:kinsoku/>
        <w:wordWrap/>
        <w:overflowPunct/>
        <w:topLinePunct w:val="0"/>
        <w:autoSpaceDE/>
        <w:autoSpaceDN/>
        <w:bidi w:val="0"/>
        <w:spacing w:line="596" w:lineRule="exact"/>
        <w:ind w:firstLine="482"/>
        <w:outlineLvl w:val="9"/>
        <w:rPr>
          <w:rFonts w:hint="eastAsia" w:ascii="仿宋_GB2312" w:hAnsi="仿宋" w:eastAsia="仿宋_GB2312"/>
          <w:sz w:val="32"/>
          <w:szCs w:val="32"/>
        </w:rPr>
      </w:pPr>
      <w:r>
        <w:rPr>
          <w:rFonts w:hint="eastAsia" w:ascii="仿宋_GB2312" w:hAnsi="仿宋" w:eastAsia="仿宋_GB2312"/>
          <w:bCs/>
          <w:sz w:val="32"/>
          <w:szCs w:val="32"/>
        </w:rPr>
        <w:t>提升教师发展中心建设水平。构建“新教师-‘双师型’教师-骨干教师-专家型教师-领军人物”教师职业发展“五阶段”研修体系，</w:t>
      </w:r>
      <w:r>
        <w:rPr>
          <w:rFonts w:hint="eastAsia" w:ascii="仿宋_GB2312" w:hAnsi="仿宋" w:eastAsia="仿宋_GB2312"/>
          <w:sz w:val="32"/>
          <w:szCs w:val="32"/>
        </w:rPr>
        <w:t>将教师职业发展各阶段所需具备的师德、教育教学能力和专业能力确定为具体学分，实施教师职业成长学分制和注册制。指导教师制定个人职业生涯规划，实现“一师一案”精准培养。推动政校行企共同研究制订教师职业能力标准、企业挂职锻炼标准，组建由行业领军人物、大师名匠和教学名师组成的导师队伍，成立“师德苑”、“教学工作坊”和“教师技术技能工作室”，建立教师自我诊断和自主研修智能网络服务平台，促进教师职业素质和能力的全面提升。</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黑体" w:hAnsi="黑体" w:eastAsia="黑体" w:cs="华文仿宋"/>
          <w:b/>
          <w:sz w:val="32"/>
          <w:szCs w:val="32"/>
        </w:rPr>
      </w:pPr>
      <w:r>
        <w:rPr>
          <w:rFonts w:hint="eastAsia" w:ascii="黑体" w:hAnsi="黑体" w:eastAsia="黑体" w:cs="华文仿宋"/>
          <w:b/>
          <w:sz w:val="32"/>
          <w:szCs w:val="32"/>
        </w:rPr>
        <w:t>五、保障措施</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（一）加强领导，创新思路</w:t>
      </w:r>
    </w:p>
    <w:p>
      <w:pPr>
        <w:pageBreakBefore w:val="0"/>
        <w:widowControl/>
        <w:kinsoku/>
        <w:wordWrap/>
        <w:overflowPunct/>
        <w:topLinePunct w:val="0"/>
        <w:autoSpaceDE/>
        <w:autoSpaceDN/>
        <w:bidi w:val="0"/>
        <w:adjustRightInd w:val="0"/>
        <w:snapToGrid w:val="0"/>
        <w:spacing w:line="596" w:lineRule="exact"/>
        <w:ind w:firstLine="640" w:firstLineChars="200"/>
        <w:outlineLvl w:val="9"/>
        <w:rPr>
          <w:rFonts w:hint="eastAsia" w:ascii="仿宋_GB2312" w:hAnsi="仿宋" w:eastAsia="仿宋_GB2312" w:cs="华文仿宋"/>
          <w:b/>
          <w:sz w:val="32"/>
          <w:szCs w:val="32"/>
        </w:rPr>
      </w:pPr>
      <w:r>
        <w:rPr>
          <w:rFonts w:hint="eastAsia" w:ascii="仿宋_GB2312" w:hAnsi="仿宋" w:eastAsia="仿宋_GB2312" w:cs="华文仿宋"/>
          <w:bCs/>
          <w:sz w:val="32"/>
          <w:szCs w:val="32"/>
        </w:rPr>
        <w:t>加强组织领导，成立以党委书记、校长为组长、分管师资工作和教学工作的校级领导为副组长、相关职能部门主要负责人任成员的学校师资队伍建设工作领导小组，实行一把手负责制，形成党委领导，部门协作、职责明确、齐抓共管的工作格局。每年党委研究一次以上队伍建设工作，认真落实上级有关部门对师资队伍建设工作的各项政策，及时研究解决建设过程中的困难和问题，研究并及时调整完善学校师资队伍建设规划、政策和保障措施。</w:t>
      </w:r>
    </w:p>
    <w:p>
      <w:pPr>
        <w:pageBreakBefore w:val="0"/>
        <w:widowControl/>
        <w:kinsoku/>
        <w:wordWrap/>
        <w:overflowPunct/>
        <w:topLinePunct w:val="0"/>
        <w:autoSpaceDE/>
        <w:autoSpaceDN/>
        <w:bidi w:val="0"/>
        <w:adjustRightInd w:val="0"/>
        <w:snapToGrid w:val="0"/>
        <w:spacing w:line="596" w:lineRule="exact"/>
        <w:ind w:firstLine="57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组织学习职业教育相关的政策文件，领会文件精神，广泛深入开展调研，学习先进的管理经验，科学分析新时代高职教育人才培养对师资队伍建设的需要，开创性进行人才引进、培育、管理、考核制度的改革，系统设计各阶段学校和专业发展对师资队伍的人员配置、制度设置，为教师职业发展提供个性化服务，最大程度地发挥教师的积极性、创新性。</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（二）分解任务，强化责任</w:t>
      </w:r>
    </w:p>
    <w:p>
      <w:pPr>
        <w:pStyle w:val="14"/>
        <w:pageBreakBefore w:val="0"/>
        <w:kinsoku/>
        <w:wordWrap/>
        <w:overflowPunct/>
        <w:topLinePunct w:val="0"/>
        <w:autoSpaceDE/>
        <w:autoSpaceDN/>
        <w:bidi w:val="0"/>
        <w:spacing w:before="0" w:beforeAutospacing="0" w:after="0" w:afterAutospacing="0" w:line="596" w:lineRule="exact"/>
        <w:ind w:firstLine="640" w:firstLineChars="200"/>
        <w:jc w:val="both"/>
        <w:outlineLvl w:val="9"/>
        <w:rPr>
          <w:rFonts w:hint="eastAsia" w:ascii="仿宋_GB2312" w:hAnsi="仿宋" w:eastAsia="仿宋_GB2312" w:cs="华文仿宋"/>
          <w:b/>
          <w:sz w:val="32"/>
          <w:szCs w:val="32"/>
        </w:rPr>
      </w:pPr>
      <w:r>
        <w:rPr>
          <w:rFonts w:hint="eastAsia" w:ascii="仿宋_GB2312" w:hAnsi="仿宋" w:eastAsia="仿宋_GB2312" w:cs="华文仿宋"/>
          <w:bCs/>
          <w:sz w:val="32"/>
          <w:szCs w:val="32"/>
        </w:rPr>
        <w:t>成立工作小组，将建设任务落实到以人事处、教师发展中心、质量办、宣传部、教务与实训管理处、科技开发处等为主要牵头部门的工作小组。加强研讨，共同分析专业发展、科研和社会服务对教师队伍的需求，将队伍建设的规划目标和任务分解到二级学院和部门，明确任务指标，强化目标责任，达成共识，不定期进行反思、改善，确保完成建设目标。将师资队伍建设工作纳入各二级学院、各部门绩效考核范畴，将教师学习发展情况纳入教师个人绩效考核范畴。</w:t>
      </w:r>
    </w:p>
    <w:p>
      <w:pPr>
        <w:pStyle w:val="14"/>
        <w:pageBreakBefore w:val="0"/>
        <w:kinsoku/>
        <w:wordWrap/>
        <w:overflowPunct/>
        <w:topLinePunct w:val="0"/>
        <w:autoSpaceDE/>
        <w:autoSpaceDN/>
        <w:bidi w:val="0"/>
        <w:spacing w:before="0" w:beforeAutospacing="0" w:after="0" w:afterAutospacing="0" w:line="596" w:lineRule="exact"/>
        <w:ind w:firstLine="643" w:firstLineChars="200"/>
        <w:jc w:val="both"/>
        <w:outlineLvl w:val="9"/>
        <w:rPr>
          <w:rFonts w:hint="eastAsia" w:ascii="楷体_GB2312" w:hAnsi="黑体" w:eastAsia="楷体_GB2312" w:cs="华文仿宋"/>
          <w:b/>
          <w:sz w:val="32"/>
          <w:szCs w:val="32"/>
        </w:rPr>
      </w:pPr>
      <w:r>
        <w:rPr>
          <w:rFonts w:hint="eastAsia" w:ascii="楷体_GB2312" w:hAnsi="黑体" w:eastAsia="楷体_GB2312" w:cs="华文仿宋"/>
          <w:b/>
          <w:sz w:val="32"/>
          <w:szCs w:val="32"/>
        </w:rPr>
        <w:t>（三）营造环境，保障经费</w:t>
      </w:r>
    </w:p>
    <w:p>
      <w:pPr>
        <w:pageBreakBefore w:val="0"/>
        <w:widowControl/>
        <w:kinsoku/>
        <w:wordWrap/>
        <w:overflowPunct/>
        <w:topLinePunct w:val="0"/>
        <w:autoSpaceDE/>
        <w:autoSpaceDN/>
        <w:bidi w:val="0"/>
        <w:adjustRightInd w:val="0"/>
        <w:snapToGrid w:val="0"/>
        <w:spacing w:line="596" w:lineRule="exact"/>
        <w:ind w:firstLine="56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t>完善学校章程，体现以人为本，突出教师主体地位，落实教师知情权、参与权、表达权、监督权。健全教职工代表大会制度、校务会议制度和校务公开制度，保障教职工参与学校管理、决策、监督的民主权利，进一步改善教师学习、工作和生活、发展的条件，营造吸引人才、聚集人才、培育人才、激励人才的生态环境。加大师资队伍建设经费投入，加强对专项经费的管理监督，确保专项经费用于专项建设。</w:t>
      </w:r>
    </w:p>
    <w:p>
      <w:pPr>
        <w:pageBreakBefore w:val="0"/>
        <w:kinsoku/>
        <w:wordWrap/>
        <w:overflowPunct/>
        <w:topLinePunct w:val="0"/>
        <w:autoSpaceDE/>
        <w:autoSpaceDN/>
        <w:bidi w:val="0"/>
        <w:outlineLvl w:val="9"/>
        <w:rPr>
          <w:rFonts w:hint="eastAsia" w:ascii="仿宋_GB2312" w:hAnsi="仿宋" w:eastAsia="仿宋_GB2312" w:cs="华文仿宋"/>
          <w:bCs/>
          <w:sz w:val="32"/>
          <w:szCs w:val="32"/>
        </w:rPr>
      </w:pPr>
      <w:r>
        <w:rPr>
          <w:rFonts w:hint="eastAsia" w:ascii="仿宋_GB2312" w:hAnsi="仿宋" w:eastAsia="仿宋_GB2312" w:cs="华文仿宋"/>
          <w:bCs/>
          <w:sz w:val="32"/>
          <w:szCs w:val="32"/>
        </w:rPr>
        <w:br w:type="page"/>
      </w: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宋体" w:hAnsi="宋体"/>
          <w:b/>
          <w:bCs/>
          <w:color w:val="000000"/>
          <w:sz w:val="36"/>
          <w:szCs w:val="36"/>
          <w:lang w:val="en-US" w:eastAsia="zh-CN"/>
        </w:rPr>
      </w:pPr>
      <w:bookmarkStart w:id="350" w:name="_Toc13753"/>
      <w:bookmarkStart w:id="351" w:name="_Toc26866"/>
      <w:bookmarkStart w:id="352" w:name="_Toc7293"/>
      <w:bookmarkStart w:id="353" w:name="_Toc3522"/>
      <w:bookmarkStart w:id="354" w:name="_Toc21026"/>
      <w:r>
        <w:rPr>
          <w:rFonts w:hint="eastAsia" w:ascii="宋体" w:hAnsi="宋体"/>
          <w:b/>
          <w:bCs/>
          <w:color w:val="000000"/>
          <w:sz w:val="36"/>
          <w:szCs w:val="36"/>
          <w:lang w:val="en-US" w:eastAsia="zh-CN"/>
        </w:rPr>
        <w:t>柳州职业技术学院师德考评办法（试行）</w:t>
      </w:r>
      <w:bookmarkEnd w:id="350"/>
      <w:bookmarkEnd w:id="351"/>
      <w:bookmarkEnd w:id="352"/>
      <w:bookmarkEnd w:id="353"/>
      <w:bookmarkEnd w:id="354"/>
    </w:p>
    <w:p>
      <w:pPr>
        <w:pageBreakBefore w:val="0"/>
        <w:kinsoku/>
        <w:wordWrap/>
        <w:overflowPunct/>
        <w:topLinePunct w:val="0"/>
        <w:autoSpaceDE/>
        <w:autoSpaceDN/>
        <w:bidi w:val="0"/>
        <w:jc w:val="center"/>
        <w:outlineLvl w:val="9"/>
        <w:rPr>
          <w:rFonts w:hint="eastAsia" w:ascii="仿宋_GB2312" w:hAnsi="仿宋" w:eastAsia="仿宋_GB2312" w:cs="华文仿宋"/>
          <w:b w:val="0"/>
          <w:bCs/>
          <w:sz w:val="32"/>
          <w:szCs w:val="32"/>
          <w:lang w:eastAsia="zh-CN"/>
        </w:rPr>
      </w:pPr>
      <w:r>
        <w:rPr>
          <w:rFonts w:hint="eastAsia" w:ascii="仿宋_GB2312" w:hAnsi="仿宋" w:eastAsia="仿宋_GB2312" w:cs="华文仿宋"/>
          <w:b w:val="0"/>
          <w:bCs/>
          <w:sz w:val="32"/>
          <w:szCs w:val="32"/>
          <w:lang w:eastAsia="zh-CN"/>
        </w:rPr>
        <w:t>（</w:t>
      </w:r>
      <w:r>
        <w:rPr>
          <w:rFonts w:hint="eastAsia" w:ascii="仿宋_GB2312" w:eastAsia="仿宋_GB2312"/>
          <w:b w:val="0"/>
          <w:bCs/>
          <w:sz w:val="32"/>
          <w:szCs w:val="32"/>
        </w:rPr>
        <w:t>柳职院党字〔2019〕20号</w:t>
      </w:r>
      <w:r>
        <w:rPr>
          <w:rFonts w:hint="eastAsia" w:ascii="仿宋_GB2312" w:hAnsi="仿宋" w:eastAsia="仿宋_GB2312" w:cs="华文仿宋"/>
          <w:b w:val="0"/>
          <w:bCs/>
          <w:sz w:val="32"/>
          <w:szCs w:val="32"/>
          <w:lang w:eastAsia="zh-CN"/>
        </w:rPr>
        <w:t>）</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为了进一步贯彻落实</w:t>
      </w:r>
      <w:r>
        <w:rPr>
          <w:rFonts w:hint="eastAsia" w:ascii="仿宋_GB2312" w:hAnsi="Courier New" w:eastAsia="仿宋_GB2312" w:cs="Courier New"/>
          <w:sz w:val="32"/>
          <w:szCs w:val="32"/>
          <w:shd w:val="clear" w:color="auto" w:fill="FFFFFF"/>
        </w:rPr>
        <w:t>新时代党的建设总要求，</w:t>
      </w:r>
      <w:r>
        <w:rPr>
          <w:rFonts w:hint="eastAsia" w:ascii="仿宋_GB2312" w:hAnsi="宋体" w:eastAsia="仿宋_GB2312" w:cs="宋体"/>
          <w:sz w:val="32"/>
          <w:szCs w:val="32"/>
        </w:rPr>
        <w:t>积极引导我校教师做有理想信念、有道德情操、有扎实学识、有仁爱之心的党和人民满意的好老师，建设政治素质过硬、业务能力精湛、育人水平高超的高素质教师队伍，</w:t>
      </w:r>
      <w:r>
        <w:rPr>
          <w:rFonts w:hint="eastAsia" w:ascii="仿宋_GB2312" w:hAnsi="Courier New" w:eastAsia="仿宋_GB2312" w:cs="Courier New"/>
          <w:sz w:val="32"/>
          <w:szCs w:val="32"/>
        </w:rPr>
        <w:t>努力办好人民满意的高职教育</w:t>
      </w:r>
      <w:r>
        <w:rPr>
          <w:rFonts w:hint="eastAsia" w:ascii="仿宋_GB2312" w:hAnsi="宋体" w:eastAsia="仿宋_GB2312" w:cs="宋体"/>
          <w:sz w:val="32"/>
          <w:szCs w:val="32"/>
        </w:rPr>
        <w:t>。依据教育部《高等学校教师职业道德规范》、</w:t>
      </w:r>
      <w:r>
        <w:rPr>
          <w:rFonts w:ascii="仿宋_GB2312" w:hAnsi="宋体" w:eastAsia="仿宋_GB2312" w:cs="宋体"/>
          <w:sz w:val="32"/>
          <w:szCs w:val="32"/>
        </w:rPr>
        <w:t>《新时代高校教师职业行为十项准则》</w:t>
      </w:r>
      <w:r>
        <w:rPr>
          <w:rFonts w:hint="eastAsia" w:ascii="仿宋_GB2312" w:hAnsi="宋体" w:eastAsia="仿宋_GB2312" w:cs="宋体"/>
          <w:sz w:val="32"/>
          <w:szCs w:val="32"/>
        </w:rPr>
        <w:t>、《教育部关于高校教师师德失范行为处理的指导意见》和我校《关于建立健全柳州职业技术学院师德建设长效机制的实施办法》精神，结合我校实际，制定本办法。</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一、考评范围及对象</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考评范围是自入校以来工作半年以上的教职工及外聘教师。考评对象包括专任教师、兼课行政人员和非兼课行政人员，以及外聘教师。</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二、考评时间</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师德考评工作一般于每年3月进行，与教职工年度个人考核同步进行，并先其完成。</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三、考评内容</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第一条</w:t>
      </w:r>
      <w:r>
        <w:rPr>
          <w:rFonts w:hint="eastAsia" w:ascii="仿宋_GB2312" w:hAnsi="宋体" w:eastAsia="仿宋_GB2312" w:cs="宋体"/>
          <w:sz w:val="32"/>
          <w:szCs w:val="32"/>
        </w:rPr>
        <w:t xml:space="preserve">  坚定政治方向。坚持以习近平新时代中国特色社会主义思想为指导，拥护中国共产党的领导，贯彻党的教育方针,牢固树立“四个意识”，坚定“四个自信”,坚决做到“两个维护”。不在教育教学活动中及其他场合有损害党中央权威、违背党的路线方针政策的言行。</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第二条</w:t>
      </w:r>
      <w:r>
        <w:rPr>
          <w:rFonts w:hint="eastAsia" w:ascii="仿宋_GB2312" w:hAnsi="宋体" w:eastAsia="仿宋_GB2312" w:cs="宋体"/>
          <w:sz w:val="32"/>
          <w:szCs w:val="32"/>
        </w:rPr>
        <w:t xml:space="preserve">  自觉爱国守法。忠于祖国，忠于人民，恪守宪法原则，遵守法律法规，依法履行教师职责，积极参加学校组织的各项活动、学习、会议等。不损害国家利益、社会公共利益，或违背社会公序良俗。</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第三条</w:t>
      </w:r>
      <w:r>
        <w:rPr>
          <w:rFonts w:hint="eastAsia" w:ascii="仿宋_GB2312" w:hAnsi="宋体" w:eastAsia="仿宋_GB2312" w:cs="宋体"/>
          <w:sz w:val="32"/>
          <w:szCs w:val="32"/>
        </w:rPr>
        <w:t xml:space="preserve">  传播优秀文化。带头践行社会主义核心价值观，弘扬真善美，传递正能量，传播优秀文化，普及科学知识。不通过课堂、论坛、讲座、信息网络及其他渠道发表、转发错误观点，或编造散布虚假信息、不良信息。</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第四条</w:t>
      </w:r>
      <w:r>
        <w:rPr>
          <w:rFonts w:hint="eastAsia" w:ascii="仿宋_GB2312" w:hAnsi="宋体" w:eastAsia="仿宋_GB2312" w:cs="宋体"/>
          <w:sz w:val="32"/>
          <w:szCs w:val="32"/>
        </w:rPr>
        <w:t xml:space="preserve">  潜心教书育人。落实立德树人根本任务，遵循教育规律和学生成长规律，因材施教，教学相长，完成学校交给的教育教学、科研任务。无违反教学纪律，敷衍教学，或擅自从事影响教育教学本职工作的兼职兼薪行为。</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第五条  </w:t>
      </w:r>
      <w:r>
        <w:rPr>
          <w:rFonts w:hint="eastAsia" w:ascii="仿宋_GB2312" w:hAnsi="宋体" w:eastAsia="仿宋_GB2312" w:cs="宋体"/>
          <w:sz w:val="32"/>
          <w:szCs w:val="32"/>
        </w:rPr>
        <w:t>关心爱护学生。严慈相济，诲人不倦，真心关爱学生，严格要求学生，做学生良师益友。不拒绝学生的合理要求，不要求学生从事与教学、科研、社会服务无关的事宜，不损害学生和学校的合法权益。</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第六条  </w:t>
      </w:r>
      <w:r>
        <w:rPr>
          <w:rFonts w:hint="eastAsia" w:ascii="仿宋_GB2312" w:hAnsi="宋体" w:eastAsia="仿宋_GB2312" w:cs="宋体"/>
          <w:sz w:val="32"/>
          <w:szCs w:val="32"/>
        </w:rPr>
        <w:t>坚持言行雅正。为人师表，以身作则，举止文明，作风正派，自重自爱。不与学生发生任何不正当关系，不存在任何形式的猥亵、性骚扰行为。</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第七条  </w:t>
      </w:r>
      <w:r>
        <w:rPr>
          <w:rFonts w:hint="eastAsia" w:ascii="仿宋_GB2312" w:hAnsi="宋体" w:eastAsia="仿宋_GB2312" w:cs="宋体"/>
          <w:sz w:val="32"/>
          <w:szCs w:val="32"/>
        </w:rPr>
        <w:t>遵守学术规范。严谨治学，力戒浮躁，潜心问道，勇于探索，弘扬科学精神，坚守学术良知，反对学术不端。不存在抄袭剽窃、篡改侵吞他人学术成果，或滥用学术资源和学术影响的行为，坚决抵制学术失范和学术不端行为。</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第八条  </w:t>
      </w:r>
      <w:r>
        <w:rPr>
          <w:rFonts w:hint="eastAsia" w:ascii="仿宋_GB2312" w:hAnsi="宋体" w:eastAsia="仿宋_GB2312" w:cs="宋体"/>
          <w:sz w:val="32"/>
          <w:szCs w:val="32"/>
        </w:rPr>
        <w:t>秉持公平诚信。坚持原则，处事公道，光明磊落，为人正直。在招生、考试、推优、专升本、就业及绩效考核、岗位聘用、职称评聘、评优评奖等工作中，不存在徇私舞弊、弄虚作假的行为。</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第九条  </w:t>
      </w:r>
      <w:r>
        <w:rPr>
          <w:rFonts w:hint="eastAsia" w:ascii="仿宋_GB2312" w:hAnsi="宋体" w:eastAsia="仿宋_GB2312" w:cs="宋体"/>
          <w:sz w:val="32"/>
          <w:szCs w:val="32"/>
        </w:rPr>
        <w:t>坚守廉洁自律。严于律己，清廉从教。不存在索要、收受学生及家长财物的行为，未参加由学生及家长付费的宴请、旅游、娱乐休闲等活动，未利用家长资源谋取私利。</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sz w:val="32"/>
          <w:szCs w:val="32"/>
        </w:rPr>
      </w:pPr>
      <w:r>
        <w:rPr>
          <w:rFonts w:hint="eastAsia" w:ascii="仿宋_GB2312" w:hAnsi="宋体" w:eastAsia="仿宋_GB2312" w:cs="宋体"/>
          <w:b/>
          <w:sz w:val="32"/>
          <w:szCs w:val="32"/>
        </w:rPr>
        <w:t xml:space="preserve">第十条  </w:t>
      </w:r>
      <w:r>
        <w:rPr>
          <w:rFonts w:hint="eastAsia" w:ascii="仿宋_GB2312" w:hAnsi="宋体" w:eastAsia="仿宋_GB2312" w:cs="宋体"/>
          <w:sz w:val="32"/>
          <w:szCs w:val="32"/>
        </w:rPr>
        <w:t>积极奉献社会。履行社会责任，贡献聪明才智，树立正确义利观。不存在假公济私，擅自利用学校名义或校名、校徽、专利、场所等资源谋取个人利益的行为。</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四、考评等级、分值和优秀比例</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师德考评等级分为优秀、合格、基本合格、不合格四个等级,对应分值分别为：优秀≥90分、90分&gt;合格≥70分、70分&gt;基本合格≥60分、不合格&lt;60分。其中，师德考评优秀等级人数按照参评总人数30%的比例评选。</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有下列情形之一，实行一票否决，直接认定“不合格”：</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1.损害国家利益，损害学生和学校合法权益的行为；</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 xml:space="preserve">2.在教育教学活动中有违背党的路线方针政策的言行； </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3.在科研工作中弄虚作假、抄袭剽窃、篡改侵吞他人学术成果、违规使用科研经费以及滥用学术资源和学术影响；</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4.影响正常教育教学工作的兼职兼薪行为；</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5.在招生、考试、学生推优等工作中徇私舞弊；</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6.索要或收受学生及家长的礼品、礼金、有价证券、支付凭证等财物；</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7.对学生实施性骚扰或与学生发生不正当关系；</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8.其他违反高校教师职业道德的行为。</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“一票否决”由相关单位、部门提出，学校师德建设工作领导小组认定后生效。</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五、考评组织机构与职责</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（一）学校成立师德建设工作领导小组和师德建设工作委员会，负责学校师德师风建设工作的总体部署、相关政策的制定和实施，检查、督促、指导各有关部门、二级学院开展工作。</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（二）各二级学院在成立师</w:t>
      </w:r>
      <w:r>
        <w:rPr>
          <w:rFonts w:hint="eastAsia" w:ascii="仿宋_GB2312" w:hAnsi="宋体" w:eastAsia="仿宋_GB2312" w:cs="宋体"/>
          <w:kern w:val="0"/>
          <w:sz w:val="32"/>
          <w:szCs w:val="32"/>
        </w:rPr>
        <w:t>德建设工作组的基础上，</w:t>
      </w:r>
      <w:r>
        <w:rPr>
          <w:rFonts w:hint="eastAsia" w:ascii="仿宋_GB2312" w:hAnsi="宋体" w:eastAsia="仿宋_GB2312" w:cs="宋体"/>
          <w:sz w:val="32"/>
          <w:szCs w:val="32"/>
        </w:rPr>
        <w:t>成立本院师德考评工作小组。师德考评工作小组由7-9人组成，院长、书记（副书记）任组长，班子成员和教师代表为组员，其中教师代表不少于三分之一。负责本单位师德师风宣传教育、年度考评及师德档案管理。</w:t>
      </w:r>
    </w:p>
    <w:p>
      <w:pPr>
        <w:pageBreakBefore w:val="0"/>
        <w:kinsoku/>
        <w:wordWrap/>
        <w:overflowPunct/>
        <w:topLinePunct w:val="0"/>
        <w:autoSpaceDE/>
        <w:autoSpaceDN/>
        <w:bidi w:val="0"/>
        <w:spacing w:line="580" w:lineRule="exact"/>
        <w:ind w:firstLine="640" w:firstLineChars="200"/>
        <w:outlineLvl w:val="9"/>
        <w:rPr>
          <w:rFonts w:hint="eastAsia" w:ascii="仿宋_GB2312" w:hAnsi="Courier New" w:eastAsia="仿宋_GB2312" w:cs="Courier New"/>
          <w:sz w:val="32"/>
          <w:szCs w:val="32"/>
        </w:rPr>
      </w:pPr>
      <w:r>
        <w:rPr>
          <w:rFonts w:hint="eastAsia" w:ascii="仿宋_GB2312" w:hAnsi="Courier New" w:eastAsia="仿宋_GB2312" w:cs="Courier New"/>
          <w:sz w:val="32"/>
          <w:szCs w:val="32"/>
        </w:rPr>
        <w:t>（三）各党政、教辅部门按照直属党支部所包含部门范围成立师德考评小组，考评小组由7-9人组成，推荐1名相关党政、教辅部门负责人任组长，其他相关党政、教辅部门负责人和教职工代表为组员，其中教职工代表不少于三分之一。师德师风年度考评工作由师德考评小组负责，师德师风宣传教育和师德档案管理等工作由各部门自行负责。</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Courier New" w:eastAsia="仿宋_GB2312" w:cs="Courier New"/>
          <w:sz w:val="32"/>
          <w:szCs w:val="32"/>
        </w:rPr>
        <w:t>（四）各二级学院应</w:t>
      </w:r>
      <w:r>
        <w:rPr>
          <w:rFonts w:hint="eastAsia" w:ascii="仿宋_GB2312" w:hAnsi="宋体" w:eastAsia="仿宋_GB2312" w:cs="宋体"/>
          <w:sz w:val="32"/>
          <w:szCs w:val="32"/>
        </w:rPr>
        <w:t>成立师德考评申诉处理工作小组，由主管教学工作的副院长任组长，教学团队负责人和非师德考评工作小组的其他教师代表作为组员，共5-7人，负责处理师德考核过程中出现的异议和其他反映情况。各党政、教辅部门出现的异议和其他反映情况由学校师德建设工作委员会进行处理。</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（五）各部门、二级学院应当将师德考评工作小组、师德考评申诉处理工作小组的成立情况或变更信息及时报校</w:t>
      </w:r>
      <w:r>
        <w:rPr>
          <w:rFonts w:hint="eastAsia" w:ascii="仿宋_GB2312" w:hAnsi="宋体" w:eastAsia="仿宋_GB2312" w:cs="宋体"/>
          <w:kern w:val="0"/>
          <w:sz w:val="32"/>
          <w:szCs w:val="32"/>
        </w:rPr>
        <w:t>师德建设工作委员会办公室</w:t>
      </w:r>
      <w:r>
        <w:rPr>
          <w:rFonts w:hint="eastAsia" w:ascii="仿宋_GB2312" w:hAnsi="宋体" w:eastAsia="仿宋_GB2312" w:cs="宋体"/>
          <w:sz w:val="32"/>
          <w:szCs w:val="32"/>
        </w:rPr>
        <w:t>（党委宣传部）备案。</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六、考评程序</w:t>
      </w:r>
    </w:p>
    <w:p>
      <w:pPr>
        <w:pageBreakBefore w:val="0"/>
        <w:kinsoku/>
        <w:wordWrap/>
        <w:overflowPunct/>
        <w:topLinePunct w:val="0"/>
        <w:autoSpaceDE/>
        <w:autoSpaceDN/>
        <w:bidi w:val="0"/>
        <w:spacing w:line="580" w:lineRule="exact"/>
        <w:ind w:firstLine="643" w:firstLineChars="200"/>
        <w:outlineLvl w:val="9"/>
        <w:rPr>
          <w:rFonts w:hint="eastAsia" w:ascii="楷体_GB2312" w:hAnsi="宋体" w:eastAsia="楷体_GB2312" w:cs="宋体"/>
          <w:b/>
          <w:sz w:val="32"/>
          <w:szCs w:val="32"/>
        </w:rPr>
      </w:pPr>
      <w:r>
        <w:rPr>
          <w:rFonts w:hint="eastAsia" w:ascii="楷体_GB2312" w:hAnsi="宋体" w:eastAsia="楷体_GB2312" w:cs="宋体"/>
          <w:b/>
          <w:sz w:val="32"/>
          <w:szCs w:val="32"/>
        </w:rPr>
        <w:t>（一）专任教师（包括外聘教师）考评程序</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依据师德考评指标，采取平时记录与年终评价相结合；定性考核与定量考核相结合；教师自评、学生评价和二级学院评价相结合的测评方式，对本年度教师师德师风情况进行考评。教师自评结果权重为20%、学生评价权重为40%、二级学院评价权重为40%。</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1.教师自评</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在本年度个人考核中，教师对照履行学校《关于建立健全柳州职业技术学院师德建设长效机制的实施办法》中师德规范的要求，进行自我评价，填写《柳州职业技术学院教师师德自评表》。</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2.学生评价</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每学期末，由教务处组织学生在校园网上对所任课教师进行评教。学生评价分为优秀、合格、基本合格、不合格四个等级,对应分值分别为：优秀≥90分、90分&gt;合格≥70分、70分&gt;基本合格≥60分、不合格&lt;60分。</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3.二级学院和相关部门评价</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（1）相关部门前置评价</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考评工作启动之前，相关部门将师德考核情况报送校</w:t>
      </w:r>
      <w:r>
        <w:rPr>
          <w:rFonts w:hint="eastAsia" w:ascii="仿宋_GB2312" w:hAnsi="宋体" w:eastAsia="仿宋_GB2312" w:cs="宋体"/>
          <w:kern w:val="0"/>
          <w:sz w:val="32"/>
          <w:szCs w:val="32"/>
        </w:rPr>
        <w:t>师德建设工作委员会办公室</w:t>
      </w:r>
      <w:r>
        <w:rPr>
          <w:rFonts w:hint="eastAsia" w:ascii="仿宋_GB2312" w:hAnsi="宋体" w:eastAsia="仿宋_GB2312" w:cs="宋体"/>
          <w:sz w:val="32"/>
          <w:szCs w:val="32"/>
        </w:rPr>
        <w:t>（党委宣传部），其中教务与实训管理处反馈学生评教和教学事故处理结果，科技开发处反馈教师学术失范和学术不端的处理结果，纪检监察室、督导室反馈以教谋私、损害国家利益和学生利益，以及其它违反教师师德的举报及处理结果。各部门反馈情况由宣传部汇总后，统一反馈给二级学院。</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（2）二级学院评价</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二级学院依据各相关部门的考核意见，结合本院日常考核记录，通过师德考评工作小组集体打分取平均分的方式确定部门评价结果，之后填写《柳州职业技术学院教师师德部门评价表》；因进修学习、课程轮空等客观原因无授课任务的教师，可根据完成其他工作和进修学习的表现确定师德等级。</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4.综合评价</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（1）各二级学院按照权重和分值核定出每位教师的最终考评等级，记入师德档案。</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（2）各二级学院填写《柳州职业技术学院教师师德综合评价统计表》和《柳州职业技术学院教师师德诚信档案记录表》，</w:t>
      </w:r>
      <w:r>
        <w:rPr>
          <w:rFonts w:hint="eastAsia" w:ascii="仿宋_GB2312" w:hAnsi="宋体" w:eastAsia="仿宋_GB2312" w:cs="宋体"/>
          <w:bCs/>
          <w:sz w:val="32"/>
          <w:szCs w:val="32"/>
        </w:rPr>
        <w:t>并</w:t>
      </w:r>
      <w:r>
        <w:rPr>
          <w:rFonts w:hint="eastAsia" w:ascii="仿宋_GB2312" w:hAnsi="宋体" w:eastAsia="仿宋_GB2312" w:cs="宋体"/>
          <w:sz w:val="32"/>
          <w:szCs w:val="32"/>
        </w:rPr>
        <w:t>于规定时间内报给校</w:t>
      </w:r>
      <w:r>
        <w:rPr>
          <w:rFonts w:hint="eastAsia" w:ascii="仿宋_GB2312" w:hAnsi="宋体" w:eastAsia="仿宋_GB2312" w:cs="宋体"/>
          <w:kern w:val="0"/>
          <w:sz w:val="32"/>
          <w:szCs w:val="32"/>
        </w:rPr>
        <w:t>师德建设工作委员会办公室</w:t>
      </w:r>
      <w:r>
        <w:rPr>
          <w:rFonts w:hint="eastAsia" w:ascii="仿宋_GB2312" w:hAnsi="宋体" w:eastAsia="仿宋_GB2312" w:cs="宋体"/>
          <w:sz w:val="32"/>
          <w:szCs w:val="32"/>
        </w:rPr>
        <w:t>（党委宣传部），经确认后将《柳州职业技术学院教师师德诚信档案记录表》返还存档。</w:t>
      </w:r>
    </w:p>
    <w:p>
      <w:pPr>
        <w:pageBreakBefore w:val="0"/>
        <w:kinsoku/>
        <w:wordWrap/>
        <w:overflowPunct/>
        <w:topLinePunct w:val="0"/>
        <w:autoSpaceDE/>
        <w:autoSpaceDN/>
        <w:bidi w:val="0"/>
        <w:spacing w:line="580" w:lineRule="exact"/>
        <w:ind w:firstLine="643" w:firstLineChars="200"/>
        <w:outlineLvl w:val="9"/>
        <w:rPr>
          <w:rFonts w:hint="eastAsia" w:ascii="楷体_GB2312" w:hAnsi="宋体" w:eastAsia="楷体_GB2312" w:cs="宋体"/>
          <w:b/>
          <w:sz w:val="32"/>
          <w:szCs w:val="32"/>
        </w:rPr>
      </w:pPr>
      <w:r>
        <w:rPr>
          <w:rFonts w:hint="eastAsia" w:ascii="楷体_GB2312" w:hAnsi="宋体" w:eastAsia="楷体_GB2312" w:cs="宋体"/>
          <w:b/>
          <w:sz w:val="32"/>
          <w:szCs w:val="32"/>
        </w:rPr>
        <w:t>（二）兼课、非兼课行政人员考评程序</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1.兼课行政人员师德考评</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采取四方评价方式对兼课行政人员进行师德师风情况考评：教师自评结果权重为20%；学生评价结果权重为20%；课程所属二级学院评价结果权重为20%；师德考评工作小组评价权重为40%，以集体打分取平均分的方式确定部门评价结果。综合评价参照专任教师考评程序进行。</w:t>
      </w:r>
    </w:p>
    <w:p>
      <w:pPr>
        <w:pageBreakBefore w:val="0"/>
        <w:kinsoku/>
        <w:wordWrap/>
        <w:overflowPunct/>
        <w:topLinePunct w:val="0"/>
        <w:autoSpaceDE/>
        <w:autoSpaceDN/>
        <w:bidi w:val="0"/>
        <w:spacing w:line="580" w:lineRule="exact"/>
        <w:ind w:firstLine="643" w:firstLineChars="200"/>
        <w:outlineLvl w:val="9"/>
        <w:rPr>
          <w:rFonts w:hint="eastAsia" w:ascii="仿宋_GB2312" w:hAnsi="宋体" w:eastAsia="仿宋_GB2312" w:cs="宋体"/>
          <w:b/>
          <w:sz w:val="32"/>
          <w:szCs w:val="32"/>
        </w:rPr>
      </w:pPr>
      <w:r>
        <w:rPr>
          <w:rFonts w:hint="eastAsia" w:ascii="仿宋_GB2312" w:hAnsi="宋体" w:eastAsia="仿宋_GB2312" w:cs="宋体"/>
          <w:b/>
          <w:sz w:val="32"/>
          <w:szCs w:val="32"/>
        </w:rPr>
        <w:t>2.非兼课行政人员师德考评</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采取教师自评和师德考评工作小组评价相结合的测评方式，对非兼课行政人员师德师风情况进行考评：教师自评结果权重为20%；师德考评工作小组评价权重为80%，以集体打分取平均分的方式确定部门评价结果。综合评价参照专任教师考评程序进行。</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二级学院非兼课行政人员的考评及师德档案建设由所属二级学院负责，考评工作参照非兼课行政人员考评方式进行。</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七、问题处理</w:t>
      </w:r>
    </w:p>
    <w:p>
      <w:pPr>
        <w:pageBreakBefore w:val="0"/>
        <w:kinsoku/>
        <w:wordWrap/>
        <w:overflowPunct/>
        <w:topLinePunct w:val="0"/>
        <w:autoSpaceDE/>
        <w:autoSpaceDN/>
        <w:bidi w:val="0"/>
        <w:spacing w:line="580" w:lineRule="exact"/>
        <w:ind w:firstLine="640" w:firstLineChars="200"/>
        <w:outlineLvl w:val="9"/>
        <w:rPr>
          <w:rFonts w:hint="eastAsia" w:ascii="仿宋_GB2312" w:hAnsi="Courier New" w:eastAsia="仿宋_GB2312" w:cs="Courier New"/>
          <w:sz w:val="32"/>
          <w:szCs w:val="32"/>
        </w:rPr>
      </w:pPr>
      <w:r>
        <w:rPr>
          <w:rFonts w:hint="eastAsia" w:ascii="仿宋_GB2312" w:hAnsi="Courier New" w:eastAsia="仿宋_GB2312" w:cs="Courier New"/>
          <w:sz w:val="32"/>
          <w:szCs w:val="32"/>
        </w:rPr>
        <w:t>1.相关部门、各二级学院应向认定为不合格的教师说明理由，听取教师本人意见。</w:t>
      </w:r>
    </w:p>
    <w:p>
      <w:pPr>
        <w:pageBreakBefore w:val="0"/>
        <w:kinsoku/>
        <w:wordWrap/>
        <w:overflowPunct/>
        <w:topLinePunct w:val="0"/>
        <w:autoSpaceDE/>
        <w:autoSpaceDN/>
        <w:bidi w:val="0"/>
        <w:spacing w:line="580" w:lineRule="exact"/>
        <w:ind w:firstLine="640" w:firstLineChars="200"/>
        <w:outlineLvl w:val="9"/>
        <w:rPr>
          <w:rFonts w:hint="eastAsia" w:ascii="仿宋_GB2312" w:hAnsi="Courier New" w:eastAsia="仿宋_GB2312" w:cs="Courier New"/>
          <w:sz w:val="32"/>
          <w:szCs w:val="32"/>
        </w:rPr>
      </w:pPr>
      <w:r>
        <w:rPr>
          <w:rFonts w:hint="eastAsia" w:ascii="仿宋_GB2312" w:hAnsi="Courier New" w:eastAsia="仿宋_GB2312" w:cs="Courier New"/>
          <w:sz w:val="32"/>
          <w:szCs w:val="32"/>
        </w:rPr>
        <w:t>2.</w:t>
      </w:r>
      <w:r>
        <w:rPr>
          <w:rFonts w:ascii="仿宋_GB2312" w:hAnsi="Courier New" w:eastAsia="仿宋_GB2312" w:cs="Courier New"/>
          <w:sz w:val="32"/>
          <w:szCs w:val="32"/>
        </w:rPr>
        <w:t>考评结果应当</w:t>
      </w:r>
      <w:r>
        <w:rPr>
          <w:rFonts w:hint="eastAsia" w:ascii="仿宋_GB2312" w:hAnsi="Courier New" w:eastAsia="仿宋_GB2312" w:cs="Courier New"/>
          <w:sz w:val="32"/>
          <w:szCs w:val="32"/>
        </w:rPr>
        <w:t>面向本部门、二级学院师生公示5个工作日。</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3.教师本人对考核结果有异议，或公示期间有情况反映的,相关部门须对有关情况进一步核实，依据相关规定进行复核，作出结论。教师本人没有申诉的，按照公示情况确定考核结果。</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八、考评结果运用</w:t>
      </w:r>
    </w:p>
    <w:p>
      <w:pPr>
        <w:pageBreakBefore w:val="0"/>
        <w:kinsoku/>
        <w:wordWrap/>
        <w:overflowPunct/>
        <w:topLinePunct w:val="0"/>
        <w:autoSpaceDE/>
        <w:autoSpaceDN/>
        <w:bidi w:val="0"/>
        <w:spacing w:line="580" w:lineRule="exact"/>
        <w:ind w:firstLine="640" w:firstLineChars="200"/>
        <w:outlineLvl w:val="9"/>
        <w:rPr>
          <w:rFonts w:hint="eastAsia" w:ascii="仿宋_GB2312" w:hAnsi="Courier New" w:eastAsia="仿宋_GB2312" w:cs="Courier New"/>
          <w:sz w:val="32"/>
          <w:szCs w:val="32"/>
        </w:rPr>
      </w:pPr>
      <w:r>
        <w:rPr>
          <w:rFonts w:hint="eastAsia" w:ascii="仿宋_GB2312" w:hAnsi="Courier New" w:eastAsia="仿宋_GB2312" w:cs="Courier New"/>
          <w:sz w:val="32"/>
          <w:szCs w:val="32"/>
        </w:rPr>
        <w:t>1.学校建立教师师德诚信档案，将师德考核结果材料存入师德诚信档案。</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2.教师年度个人考核优秀的获得者应从当年师德考评优秀者中产生。</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3.校级及以上评优评先应从近两年师德考评合格等级以上且至少获得过一次优秀等级者中产生。</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4.近2年年度师德考核均为“合格”等级及以上，方能推荐参加职务（职称）评聘、岗位聘用、工资晋级、干部选任、申报人才计划、申报教科研等项目。</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kern w:val="0"/>
          <w:sz w:val="32"/>
          <w:szCs w:val="32"/>
        </w:rPr>
      </w:pPr>
      <w:r>
        <w:rPr>
          <w:rFonts w:hint="eastAsia" w:ascii="仿宋_GB2312" w:hAnsi="宋体" w:eastAsia="仿宋_GB2312" w:cs="宋体"/>
          <w:kern w:val="0"/>
          <w:sz w:val="32"/>
          <w:szCs w:val="32"/>
        </w:rPr>
        <w:t>5.当年师德考评等级为不合格者，</w:t>
      </w:r>
      <w:r>
        <w:rPr>
          <w:rFonts w:ascii="仿宋_GB2312" w:hAnsi="宋体" w:eastAsia="仿宋_GB2312" w:cs="宋体"/>
          <w:kern w:val="0"/>
          <w:sz w:val="32"/>
          <w:szCs w:val="32"/>
        </w:rPr>
        <w:t>年度考核应评定为不合格</w:t>
      </w:r>
      <w:r>
        <w:rPr>
          <w:rFonts w:hint="eastAsia" w:ascii="仿宋_GB2312" w:hAnsi="宋体" w:eastAsia="仿宋_GB2312" w:cs="宋体"/>
          <w:kern w:val="0"/>
          <w:sz w:val="32"/>
          <w:szCs w:val="32"/>
        </w:rPr>
        <w:t>。</w:t>
      </w:r>
    </w:p>
    <w:p>
      <w:pPr>
        <w:pageBreakBefore w:val="0"/>
        <w:kinsoku/>
        <w:wordWrap/>
        <w:overflowPunct/>
        <w:topLinePunct w:val="0"/>
        <w:autoSpaceDE/>
        <w:autoSpaceDN/>
        <w:bidi w:val="0"/>
        <w:spacing w:line="580"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6.对严重违反教师职业道德者，视情节根据有关规定予以处理。</w:t>
      </w:r>
    </w:p>
    <w:p>
      <w:pPr>
        <w:pageBreakBefore w:val="0"/>
        <w:kinsoku/>
        <w:wordWrap/>
        <w:overflowPunct/>
        <w:topLinePunct w:val="0"/>
        <w:autoSpaceDE/>
        <w:autoSpaceDN/>
        <w:bidi w:val="0"/>
        <w:spacing w:line="580"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九、附则</w:t>
      </w:r>
    </w:p>
    <w:p>
      <w:pPr>
        <w:pageBreakBefore w:val="0"/>
        <w:kinsoku/>
        <w:wordWrap/>
        <w:overflowPunct/>
        <w:topLinePunct w:val="0"/>
        <w:autoSpaceDE/>
        <w:autoSpaceDN/>
        <w:bidi w:val="0"/>
        <w:spacing w:line="580" w:lineRule="exact"/>
        <w:ind w:firstLine="640" w:firstLineChars="200"/>
        <w:outlineLvl w:val="9"/>
        <w:rPr>
          <w:rFonts w:ascii="仿宋_GB2312" w:hAnsi="宋体" w:eastAsia="仿宋_GB2312" w:cs="Courier New"/>
          <w:sz w:val="32"/>
          <w:szCs w:val="32"/>
        </w:rPr>
      </w:pPr>
      <w:r>
        <w:rPr>
          <w:rFonts w:ascii="仿宋_GB2312" w:hAnsi="宋体" w:eastAsia="仿宋_GB2312" w:cs="Courier New"/>
          <w:sz w:val="32"/>
          <w:szCs w:val="32"/>
        </w:rPr>
        <w:t>本办法自</w:t>
      </w:r>
      <w:r>
        <w:rPr>
          <w:rFonts w:ascii="仿宋_GB2312" w:hAnsi="Courier New" w:eastAsia="仿宋_GB2312" w:cs="Courier New"/>
          <w:sz w:val="32"/>
          <w:szCs w:val="32"/>
        </w:rPr>
        <w:t>发</w:t>
      </w:r>
      <w:r>
        <w:rPr>
          <w:rFonts w:ascii="仿宋_GB2312" w:hAnsi="宋体" w:eastAsia="仿宋_GB2312" w:cs="Courier New"/>
          <w:sz w:val="32"/>
          <w:szCs w:val="32"/>
        </w:rPr>
        <w:t>布</w:t>
      </w:r>
      <w:r>
        <w:rPr>
          <w:rFonts w:ascii="仿宋_GB2312" w:hAnsi="Courier New" w:eastAsia="仿宋_GB2312" w:cs="Courier New"/>
          <w:sz w:val="32"/>
          <w:szCs w:val="32"/>
        </w:rPr>
        <w:t>之</w:t>
      </w:r>
      <w:r>
        <w:rPr>
          <w:rFonts w:ascii="仿宋_GB2312" w:hAnsi="宋体" w:eastAsia="仿宋_GB2312" w:cs="Courier New"/>
          <w:sz w:val="32"/>
          <w:szCs w:val="32"/>
        </w:rPr>
        <w:t>日起</w:t>
      </w:r>
      <w:r>
        <w:rPr>
          <w:rFonts w:hint="eastAsia" w:ascii="仿宋_GB2312" w:hAnsi="Courier New" w:eastAsia="仿宋_GB2312" w:cs="Courier New"/>
          <w:sz w:val="32"/>
          <w:szCs w:val="32"/>
        </w:rPr>
        <w:t>执行</w:t>
      </w:r>
      <w:r>
        <w:rPr>
          <w:rFonts w:hint="eastAsia" w:ascii="仿宋_GB2312" w:hAnsi="宋体" w:eastAsia="仿宋_GB2312" w:cs="Courier New"/>
          <w:sz w:val="32"/>
          <w:szCs w:val="32"/>
        </w:rPr>
        <w:t>，</w:t>
      </w:r>
      <w:r>
        <w:rPr>
          <w:rFonts w:ascii="仿宋_GB2312" w:hAnsi="宋体" w:eastAsia="仿宋_GB2312" w:cs="Courier New"/>
          <w:sz w:val="32"/>
          <w:szCs w:val="32"/>
        </w:rPr>
        <w:t>由</w:t>
      </w:r>
      <w:r>
        <w:rPr>
          <w:rFonts w:hint="eastAsia" w:ascii="仿宋_GB2312" w:hAnsi="宋体" w:eastAsia="仿宋_GB2312" w:cs="Courier New"/>
          <w:sz w:val="32"/>
          <w:szCs w:val="32"/>
        </w:rPr>
        <w:t>学校师德建设工作委员会</w:t>
      </w:r>
      <w:r>
        <w:rPr>
          <w:rFonts w:ascii="仿宋_GB2312" w:hAnsi="宋体" w:eastAsia="仿宋_GB2312" w:cs="Courier New"/>
          <w:sz w:val="32"/>
          <w:szCs w:val="32"/>
        </w:rPr>
        <w:t>负责解释。</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宋体" w:hAnsi="宋体"/>
          <w:b/>
          <w:bCs/>
          <w:color w:val="000000"/>
          <w:sz w:val="36"/>
          <w:szCs w:val="36"/>
          <w:lang w:val="en-US" w:eastAsia="zh-CN"/>
        </w:rPr>
      </w:pPr>
      <w:bookmarkStart w:id="355" w:name="_Toc30600"/>
      <w:bookmarkStart w:id="356" w:name="_Toc13318"/>
      <w:bookmarkStart w:id="357" w:name="_Toc13622"/>
      <w:r>
        <w:rPr>
          <w:rFonts w:hint="eastAsia" w:ascii="宋体" w:hAnsi="宋体"/>
          <w:b/>
          <w:bCs/>
          <w:color w:val="000000"/>
          <w:sz w:val="36"/>
          <w:szCs w:val="36"/>
          <w:lang w:val="en-US" w:eastAsia="zh-CN"/>
        </w:rPr>
        <w:t>柳州职业技术学院外聘兼职教师管理办法</w:t>
      </w:r>
      <w:bookmarkEnd w:id="355"/>
      <w:bookmarkEnd w:id="356"/>
      <w:bookmarkEnd w:id="357"/>
    </w:p>
    <w:p>
      <w:pPr>
        <w:pageBreakBefore w:val="0"/>
        <w:kinsoku/>
        <w:wordWrap/>
        <w:overflowPunct/>
        <w:topLinePunct w:val="0"/>
        <w:autoSpaceDE/>
        <w:autoSpaceDN/>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柳职院字〔2020〕16 号</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为优化师资队伍结构，建立以专职教师为主，专、兼职结合的“双师型”教师队伍，进一步规范外聘兼职教师的管理，结合我校实际，特制订本办法。</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一、本办法的适用范围</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本办法适用于我校各二级学院（部门）根据人才培养工作需要聘请的承担我校教育教学任务的非本校教师（我校离退休教师可聘为外聘兼职教师）。不包括返聘的专职教师与客座教授。</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二、用工形式</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外聘兼职教师的用工形式为 “非全日制”劳务用工。</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三、外聘兼职教师聘用原则</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外聘兼职教师的聘用应严格考查拟聘人员的思想政治素质，确保正确的政治立场和良好的道德品质，按照公开、公平、择优的原则,组织开展考察、遴选和聘请程序。</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聘请外聘兼职教师应优先考虑对口合作企事业人员，也可以面向社会聘请。各二级学院（部门）可通过对口合作的企事业单位选派的方式产生，可建立合作企事业人员到我校兼职任教的常态机制，纳入校企合作管理基本内容。</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四、外聘兼职教师的条件</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（一）具备良好的思想政治素质和职业道德,遵纪守法,热爱教育事业,身心健康;</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（二）具有较高的专业素养和技能水平，有较好的口头表达能力和传授知识、技能的能力，能胜任教学工作任务。</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一般应具有中级及以上专业技术职称（职务）；或高级工及以上技术等级职业资格（职务）；或企业行业中层及以上管理职务、技术骨干；或具有特殊技能，在相关行业中具有一定声誉的能工巧匠、非物质文化遗产传承人。因工作特别需要，经二级学院（部门）考核，学校教务处和人事处审核通过，可破格聘用。</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（四）所学专业或从事的专业与申请任教的课程对口或相近。</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（五）在聘期内能保证有充裕的时间在我校从事教学工作，原则上年龄不超过65周岁。</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（六）除上述条件外，不同教学岗位的特殊条件，由课程管理单位另行决定。</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五、外聘兼职教师聘用程序</w:t>
      </w:r>
    </w:p>
    <w:p>
      <w:pPr>
        <w:pageBreakBefore w:val="0"/>
        <w:kinsoku/>
        <w:wordWrap/>
        <w:overflowPunct/>
        <w:topLinePunct w:val="0"/>
        <w:autoSpaceDE/>
        <w:autoSpaceDN/>
        <w:bidi w:val="0"/>
        <w:spacing w:line="570" w:lineRule="exact"/>
        <w:ind w:firstLine="643" w:firstLineChars="200"/>
        <w:outlineLvl w:val="9"/>
        <w:rPr>
          <w:rFonts w:hint="eastAsia" w:ascii="楷体_GB2312" w:hAnsi="宋体" w:eastAsia="楷体_GB2312" w:cs="宋体"/>
          <w:b/>
          <w:bCs/>
          <w:sz w:val="32"/>
          <w:szCs w:val="32"/>
        </w:rPr>
      </w:pPr>
      <w:r>
        <w:rPr>
          <w:rFonts w:hint="eastAsia" w:ascii="楷体_GB2312" w:hAnsi="宋体" w:eastAsia="楷体_GB2312" w:cs="宋体"/>
          <w:b/>
          <w:bCs/>
          <w:sz w:val="32"/>
          <w:szCs w:val="32"/>
        </w:rPr>
        <w:t>（一）制订计划</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各二级学院（部门）于每学期末向人事处上报下一学期聘用计划，根据外聘兼职教师计划申报流程进行申报，经学校教务处、人事处审核。如计划变更，变更内容需经教务处、人事处重新审核。</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（二）公布岗位和任职条件</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各二级学院（部门）通过向合作企事业单位或校园网等其他方式公布岗位和任职条件。</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（三）资格审查和能力考核</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各二级学院（部门）根据推荐和报名情况，组织进行资格审查（包括学历证书或学位证书、专业技术任职资格证书、有关单位出具的相关证明等材料），并对拟聘教师的教学水平和业务能力进行全面考核。</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（四）等级认定</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各二级学院（部门）按照学校“柳州职业技术学院兼职教师课酬等级认定申请流程”，在校园网上对通过初审和考核合格拟聘人员进行等级认定。</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（五）签订工作协议书</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各二级学院（部门）代表学校与拟聘人员签订教学工作协议书（见附件1），并报送人事处备案。外聘兼职教师的每周教学工作课时累计不得超过20个课时，聘期以计划完成教学任务的时间为限。</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外聘兼职教师须签订《柳州职业技术学院外聘兼职教师教学工作协议书》后方可开展教学活动。</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（六）续聘</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各二级学院（部门）应按下列第六条规定，加强对外聘兼职教师的管理和考核，对教学效果优良的兼职教师，可以续聘担任相同或相近课程的教学任务，不必再次进行资格审查和能力考核，但必须重新办理等级认定和签订新的工作协议书。</w:t>
      </w:r>
    </w:p>
    <w:p>
      <w:pPr>
        <w:pageBreakBefore w:val="0"/>
        <w:kinsoku/>
        <w:wordWrap/>
        <w:overflowPunct/>
        <w:topLinePunct w:val="0"/>
        <w:autoSpaceDE/>
        <w:autoSpaceDN/>
        <w:bidi w:val="0"/>
        <w:spacing w:line="570" w:lineRule="exact"/>
        <w:ind w:firstLine="643" w:firstLineChars="200"/>
        <w:outlineLvl w:val="9"/>
        <w:rPr>
          <w:rFonts w:ascii="楷体_GB2312" w:hAnsi="宋体" w:eastAsia="楷体_GB2312" w:cs="宋体"/>
          <w:b/>
          <w:bCs/>
          <w:sz w:val="32"/>
          <w:szCs w:val="32"/>
        </w:rPr>
      </w:pPr>
      <w:r>
        <w:rPr>
          <w:rFonts w:hint="eastAsia" w:ascii="楷体_GB2312" w:hAnsi="宋体" w:eastAsia="楷体_GB2312" w:cs="宋体"/>
          <w:b/>
          <w:bCs/>
          <w:sz w:val="32"/>
          <w:szCs w:val="32"/>
        </w:rPr>
        <w:t>（七）解聘</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1.在约定聘期内，学校和外聘兼职教师各自履行完成约定的职责后，自动解聘。</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2.在聘任期间，外聘兼职教师有以下情形者，聘用部门应及时提出解聘意见报人事处，经学校同意后应予以解聘：</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（1）违背党和国家方针政策，违反四项基本原则，信奉和传播邪教者。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（2）师德不良，道德败坏者；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（3）教学效果差，学生意见大又无切实改进者。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（4）损坏我校声誉和利益者；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（5）用不正当手段谋取私利者；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（6）违反学校管理制度，经指出后仍不改进者；</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（7）其他违法违纪行为者。</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六、外聘兼职教师的管理与考核</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二级学院（部门）是外聘兼职教师日常管理的主体，负责对外聘兼职教师进行岗前培训，履行日常管理和考核职责。二级学院（部门）应参照学校对本校教师的相关教学考评办法，对外聘兼职教师进行教学检查和考评，发现问题及时处理。情节严重的，应</w:t>
      </w:r>
      <w:r>
        <w:rPr>
          <w:rFonts w:ascii="仿宋_GB2312" w:hAnsi="宋体" w:eastAsia="仿宋_GB2312" w:cs="宋体"/>
          <w:bCs/>
          <w:sz w:val="32"/>
          <w:szCs w:val="32"/>
        </w:rPr>
        <w:t>向</w:t>
      </w:r>
      <w:r>
        <w:rPr>
          <w:rFonts w:hint="eastAsia" w:ascii="仿宋_GB2312" w:hAnsi="宋体" w:eastAsia="仿宋_GB2312" w:cs="宋体"/>
          <w:bCs/>
          <w:sz w:val="32"/>
          <w:szCs w:val="32"/>
        </w:rPr>
        <w:t>学校教务处、</w:t>
      </w:r>
      <w:r>
        <w:rPr>
          <w:rFonts w:ascii="仿宋_GB2312" w:hAnsi="宋体" w:eastAsia="仿宋_GB2312" w:cs="宋体"/>
          <w:bCs/>
          <w:sz w:val="32"/>
          <w:szCs w:val="32"/>
        </w:rPr>
        <w:t>人事处</w:t>
      </w:r>
      <w:r>
        <w:rPr>
          <w:rFonts w:hint="eastAsia" w:ascii="仿宋_GB2312" w:hAnsi="宋体" w:eastAsia="仿宋_GB2312" w:cs="宋体"/>
          <w:bCs/>
          <w:sz w:val="32"/>
          <w:szCs w:val="32"/>
        </w:rPr>
        <w:t>报告，</w:t>
      </w:r>
      <w:r>
        <w:rPr>
          <w:rFonts w:ascii="仿宋_GB2312" w:hAnsi="宋体" w:eastAsia="仿宋_GB2312" w:cs="宋体"/>
          <w:bCs/>
          <w:sz w:val="32"/>
          <w:szCs w:val="32"/>
        </w:rPr>
        <w:t>予以</w:t>
      </w:r>
      <w:r>
        <w:rPr>
          <w:rFonts w:hint="eastAsia" w:ascii="仿宋_GB2312" w:hAnsi="宋体" w:eastAsia="仿宋_GB2312" w:cs="宋体"/>
          <w:bCs/>
          <w:sz w:val="32"/>
          <w:szCs w:val="32"/>
        </w:rPr>
        <w:t>解</w:t>
      </w:r>
      <w:r>
        <w:rPr>
          <w:rFonts w:ascii="仿宋_GB2312" w:hAnsi="宋体" w:eastAsia="仿宋_GB2312" w:cs="宋体"/>
          <w:bCs/>
          <w:sz w:val="32"/>
          <w:szCs w:val="32"/>
        </w:rPr>
        <w:t>聘。</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（二）外聘兼职教师应遵守教师职业道德和我校有关规章制度、</w:t>
      </w:r>
      <w:r>
        <w:rPr>
          <w:rFonts w:ascii="仿宋_GB2312" w:hAnsi="宋体" w:eastAsia="仿宋_GB2312" w:cs="宋体"/>
          <w:bCs/>
          <w:sz w:val="32"/>
          <w:szCs w:val="32"/>
        </w:rPr>
        <w:t>教学工作规范，</w:t>
      </w:r>
      <w:r>
        <w:rPr>
          <w:rFonts w:hint="eastAsia" w:ascii="仿宋_GB2312" w:hAnsi="宋体" w:eastAsia="仿宋_GB2312" w:cs="宋体"/>
          <w:bCs/>
          <w:sz w:val="32"/>
          <w:szCs w:val="32"/>
        </w:rPr>
        <w:t>根据工作协议完成相关工作任务。教学资料必须齐备，</w:t>
      </w:r>
      <w:r>
        <w:rPr>
          <w:rFonts w:ascii="仿宋_GB2312" w:hAnsi="宋体" w:eastAsia="仿宋_GB2312" w:cs="宋体"/>
          <w:bCs/>
          <w:sz w:val="32"/>
          <w:szCs w:val="32"/>
        </w:rPr>
        <w:t>不得缺课与迟到，应辅导学生、批阅学生作业</w:t>
      </w:r>
      <w:r>
        <w:rPr>
          <w:rFonts w:hint="eastAsia" w:ascii="仿宋_GB2312" w:hAnsi="宋体" w:eastAsia="仿宋_GB2312" w:cs="宋体"/>
          <w:bCs/>
          <w:sz w:val="32"/>
          <w:szCs w:val="32"/>
        </w:rPr>
        <w:t>等，规范开展教学工作，并接受学校和聘任部门的检查、监督和考核。</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（三）二级学院（部门）应组织外聘兼职教师，按学校的教学要求进行培训，并对外聘兼职教师参与教学研究、专业建设和团队建设提出要求。</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七、外聘兼职教师的课酬管理</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（一）外聘兼职教师课酬实行课时津贴制，每月按实际课时量计酬，由各二级学院（部门）按月核算报财务处发放。具体课酬标准详见附件2：</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（二）顶岗实习企业指导、校企合作类教师课酬发放，由协议双方协商，根据签订的合作协议执行。</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（三）学校人事处负责为外聘兼职教师按聘期购买意外伤害保险。</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（四）外聘兼职教师除获得约定的课酬和学校为其购买的人身意外保险，不享受学校的其他工资、福利等待遇。</w:t>
      </w:r>
    </w:p>
    <w:p>
      <w:pPr>
        <w:pageBreakBefore w:val="0"/>
        <w:kinsoku/>
        <w:wordWrap/>
        <w:overflowPunct/>
        <w:topLinePunct w:val="0"/>
        <w:autoSpaceDE/>
        <w:autoSpaceDN/>
        <w:bidi w:val="0"/>
        <w:spacing w:line="570" w:lineRule="exact"/>
        <w:ind w:firstLine="643" w:firstLineChars="200"/>
        <w:outlineLvl w:val="9"/>
        <w:rPr>
          <w:rFonts w:ascii="黑体" w:hAnsi="黑体" w:eastAsia="黑体" w:cs="宋体"/>
          <w:b/>
          <w:bCs/>
          <w:sz w:val="32"/>
          <w:szCs w:val="32"/>
        </w:rPr>
      </w:pPr>
      <w:r>
        <w:rPr>
          <w:rFonts w:hint="eastAsia" w:ascii="黑体" w:hAnsi="黑体" w:eastAsia="黑体" w:cs="宋体"/>
          <w:b/>
          <w:bCs/>
          <w:sz w:val="32"/>
          <w:szCs w:val="32"/>
        </w:rPr>
        <w:t>八、附则</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 xml:space="preserve">本办法解释权归教务处与人事处所有。若涉及本办法规定之外的未清晰界定或不明确之处，由我校教务处与人事处共同解释。 </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本办法自发布之日起实施。</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附件：1.柳州职业技术学院外聘兼职教师教学工作协议书</w:t>
      </w:r>
    </w:p>
    <w:p>
      <w:pPr>
        <w:pageBreakBefore w:val="0"/>
        <w:kinsoku/>
        <w:wordWrap/>
        <w:overflowPunct/>
        <w:topLinePunct w:val="0"/>
        <w:autoSpaceDE/>
        <w:autoSpaceDN/>
        <w:bidi w:val="0"/>
        <w:spacing w:line="570" w:lineRule="exact"/>
        <w:ind w:firstLine="1600" w:firstLineChars="500"/>
        <w:outlineLvl w:val="9"/>
        <w:rPr>
          <w:rFonts w:ascii="仿宋_GB2312" w:hAnsi="宋体" w:eastAsia="仿宋_GB2312" w:cs="宋体"/>
          <w:bCs/>
          <w:sz w:val="32"/>
          <w:szCs w:val="32"/>
        </w:rPr>
      </w:pPr>
      <w:r>
        <w:rPr>
          <w:rFonts w:hint="eastAsia" w:ascii="仿宋_GB2312" w:hAnsi="宋体" w:eastAsia="仿宋_GB2312" w:cs="宋体"/>
          <w:bCs/>
          <w:sz w:val="32"/>
          <w:szCs w:val="32"/>
        </w:rPr>
        <w:t>2.柳州职业技术学院校外兼职教师课酬标准</w:t>
      </w:r>
    </w:p>
    <w:p>
      <w:pPr>
        <w:pageBreakBefore w:val="0"/>
        <w:kinsoku/>
        <w:wordWrap/>
        <w:overflowPunct/>
        <w:topLinePunct w:val="0"/>
        <w:autoSpaceDE/>
        <w:autoSpaceDN/>
        <w:bidi w:val="0"/>
        <w:spacing w:line="570" w:lineRule="exact"/>
        <w:ind w:firstLine="640" w:firstLineChars="200"/>
        <w:outlineLvl w:val="9"/>
        <w:rPr>
          <w:rFonts w:ascii="仿宋_GB2312" w:hAnsi="宋体" w:eastAsia="仿宋_GB2312" w:cs="宋体"/>
          <w:bCs/>
          <w:sz w:val="32"/>
          <w:szCs w:val="32"/>
        </w:rPr>
      </w:pPr>
    </w:p>
    <w:p>
      <w:pPr>
        <w:pageBreakBefore w:val="0"/>
        <w:kinsoku/>
        <w:wordWrap/>
        <w:overflowPunct/>
        <w:topLinePunct w:val="0"/>
        <w:autoSpaceDE/>
        <w:autoSpaceDN/>
        <w:bidi w:val="0"/>
        <w:spacing w:line="596" w:lineRule="exact"/>
        <w:jc w:val="left"/>
        <w:outlineLvl w:val="9"/>
        <w:rPr>
          <w:rFonts w:hint="eastAsia" w:ascii="黑体" w:hAnsi="Calibri" w:eastAsia="黑体"/>
          <w:sz w:val="30"/>
          <w:szCs w:val="30"/>
        </w:rPr>
      </w:pPr>
      <w:r>
        <w:rPr>
          <w:rFonts w:ascii="仿宋_GB2312" w:hAnsi="宋体" w:eastAsia="仿宋_GB2312" w:cs="宋体"/>
          <w:bCs/>
          <w:sz w:val="32"/>
          <w:szCs w:val="32"/>
        </w:rPr>
        <w:br w:type="page"/>
      </w:r>
      <w:r>
        <w:rPr>
          <w:rFonts w:hint="eastAsia" w:ascii="黑体" w:hAnsi="Calibri" w:eastAsia="黑体"/>
          <w:sz w:val="30"/>
          <w:szCs w:val="30"/>
        </w:rPr>
        <w:t>附件1：</w:t>
      </w:r>
    </w:p>
    <w:p>
      <w:pPr>
        <w:pageBreakBefore w:val="0"/>
        <w:kinsoku/>
        <w:wordWrap/>
        <w:overflowPunct/>
        <w:topLinePunct w:val="0"/>
        <w:autoSpaceDE/>
        <w:autoSpaceDN/>
        <w:bidi w:val="0"/>
        <w:jc w:val="center"/>
        <w:outlineLvl w:val="9"/>
        <w:rPr>
          <w:rFonts w:ascii="黑体" w:hAnsi="黑体" w:eastAsia="黑体"/>
          <w:color w:val="000000"/>
          <w:kern w:val="0"/>
          <w:sz w:val="32"/>
          <w:szCs w:val="32"/>
        </w:rPr>
      </w:pPr>
      <w:r>
        <w:rPr>
          <w:rFonts w:hint="eastAsia" w:ascii="黑体" w:hAnsi="黑体" w:eastAsia="黑体"/>
          <w:color w:val="000000"/>
          <w:kern w:val="0"/>
          <w:sz w:val="32"/>
          <w:szCs w:val="32"/>
        </w:rPr>
        <w:t>柳州职业技术学院外聘兼职教师</w:t>
      </w:r>
      <w:r>
        <w:rPr>
          <w:rFonts w:hint="eastAsia" w:ascii="黑体" w:hAnsi="黑体" w:eastAsia="黑体"/>
          <w:kern w:val="0"/>
          <w:sz w:val="32"/>
          <w:szCs w:val="32"/>
        </w:rPr>
        <w:t>教学</w:t>
      </w:r>
      <w:r>
        <w:rPr>
          <w:rFonts w:hint="eastAsia" w:ascii="黑体" w:hAnsi="黑体" w:eastAsia="黑体"/>
          <w:color w:val="000000"/>
          <w:kern w:val="0"/>
          <w:sz w:val="32"/>
          <w:szCs w:val="32"/>
        </w:rPr>
        <w:t>工作议书</w:t>
      </w:r>
    </w:p>
    <w:p>
      <w:pPr>
        <w:pageBreakBefore w:val="0"/>
        <w:kinsoku/>
        <w:wordWrap/>
        <w:overflowPunct/>
        <w:topLinePunct w:val="0"/>
        <w:autoSpaceDE/>
        <w:autoSpaceDN/>
        <w:bidi w:val="0"/>
        <w:jc w:val="center"/>
        <w:outlineLvl w:val="9"/>
        <w:rPr>
          <w:rFonts w:hint="eastAsia" w:ascii="黑体" w:hAnsi="黑体" w:eastAsia="黑体"/>
          <w:color w:val="000000"/>
          <w:kern w:val="0"/>
          <w:sz w:val="31"/>
          <w:szCs w:val="31"/>
        </w:rPr>
      </w:pPr>
      <w:r>
        <w:rPr>
          <w:rFonts w:hint="eastAsia" w:ascii="黑体" w:hAnsi="黑体" w:eastAsia="黑体"/>
          <w:color w:val="000000"/>
          <w:kern w:val="0"/>
          <w:sz w:val="31"/>
          <w:szCs w:val="31"/>
        </w:rPr>
        <w:t xml:space="preserve"> </w:t>
      </w:r>
    </w:p>
    <w:p>
      <w:pPr>
        <w:pageBreakBefore w:val="0"/>
        <w:widowControl/>
        <w:kinsoku/>
        <w:wordWrap/>
        <w:overflowPunct/>
        <w:topLinePunct w:val="0"/>
        <w:autoSpaceDE/>
        <w:autoSpaceDN/>
        <w:bidi w:val="0"/>
        <w:adjustRightInd w:val="0"/>
        <w:snapToGrid w:val="0"/>
        <w:spacing w:line="480" w:lineRule="exact"/>
        <w:outlineLvl w:val="9"/>
        <w:rPr>
          <w:rFonts w:hint="eastAsia" w:ascii="黑体" w:hAnsi="宋体" w:eastAsia="黑体"/>
          <w:kern w:val="0"/>
          <w:szCs w:val="28"/>
        </w:rPr>
      </w:pPr>
      <w:r>
        <w:rPr>
          <w:rFonts w:hint="eastAsia" w:ascii="黑体" w:hAnsi="黑体" w:eastAsia="黑体"/>
          <w:kern w:val="0"/>
          <w:szCs w:val="28"/>
        </w:rPr>
        <w:t>甲方：柳州职业技术学院</w:t>
      </w:r>
    </w:p>
    <w:p>
      <w:pPr>
        <w:pageBreakBefore w:val="0"/>
        <w:kinsoku/>
        <w:wordWrap/>
        <w:overflowPunct/>
        <w:topLinePunct w:val="0"/>
        <w:autoSpaceDE/>
        <w:autoSpaceDN/>
        <w:bidi w:val="0"/>
        <w:spacing w:line="480" w:lineRule="exact"/>
        <w:outlineLvl w:val="9"/>
        <w:rPr>
          <w:rFonts w:hint="eastAsia" w:ascii="黑体" w:hAnsi="黑体" w:eastAsia="黑体"/>
          <w:szCs w:val="28"/>
          <w:u w:val="single"/>
        </w:rPr>
      </w:pPr>
      <w:r>
        <w:rPr>
          <w:rFonts w:hint="eastAsia" w:ascii="黑体" w:hAnsi="黑体" w:eastAsia="黑体"/>
          <w:szCs w:val="28"/>
        </w:rPr>
        <w:t>乙方：姓名</w:t>
      </w:r>
      <w:r>
        <w:rPr>
          <w:rFonts w:hint="eastAsia" w:ascii="黑体" w:hAnsi="黑体" w:eastAsia="黑体"/>
          <w:szCs w:val="28"/>
          <w:u w:val="single"/>
        </w:rPr>
        <w:t xml:space="preserve">     </w:t>
      </w:r>
      <w:r>
        <w:rPr>
          <w:rFonts w:hint="eastAsia" w:ascii="黑体" w:hAnsi="黑体" w:eastAsia="黑体"/>
          <w:szCs w:val="28"/>
        </w:rPr>
        <w:t>，民族</w:t>
      </w:r>
      <w:r>
        <w:rPr>
          <w:rFonts w:hint="eastAsia" w:ascii="黑体" w:hAnsi="黑体" w:eastAsia="黑体"/>
          <w:szCs w:val="28"/>
          <w:u w:val="single"/>
        </w:rPr>
        <w:t xml:space="preserve">   </w:t>
      </w:r>
      <w:r>
        <w:rPr>
          <w:rFonts w:hint="eastAsia" w:ascii="黑体" w:hAnsi="黑体" w:eastAsia="黑体"/>
          <w:szCs w:val="28"/>
        </w:rPr>
        <w:t>，</w:t>
      </w:r>
      <w:r>
        <w:rPr>
          <w:rFonts w:hint="eastAsia" w:ascii="黑体" w:hAnsi="黑体" w:eastAsia="黑体"/>
          <w:szCs w:val="28"/>
          <w:u w:val="single"/>
        </w:rPr>
        <w:t xml:space="preserve">  </w:t>
      </w:r>
      <w:r>
        <w:rPr>
          <w:rFonts w:hint="eastAsia" w:ascii="黑体" w:hAnsi="黑体" w:eastAsia="黑体"/>
          <w:szCs w:val="28"/>
        </w:rPr>
        <w:t>年</w:t>
      </w:r>
      <w:r>
        <w:rPr>
          <w:rFonts w:hint="eastAsia" w:ascii="黑体" w:hAnsi="黑体" w:eastAsia="黑体"/>
          <w:szCs w:val="28"/>
          <w:u w:val="single"/>
        </w:rPr>
        <w:t xml:space="preserve">  </w:t>
      </w:r>
      <w:r>
        <w:rPr>
          <w:rFonts w:hint="eastAsia" w:ascii="黑体" w:hAnsi="黑体" w:eastAsia="黑体"/>
          <w:szCs w:val="28"/>
        </w:rPr>
        <w:t>月</w:t>
      </w:r>
      <w:r>
        <w:rPr>
          <w:rFonts w:hint="eastAsia" w:ascii="黑体" w:hAnsi="黑体" w:eastAsia="黑体"/>
          <w:szCs w:val="28"/>
          <w:u w:val="single"/>
        </w:rPr>
        <w:t xml:space="preserve">  </w:t>
      </w:r>
      <w:r>
        <w:rPr>
          <w:rFonts w:hint="eastAsia" w:ascii="黑体" w:hAnsi="黑体" w:eastAsia="黑体"/>
          <w:szCs w:val="28"/>
        </w:rPr>
        <w:t>日出生，住址：</w:t>
      </w:r>
      <w:r>
        <w:rPr>
          <w:rFonts w:hint="eastAsia" w:ascii="黑体" w:hAnsi="黑体" w:eastAsia="黑体"/>
          <w:szCs w:val="28"/>
          <w:u w:val="single"/>
        </w:rPr>
        <w:t xml:space="preserve">       </w:t>
      </w:r>
    </w:p>
    <w:p>
      <w:pPr>
        <w:pageBreakBefore w:val="0"/>
        <w:kinsoku/>
        <w:wordWrap/>
        <w:overflowPunct/>
        <w:topLinePunct w:val="0"/>
        <w:autoSpaceDE/>
        <w:autoSpaceDN/>
        <w:bidi w:val="0"/>
        <w:spacing w:line="480" w:lineRule="exact"/>
        <w:outlineLvl w:val="9"/>
        <w:rPr>
          <w:rFonts w:hint="eastAsia" w:ascii="黑体" w:hAnsi="黑体" w:eastAsia="黑体"/>
          <w:szCs w:val="28"/>
          <w:u w:val="single"/>
        </w:rPr>
      </w:pPr>
      <w:r>
        <w:rPr>
          <w:rFonts w:hint="eastAsia" w:ascii="黑体" w:hAnsi="黑体" w:eastAsia="黑体"/>
          <w:szCs w:val="28"/>
          <w:u w:val="single"/>
        </w:rPr>
        <w:t xml:space="preserve">                     </w:t>
      </w:r>
      <w:r>
        <w:rPr>
          <w:rFonts w:hint="eastAsia" w:ascii="黑体" w:hAnsi="黑体" w:eastAsia="黑体"/>
          <w:szCs w:val="28"/>
        </w:rPr>
        <w:t>，公民身份证号：</w:t>
      </w:r>
      <w:r>
        <w:rPr>
          <w:rFonts w:hint="eastAsia" w:ascii="黑体" w:hAnsi="黑体" w:eastAsia="黑体"/>
          <w:szCs w:val="28"/>
          <w:u w:val="single"/>
        </w:rPr>
        <w:t xml:space="preserve">                    </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为明确彼此之间的权利义务关系，经协商，甲、乙双方就有关聘任教学工作事项达成如下协议：</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仿宋_GB2312"/>
          <w:color w:val="FF0000"/>
          <w:szCs w:val="28"/>
        </w:rPr>
      </w:pPr>
      <w:r>
        <w:rPr>
          <w:rFonts w:ascii="仿宋_GB2312" w:hAnsi="仿宋_GB2312"/>
          <w:szCs w:val="28"/>
        </w:rPr>
        <w:t>一、甲方聘任乙方</w:t>
      </w:r>
      <w:r>
        <w:rPr>
          <w:rFonts w:hint="eastAsia" w:ascii="仿宋_GB2312" w:hAnsi="仿宋_GB2312"/>
          <w:szCs w:val="28"/>
        </w:rPr>
        <w:t>的工作内容和课时</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Calibri"/>
          <w:szCs w:val="28"/>
        </w:rPr>
        <w:t>1.承担</w:t>
      </w:r>
      <w:r>
        <w:rPr>
          <w:rFonts w:ascii="仿宋_GB2312" w:hAnsi="Calibri"/>
          <w:szCs w:val="28"/>
          <w:u w:val="single"/>
        </w:rPr>
        <w:t xml:space="preserve">            </w:t>
      </w:r>
      <w:r>
        <w:rPr>
          <w:rFonts w:ascii="仿宋_GB2312" w:hAnsi="仿宋_GB2312"/>
          <w:szCs w:val="28"/>
        </w:rPr>
        <w:t>课程教学工作，每周</w:t>
      </w:r>
      <w:r>
        <w:rPr>
          <w:rFonts w:ascii="仿宋_GB2312" w:hAnsi="Calibri"/>
          <w:szCs w:val="28"/>
          <w:u w:val="single"/>
        </w:rPr>
        <w:t xml:space="preserve">       </w:t>
      </w:r>
      <w:r>
        <w:rPr>
          <w:rFonts w:ascii="仿宋_GB2312" w:hAnsi="仿宋_GB2312"/>
          <w:szCs w:val="28"/>
        </w:rPr>
        <w:t>课时；</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Calibri"/>
          <w:szCs w:val="28"/>
        </w:rPr>
        <w:t>2.承担</w:t>
      </w:r>
      <w:r>
        <w:rPr>
          <w:rFonts w:ascii="仿宋_GB2312" w:hAnsi="Calibri"/>
          <w:szCs w:val="28"/>
          <w:u w:val="single"/>
        </w:rPr>
        <w:t xml:space="preserve">            </w:t>
      </w:r>
      <w:r>
        <w:rPr>
          <w:rFonts w:ascii="仿宋_GB2312" w:hAnsi="仿宋_GB2312"/>
          <w:szCs w:val="28"/>
        </w:rPr>
        <w:t>课程教学工作，每周</w:t>
      </w:r>
      <w:r>
        <w:rPr>
          <w:rFonts w:ascii="仿宋_GB2312" w:hAnsi="Calibri"/>
          <w:szCs w:val="28"/>
          <w:u w:val="single"/>
        </w:rPr>
        <w:t xml:space="preserve">       </w:t>
      </w:r>
      <w:r>
        <w:rPr>
          <w:rFonts w:ascii="仿宋_GB2312" w:hAnsi="仿宋_GB2312"/>
          <w:szCs w:val="28"/>
        </w:rPr>
        <w:t>课时；</w:t>
      </w:r>
      <w:r>
        <w:rPr>
          <w:rFonts w:ascii="仿宋_GB2312" w:hAnsi="Calibri"/>
          <w:szCs w:val="28"/>
        </w:rPr>
        <w:t xml:space="preserve"> </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共计</w:t>
      </w:r>
      <w:r>
        <w:rPr>
          <w:rFonts w:ascii="仿宋_GB2312" w:hAnsi="Calibri"/>
          <w:szCs w:val="28"/>
          <w:u w:val="single"/>
        </w:rPr>
        <w:t xml:space="preserve">       </w:t>
      </w:r>
      <w:r>
        <w:rPr>
          <w:rFonts w:ascii="仿宋_GB2312" w:hAnsi="仿宋_GB2312"/>
          <w:szCs w:val="28"/>
        </w:rPr>
        <w:t>课时，聘期为</w:t>
      </w:r>
      <w:r>
        <w:rPr>
          <w:rFonts w:ascii="仿宋_GB2312" w:hAnsi="Calibri"/>
          <w:szCs w:val="28"/>
          <w:u w:val="single"/>
        </w:rPr>
        <w:t xml:space="preserve">       </w:t>
      </w:r>
      <w:r>
        <w:rPr>
          <w:rFonts w:ascii="仿宋_GB2312" w:hAnsi="仿宋_GB2312"/>
          <w:szCs w:val="28"/>
        </w:rPr>
        <w:t>学年</w:t>
      </w:r>
      <w:r>
        <w:rPr>
          <w:rFonts w:ascii="仿宋_GB2312" w:hAnsi="Calibri"/>
          <w:szCs w:val="28"/>
          <w:u w:val="single"/>
        </w:rPr>
        <w:t xml:space="preserve">   </w:t>
      </w:r>
      <w:r>
        <w:rPr>
          <w:rFonts w:ascii="仿宋_GB2312" w:hAnsi="仿宋_GB2312"/>
          <w:szCs w:val="28"/>
        </w:rPr>
        <w:t>学期，自</w:t>
      </w:r>
      <w:r>
        <w:rPr>
          <w:rFonts w:ascii="仿宋_GB2312" w:hAnsi="Calibri"/>
          <w:szCs w:val="28"/>
        </w:rPr>
        <w:t xml:space="preserve">     </w:t>
      </w:r>
      <w:r>
        <w:rPr>
          <w:rFonts w:ascii="仿宋_GB2312" w:hAnsi="仿宋_GB2312"/>
          <w:szCs w:val="28"/>
        </w:rPr>
        <w:t>年</w:t>
      </w:r>
      <w:r>
        <w:rPr>
          <w:rFonts w:ascii="仿宋_GB2312" w:hAnsi="Calibri"/>
          <w:szCs w:val="28"/>
        </w:rPr>
        <w:t xml:space="preserve">   </w:t>
      </w:r>
      <w:r>
        <w:rPr>
          <w:rFonts w:ascii="仿宋_GB2312" w:hAnsi="仿宋_GB2312"/>
          <w:szCs w:val="28"/>
        </w:rPr>
        <w:t>月至</w:t>
      </w:r>
      <w:r>
        <w:rPr>
          <w:rFonts w:ascii="仿宋_GB2312" w:hAnsi="Calibri"/>
          <w:szCs w:val="28"/>
        </w:rPr>
        <w:t xml:space="preserve">     </w:t>
      </w:r>
      <w:r>
        <w:rPr>
          <w:rFonts w:ascii="仿宋_GB2312" w:hAnsi="仿宋_GB2312"/>
          <w:szCs w:val="28"/>
        </w:rPr>
        <w:t>年</w:t>
      </w:r>
      <w:r>
        <w:rPr>
          <w:rFonts w:ascii="仿宋_GB2312" w:hAnsi="Calibri"/>
          <w:szCs w:val="28"/>
        </w:rPr>
        <w:t xml:space="preserve">   </w:t>
      </w:r>
      <w:r>
        <w:rPr>
          <w:rFonts w:ascii="仿宋_GB2312" w:hAnsi="仿宋_GB2312"/>
          <w:szCs w:val="28"/>
        </w:rPr>
        <w:t>月。</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二、甲方支付乙方的报酬标准为：</w:t>
      </w:r>
      <w:r>
        <w:rPr>
          <w:rFonts w:ascii="仿宋_GB2312" w:hAnsi="Calibri"/>
          <w:szCs w:val="28"/>
          <w:u w:val="single"/>
        </w:rPr>
        <w:t xml:space="preserve">       </w:t>
      </w:r>
      <w:r>
        <w:rPr>
          <w:rFonts w:ascii="仿宋_GB2312" w:hAnsi="仿宋_GB2312"/>
          <w:szCs w:val="28"/>
        </w:rPr>
        <w:t>元人民币</w:t>
      </w:r>
      <w:r>
        <w:rPr>
          <w:rFonts w:ascii="仿宋_GB2312" w:hAnsi="Calibri"/>
          <w:szCs w:val="28"/>
        </w:rPr>
        <w:t>/课时，每月按照乙方的实际授课时数支付课酬，并按照国家有关政策扣税。</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三、甲方的权利和义务</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ascii="仿宋_GB2312" w:hAnsi="Calibri"/>
          <w:szCs w:val="28"/>
        </w:rPr>
        <w:t>1</w:t>
      </w:r>
      <w:r>
        <w:rPr>
          <w:rFonts w:hint="eastAsia" w:ascii="仿宋_GB2312" w:hAnsi="Calibri"/>
          <w:szCs w:val="28"/>
        </w:rPr>
        <w:t>.</w:t>
      </w:r>
      <w:r>
        <w:rPr>
          <w:rFonts w:ascii="仿宋_GB2312" w:hAnsi="Calibri"/>
          <w:szCs w:val="28"/>
        </w:rPr>
        <w:t>甲方有义务为乙方的正常授课提供必要的场所和教学资料，并有义务协助乙方组织教学活动，维持教学秩序。</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仿宋_GB2312"/>
          <w:szCs w:val="28"/>
        </w:rPr>
      </w:pPr>
      <w:r>
        <w:rPr>
          <w:rFonts w:hint="eastAsia" w:ascii="仿宋_GB2312" w:hAnsi="Calibri"/>
          <w:szCs w:val="28"/>
        </w:rPr>
        <w:t>2.</w:t>
      </w:r>
      <w:r>
        <w:rPr>
          <w:rFonts w:ascii="仿宋_GB2312" w:hAnsi="仿宋_GB2312"/>
          <w:szCs w:val="28"/>
        </w:rPr>
        <w:t>甲方不负责管理乙方的人事档案，且无需为乙方缴纳社会保险</w:t>
      </w:r>
      <w:r>
        <w:rPr>
          <w:rFonts w:hint="eastAsia" w:ascii="仿宋_GB2312" w:hAnsi="仿宋_GB2312"/>
          <w:szCs w:val="28"/>
        </w:rPr>
        <w:t>。</w:t>
      </w:r>
    </w:p>
    <w:p>
      <w:pPr>
        <w:pageBreakBefore w:val="0"/>
        <w:shd w:val="clear" w:color="auto" w:fill="FFFFFF"/>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hint="eastAsia" w:ascii="仿宋_GB2312" w:hAnsi="仿宋_GB2312"/>
          <w:szCs w:val="28"/>
        </w:rPr>
        <w:t>3.乙方不享有甲方</w:t>
      </w:r>
      <w:r>
        <w:rPr>
          <w:rFonts w:ascii="仿宋_GB2312" w:hAnsi="仿宋_GB2312"/>
          <w:szCs w:val="28"/>
        </w:rPr>
        <w:t>发放</w:t>
      </w:r>
      <w:r>
        <w:rPr>
          <w:rFonts w:hint="eastAsia" w:ascii="仿宋_GB2312" w:hAnsi="仿宋_GB2312"/>
          <w:szCs w:val="28"/>
        </w:rPr>
        <w:t>的除课酬之外的</w:t>
      </w:r>
      <w:r>
        <w:rPr>
          <w:rFonts w:ascii="仿宋_GB2312" w:hAnsi="仿宋_GB2312"/>
          <w:szCs w:val="28"/>
        </w:rPr>
        <w:t>其他福利</w:t>
      </w:r>
      <w:r>
        <w:rPr>
          <w:rFonts w:hint="eastAsia" w:ascii="仿宋_GB2312" w:hAnsi="仿宋_GB2312"/>
          <w:szCs w:val="28"/>
        </w:rPr>
        <w:t>待遇</w:t>
      </w:r>
      <w:r>
        <w:rPr>
          <w:rFonts w:ascii="仿宋_GB2312" w:hAnsi="仿宋_GB2312"/>
          <w:szCs w:val="28"/>
        </w:rPr>
        <w:t>。</w:t>
      </w:r>
    </w:p>
    <w:p>
      <w:pPr>
        <w:pageBreakBefore w:val="0"/>
        <w:widowControl/>
        <w:kinsoku/>
        <w:wordWrap/>
        <w:overflowPunct/>
        <w:topLinePunct w:val="0"/>
        <w:autoSpaceDE/>
        <w:autoSpaceDN/>
        <w:bidi w:val="0"/>
        <w:snapToGrid w:val="0"/>
        <w:spacing w:line="480" w:lineRule="exact"/>
        <w:ind w:firstLine="420" w:firstLineChars="200"/>
        <w:outlineLvl w:val="9"/>
        <w:rPr>
          <w:rFonts w:ascii="宋体" w:hAnsi="宋体"/>
          <w:kern w:val="0"/>
          <w:szCs w:val="28"/>
        </w:rPr>
      </w:pPr>
      <w:r>
        <w:rPr>
          <w:rFonts w:hint="eastAsia" w:ascii="仿宋_GB2312" w:hAnsi="Calibri"/>
          <w:szCs w:val="28"/>
        </w:rPr>
        <w:t>4.</w:t>
      </w:r>
      <w:r>
        <w:rPr>
          <w:rFonts w:hint="eastAsia" w:ascii="宋体" w:hAnsi="宋体"/>
          <w:kern w:val="0"/>
          <w:szCs w:val="28"/>
        </w:rPr>
        <w:t>在聘用期内，甲方为乙方在保险公司购买一份人身意外保险，在工作时间内如乙方遭受人身意外事故，由保险公司在保险范围内承担赔偿责任，超出保险赔偿范围的损失，由责任者承担。</w:t>
      </w:r>
    </w:p>
    <w:p>
      <w:pPr>
        <w:pageBreakBefore w:val="0"/>
        <w:kinsoku/>
        <w:wordWrap/>
        <w:overflowPunct/>
        <w:topLinePunct w:val="0"/>
        <w:autoSpaceDE/>
        <w:autoSpaceDN/>
        <w:bidi w:val="0"/>
        <w:adjustRightInd w:val="0"/>
        <w:spacing w:line="480" w:lineRule="exact"/>
        <w:ind w:firstLine="420" w:firstLineChars="200"/>
        <w:outlineLvl w:val="9"/>
        <w:rPr>
          <w:rFonts w:hint="eastAsia" w:ascii="宋体" w:hAnsi="宋体"/>
          <w:kern w:val="0"/>
          <w:szCs w:val="28"/>
        </w:rPr>
      </w:pPr>
      <w:r>
        <w:rPr>
          <w:rFonts w:hint="eastAsia" w:ascii="仿宋_GB2312" w:hAnsi="Calibri"/>
          <w:szCs w:val="28"/>
        </w:rPr>
        <w:t>5.</w:t>
      </w:r>
      <w:r>
        <w:rPr>
          <w:rFonts w:hint="eastAsia" w:ascii="宋体" w:hAnsi="宋体"/>
          <w:kern w:val="0"/>
          <w:szCs w:val="28"/>
        </w:rPr>
        <w:t>在聘用期内，在工作时间之外如乙方遭受人身意外事故（包含但不限于交通事故等），甲方有义务协助乙方向保险公司索赔，超出保险赔偿范围的损失，由乙方自行承担，与甲方无关。</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hint="eastAsia" w:ascii="仿宋_GB2312" w:hAnsi="Calibri"/>
          <w:szCs w:val="28"/>
        </w:rPr>
        <w:t>6.</w:t>
      </w:r>
      <w:r>
        <w:rPr>
          <w:rFonts w:ascii="仿宋_GB2312" w:hAnsi="Calibri"/>
          <w:szCs w:val="28"/>
        </w:rPr>
        <w:t>聘用期间，甲方有权对乙方的教学进行监督，及时向乙方反馈甲方和学生的意见，乙方应虚心接受，及时加以改进。</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四、乙方的权利和义务</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ascii="仿宋_GB2312" w:hAnsi="Calibri"/>
          <w:szCs w:val="28"/>
        </w:rPr>
        <w:t>1．乙方应按学校要求制定并完成教学计划。</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hint="eastAsia" w:ascii="仿宋_GB2312" w:hAnsi="Calibri"/>
          <w:szCs w:val="28"/>
        </w:rPr>
        <w:t>2.按照课程教学标准要求编写教案，认真备课，完成教学相关资料存档工作。</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hint="eastAsia" w:ascii="仿宋_GB2312" w:hAnsi="Calibri"/>
          <w:szCs w:val="28"/>
        </w:rPr>
        <w:t>3.按照教学进程和课程表，认真授课，保证教学质量。</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hint="eastAsia" w:ascii="仿宋_GB2312" w:hAnsi="Calibri"/>
          <w:szCs w:val="28"/>
        </w:rPr>
        <w:t>4.进行辅导、答疑、批改作业、课程考核，完成命题、评卷、填报成绩，进行成绩分析等工作。</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hint="eastAsia" w:ascii="仿宋_GB2312" w:hAnsi="Calibri"/>
          <w:szCs w:val="28"/>
        </w:rPr>
        <w:t>5</w:t>
      </w:r>
      <w:r>
        <w:rPr>
          <w:rFonts w:ascii="仿宋_GB2312" w:hAnsi="Calibri"/>
          <w:szCs w:val="28"/>
        </w:rPr>
        <w:t>．乙方有权按约定获得相应的课酬。</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hint="eastAsia" w:ascii="仿宋_GB2312" w:hAnsi="Calibri"/>
          <w:szCs w:val="28"/>
        </w:rPr>
        <w:t>6</w:t>
      </w:r>
      <w:r>
        <w:rPr>
          <w:rFonts w:ascii="仿宋_GB2312" w:hAnsi="Calibri"/>
          <w:szCs w:val="28"/>
        </w:rPr>
        <w:t>．乙方应自觉接受甲方的教学监督、检查、教学评价，对未完成工作任务或其他原因，给甲方造成重大损失的，甲方可拒绝支付课酬，直至解聘，并追究乙方的责任。</w:t>
      </w:r>
    </w:p>
    <w:p>
      <w:pPr>
        <w:pageBreakBefore w:val="0"/>
        <w:kinsoku/>
        <w:wordWrap/>
        <w:overflowPunct/>
        <w:topLinePunct w:val="0"/>
        <w:autoSpaceDE/>
        <w:autoSpaceDN/>
        <w:bidi w:val="0"/>
        <w:adjustRightInd w:val="0"/>
        <w:spacing w:line="480" w:lineRule="exact"/>
        <w:ind w:firstLine="420" w:firstLineChars="200"/>
        <w:outlineLvl w:val="9"/>
        <w:rPr>
          <w:rFonts w:hint="eastAsia" w:ascii="仿宋_GB2312" w:hAnsi="Calibri"/>
          <w:szCs w:val="28"/>
        </w:rPr>
      </w:pPr>
      <w:r>
        <w:rPr>
          <w:rFonts w:hint="eastAsia" w:ascii="仿宋_GB2312" w:hAnsi="Calibri"/>
          <w:szCs w:val="28"/>
        </w:rPr>
        <w:t>7．</w:t>
      </w:r>
      <w:r>
        <w:rPr>
          <w:rFonts w:hint="eastAsia" w:ascii="宋体" w:hAnsi="宋体"/>
          <w:kern w:val="0"/>
          <w:szCs w:val="28"/>
        </w:rPr>
        <w:t>在聘用期内，乙方因病而产生的医疗费等各项损失由乙方自行承担，与甲方无关。</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五、乙方如果不认真履行教师职责，违反学校的规章制度，或教学效果较差，不为多数学生认可，甲方有权提前解除协议。</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六、如遇合理的特殊情况，任何一方均可提前终止协议，但至少应提前</w:t>
      </w:r>
      <w:r>
        <w:rPr>
          <w:rFonts w:ascii="仿宋_GB2312" w:hAnsi="Calibri"/>
          <w:szCs w:val="28"/>
        </w:rPr>
        <w:t>2周通知对方。</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仿宋_GB2312"/>
          <w:szCs w:val="28"/>
        </w:rPr>
        <w:t>七、本协议一式二份，自双方签字盖章后生效，由甲乙双方各自持有。未经对方认可，协议不得变更或修改。</w:t>
      </w:r>
    </w:p>
    <w:p>
      <w:pPr>
        <w:pageBreakBefore w:val="0"/>
        <w:kinsoku/>
        <w:wordWrap/>
        <w:overflowPunct/>
        <w:topLinePunct w:val="0"/>
        <w:autoSpaceDE/>
        <w:autoSpaceDN/>
        <w:bidi w:val="0"/>
        <w:adjustRightInd w:val="0"/>
        <w:spacing w:line="480" w:lineRule="exact"/>
        <w:ind w:firstLine="420" w:firstLineChars="200"/>
        <w:outlineLvl w:val="9"/>
        <w:rPr>
          <w:rFonts w:ascii="仿宋_GB2312" w:hAnsi="Calibri"/>
          <w:szCs w:val="28"/>
        </w:rPr>
      </w:pPr>
      <w:r>
        <w:rPr>
          <w:rFonts w:ascii="仿宋_GB2312" w:hAnsi="Calibri"/>
          <w:szCs w:val="28"/>
        </w:rPr>
        <w:t xml:space="preserve"> </w:t>
      </w:r>
      <w:r>
        <w:rPr>
          <w:rFonts w:hint="eastAsia" w:ascii="仿宋_GB2312" w:hAnsi="Calibri"/>
          <w:szCs w:val="28"/>
        </w:rPr>
        <w:t>甲方：</w:t>
      </w:r>
      <w:r>
        <w:rPr>
          <w:rFonts w:ascii="仿宋_GB2312" w:hAnsi="仿宋_GB2312"/>
          <w:szCs w:val="28"/>
        </w:rPr>
        <w:t>柳州职业技术学院</w:t>
      </w:r>
      <w:r>
        <w:rPr>
          <w:rFonts w:hint="eastAsia" w:ascii="仿宋_GB2312" w:hAnsi="仿宋_GB2312"/>
          <w:szCs w:val="28"/>
        </w:rPr>
        <w:t xml:space="preserve">      </w:t>
      </w:r>
      <w:r>
        <w:rPr>
          <w:rFonts w:ascii="仿宋_GB2312" w:hAnsi="Calibri"/>
          <w:szCs w:val="28"/>
        </w:rPr>
        <w:t xml:space="preserve">  </w:t>
      </w:r>
      <w:r>
        <w:rPr>
          <w:rFonts w:ascii="仿宋_GB2312" w:hAnsi="仿宋_GB2312"/>
          <w:szCs w:val="28"/>
        </w:rPr>
        <w:t>乙方（签字）</w:t>
      </w:r>
    </w:p>
    <w:p>
      <w:pPr>
        <w:pageBreakBefore w:val="0"/>
        <w:kinsoku/>
        <w:wordWrap/>
        <w:overflowPunct/>
        <w:topLinePunct w:val="0"/>
        <w:autoSpaceDE/>
        <w:autoSpaceDN/>
        <w:bidi w:val="0"/>
        <w:adjustRightInd w:val="0"/>
        <w:spacing w:line="480" w:lineRule="exact"/>
        <w:outlineLvl w:val="9"/>
        <w:rPr>
          <w:rFonts w:hint="eastAsia" w:ascii="仿宋_GB2312" w:hAnsi="仿宋_GB2312"/>
          <w:szCs w:val="28"/>
        </w:rPr>
      </w:pPr>
      <w:r>
        <w:rPr>
          <w:rFonts w:hint="eastAsia" w:ascii="仿宋_GB2312" w:hAnsi="仿宋_GB2312"/>
          <w:szCs w:val="28"/>
        </w:rPr>
        <w:t xml:space="preserve">     授权代理人：</w:t>
      </w:r>
    </w:p>
    <w:p>
      <w:pPr>
        <w:pageBreakBefore w:val="0"/>
        <w:widowControl/>
        <w:kinsoku/>
        <w:wordWrap/>
        <w:overflowPunct/>
        <w:topLinePunct w:val="0"/>
        <w:autoSpaceDE/>
        <w:autoSpaceDN/>
        <w:bidi w:val="0"/>
        <w:adjustRightInd w:val="0"/>
        <w:snapToGrid w:val="0"/>
        <w:spacing w:line="480" w:lineRule="exact"/>
        <w:ind w:firstLine="945" w:firstLineChars="450"/>
        <w:jc w:val="left"/>
        <w:outlineLvl w:val="9"/>
        <w:rPr>
          <w:rFonts w:hint="eastAsia" w:ascii="仿宋_GB2312" w:hAnsi="Calibri"/>
          <w:szCs w:val="28"/>
        </w:rPr>
      </w:pPr>
    </w:p>
    <w:p>
      <w:pPr>
        <w:pageBreakBefore w:val="0"/>
        <w:widowControl/>
        <w:kinsoku/>
        <w:wordWrap/>
        <w:overflowPunct/>
        <w:topLinePunct w:val="0"/>
        <w:autoSpaceDE/>
        <w:autoSpaceDN/>
        <w:bidi w:val="0"/>
        <w:adjustRightInd w:val="0"/>
        <w:snapToGrid w:val="0"/>
        <w:spacing w:line="480" w:lineRule="exact"/>
        <w:ind w:firstLine="945" w:firstLineChars="450"/>
        <w:jc w:val="left"/>
        <w:outlineLvl w:val="9"/>
        <w:rPr>
          <w:rFonts w:ascii="宋体" w:hAnsi="宋体"/>
          <w:szCs w:val="28"/>
        </w:rPr>
      </w:pPr>
      <w:r>
        <w:rPr>
          <w:rFonts w:ascii="仿宋_GB2312" w:hAnsi="仿宋_GB2312"/>
          <w:kern w:val="0"/>
          <w:szCs w:val="28"/>
        </w:rPr>
        <w:t>年</w:t>
      </w:r>
      <w:r>
        <w:rPr>
          <w:rFonts w:ascii="仿宋_GB2312" w:hAnsi="宋体"/>
          <w:kern w:val="0"/>
          <w:szCs w:val="28"/>
        </w:rPr>
        <w:t xml:space="preserve">   </w:t>
      </w:r>
      <w:r>
        <w:rPr>
          <w:rFonts w:ascii="仿宋_GB2312" w:hAnsi="仿宋_GB2312"/>
          <w:kern w:val="0"/>
          <w:szCs w:val="28"/>
        </w:rPr>
        <w:t>月</w:t>
      </w:r>
      <w:r>
        <w:rPr>
          <w:rFonts w:ascii="仿宋_GB2312" w:hAnsi="宋体"/>
          <w:kern w:val="0"/>
          <w:szCs w:val="28"/>
        </w:rPr>
        <w:t xml:space="preserve">   </w:t>
      </w:r>
      <w:r>
        <w:rPr>
          <w:rFonts w:ascii="仿宋_GB2312" w:hAnsi="仿宋_GB2312"/>
          <w:kern w:val="0"/>
          <w:szCs w:val="28"/>
        </w:rPr>
        <w:t>日</w:t>
      </w:r>
      <w:r>
        <w:rPr>
          <w:rFonts w:ascii="仿宋_GB2312" w:hAnsi="宋体"/>
          <w:kern w:val="0"/>
          <w:szCs w:val="28"/>
        </w:rPr>
        <w:t xml:space="preserve">                       </w:t>
      </w:r>
      <w:r>
        <w:rPr>
          <w:rFonts w:ascii="仿宋_GB2312" w:hAnsi="仿宋_GB2312"/>
          <w:kern w:val="0"/>
          <w:szCs w:val="28"/>
        </w:rPr>
        <w:t>年</w:t>
      </w:r>
      <w:r>
        <w:rPr>
          <w:rFonts w:ascii="仿宋_GB2312" w:hAnsi="宋体"/>
          <w:kern w:val="0"/>
          <w:szCs w:val="28"/>
        </w:rPr>
        <w:t xml:space="preserve">   </w:t>
      </w:r>
      <w:r>
        <w:rPr>
          <w:rFonts w:ascii="仿宋_GB2312" w:hAnsi="仿宋_GB2312"/>
          <w:kern w:val="0"/>
          <w:szCs w:val="28"/>
        </w:rPr>
        <w:t>月</w:t>
      </w:r>
      <w:r>
        <w:rPr>
          <w:rFonts w:ascii="仿宋_GB2312" w:hAnsi="宋体"/>
          <w:kern w:val="0"/>
          <w:szCs w:val="28"/>
        </w:rPr>
        <w:t xml:space="preserve">   </w:t>
      </w:r>
      <w:r>
        <w:rPr>
          <w:rFonts w:ascii="仿宋_GB2312" w:hAnsi="仿宋_GB2312"/>
          <w:kern w:val="0"/>
          <w:szCs w:val="28"/>
        </w:rPr>
        <w:t>日</w:t>
      </w:r>
    </w:p>
    <w:p>
      <w:pPr>
        <w:pageBreakBefore w:val="0"/>
        <w:kinsoku/>
        <w:wordWrap/>
        <w:overflowPunct/>
        <w:topLinePunct w:val="0"/>
        <w:autoSpaceDE/>
        <w:autoSpaceDN/>
        <w:bidi w:val="0"/>
        <w:spacing w:line="596" w:lineRule="exact"/>
        <w:jc w:val="left"/>
        <w:outlineLvl w:val="9"/>
        <w:rPr>
          <w:rFonts w:hint="eastAsia" w:ascii="黑体" w:hAnsi="Calibri" w:eastAsia="黑体"/>
          <w:sz w:val="30"/>
          <w:szCs w:val="30"/>
        </w:rPr>
      </w:pPr>
      <w:r>
        <w:rPr>
          <w:rFonts w:hint="eastAsia" w:ascii="黑体" w:hAnsi="Calibri" w:eastAsia="黑体"/>
          <w:sz w:val="30"/>
          <w:szCs w:val="30"/>
        </w:rPr>
        <w:t>附件2：</w:t>
      </w:r>
    </w:p>
    <w:p>
      <w:pPr>
        <w:pageBreakBefore w:val="0"/>
        <w:kinsoku/>
        <w:wordWrap/>
        <w:overflowPunct/>
        <w:topLinePunct w:val="0"/>
        <w:autoSpaceDE/>
        <w:autoSpaceDN/>
        <w:bidi w:val="0"/>
        <w:jc w:val="center"/>
        <w:outlineLvl w:val="9"/>
        <w:rPr>
          <w:rFonts w:hint="eastAsia" w:ascii="黑体" w:hAnsi="黑体" w:eastAsia="黑体"/>
          <w:color w:val="000000"/>
          <w:kern w:val="0"/>
          <w:sz w:val="32"/>
          <w:szCs w:val="32"/>
        </w:rPr>
      </w:pPr>
      <w:r>
        <w:rPr>
          <w:rFonts w:hint="eastAsia" w:ascii="黑体" w:hAnsi="黑体" w:eastAsia="黑体"/>
          <w:color w:val="000000"/>
          <w:kern w:val="0"/>
          <w:sz w:val="32"/>
          <w:szCs w:val="32"/>
        </w:rPr>
        <w:t>柳州职业技术学院校外兼职教师课酬标准</w:t>
      </w:r>
    </w:p>
    <w:p>
      <w:pPr>
        <w:pageBreakBefore w:val="0"/>
        <w:kinsoku/>
        <w:wordWrap/>
        <w:overflowPunct/>
        <w:topLinePunct w:val="0"/>
        <w:autoSpaceDE/>
        <w:autoSpaceDN/>
        <w:bidi w:val="0"/>
        <w:jc w:val="center"/>
        <w:outlineLvl w:val="9"/>
        <w:rPr>
          <w:rFonts w:hint="eastAsia" w:ascii="黑体" w:hAnsi="黑体" w:eastAsia="黑体" w:cs="黑体"/>
          <w:sz w:val="32"/>
          <w:szCs w:val="40"/>
        </w:rPr>
      </w:pPr>
    </w:p>
    <w:p>
      <w:pPr>
        <w:pageBreakBefore w:val="0"/>
        <w:kinsoku/>
        <w:wordWrap/>
        <w:overflowPunct/>
        <w:topLinePunct w:val="0"/>
        <w:autoSpaceDE/>
        <w:autoSpaceDN/>
        <w:bidi w:val="0"/>
        <w:spacing w:line="400" w:lineRule="exact"/>
        <w:ind w:firstLine="527"/>
        <w:outlineLvl w:val="9"/>
        <w:rPr>
          <w:rFonts w:hint="eastAsia" w:ascii="宋体" w:hAnsi="宋体" w:cs="宋体"/>
          <w:szCs w:val="36"/>
        </w:rPr>
      </w:pPr>
      <w:r>
        <w:rPr>
          <w:rFonts w:hint="eastAsia" w:ascii="宋体" w:hAnsi="宋体" w:cs="宋体"/>
          <w:szCs w:val="36"/>
        </w:rPr>
        <w:t>根据我校校外兼职教师聘用管理情况，提出我校校外兼职教师课酬发放标准，具体标准如下：</w:t>
      </w:r>
    </w:p>
    <w:p>
      <w:pPr>
        <w:pageBreakBefore w:val="0"/>
        <w:kinsoku/>
        <w:wordWrap/>
        <w:overflowPunct/>
        <w:topLinePunct w:val="0"/>
        <w:autoSpaceDE/>
        <w:autoSpaceDN/>
        <w:bidi w:val="0"/>
        <w:spacing w:line="400" w:lineRule="exact"/>
        <w:ind w:firstLine="527"/>
        <w:outlineLvl w:val="9"/>
        <w:rPr>
          <w:rFonts w:hint="eastAsia" w:ascii="宋体" w:hAnsi="宋体" w:cs="宋体"/>
          <w:szCs w:val="36"/>
        </w:rPr>
      </w:pPr>
    </w:p>
    <w:tbl>
      <w:tblPr>
        <w:tblStyle w:val="17"/>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848"/>
        <w:gridCol w:w="5488"/>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6" w:hRule="atLeast"/>
          <w:tblHeader/>
          <w:jc w:val="center"/>
        </w:trPr>
        <w:tc>
          <w:tcPr>
            <w:tcW w:w="2015" w:type="dxa"/>
            <w:gridSpan w:val="2"/>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b/>
                <w:bCs/>
                <w:sz w:val="24"/>
                <w:szCs w:val="32"/>
              </w:rPr>
            </w:pPr>
            <w:r>
              <w:rPr>
                <w:rFonts w:hint="eastAsia" w:ascii="宋体" w:hAnsi="宋体" w:cs="宋体"/>
                <w:b/>
                <w:bCs/>
                <w:sz w:val="24"/>
                <w:szCs w:val="32"/>
              </w:rPr>
              <w:t>校外兼职教师课时标准</w:t>
            </w:r>
          </w:p>
          <w:p>
            <w:pPr>
              <w:pageBreakBefore w:val="0"/>
              <w:kinsoku/>
              <w:wordWrap/>
              <w:overflowPunct/>
              <w:topLinePunct w:val="0"/>
              <w:autoSpaceDE/>
              <w:autoSpaceDN/>
              <w:bidi w:val="0"/>
              <w:spacing w:line="400" w:lineRule="exact"/>
              <w:jc w:val="center"/>
              <w:outlineLvl w:val="9"/>
              <w:rPr>
                <w:rFonts w:hint="eastAsia" w:ascii="宋体" w:hAnsi="宋体" w:cs="宋体"/>
                <w:b/>
                <w:bCs/>
                <w:sz w:val="24"/>
                <w:szCs w:val="32"/>
              </w:rPr>
            </w:pPr>
            <w:r>
              <w:rPr>
                <w:rFonts w:hint="eastAsia" w:ascii="宋体" w:hAnsi="宋体" w:cs="宋体"/>
                <w:b/>
                <w:bCs/>
                <w:sz w:val="24"/>
                <w:szCs w:val="32"/>
              </w:rPr>
              <w:t>（元/课时）</w:t>
            </w:r>
          </w:p>
        </w:tc>
        <w:tc>
          <w:tcPr>
            <w:tcW w:w="5488" w:type="dxa"/>
            <w:noWrap w:val="0"/>
            <w:vAlign w:val="center"/>
          </w:tcPr>
          <w:p>
            <w:pPr>
              <w:pageBreakBefore w:val="0"/>
              <w:kinsoku/>
              <w:wordWrap/>
              <w:overflowPunct/>
              <w:topLinePunct w:val="0"/>
              <w:autoSpaceDE/>
              <w:autoSpaceDN/>
              <w:bidi w:val="0"/>
              <w:spacing w:line="400" w:lineRule="exact"/>
              <w:ind w:firstLine="482" w:firstLineChars="200"/>
              <w:jc w:val="center"/>
              <w:outlineLvl w:val="9"/>
              <w:rPr>
                <w:rFonts w:hint="eastAsia" w:ascii="宋体" w:hAnsi="宋体" w:cs="宋体"/>
                <w:b/>
                <w:bCs/>
                <w:sz w:val="24"/>
                <w:szCs w:val="32"/>
              </w:rPr>
            </w:pPr>
            <w:r>
              <w:rPr>
                <w:rFonts w:hint="eastAsia" w:ascii="宋体" w:hAnsi="宋体" w:cs="宋体"/>
                <w:b/>
                <w:bCs/>
                <w:sz w:val="24"/>
                <w:szCs w:val="32"/>
              </w:rPr>
              <w:t>课时标准确定原则</w:t>
            </w:r>
          </w:p>
        </w:tc>
        <w:tc>
          <w:tcPr>
            <w:tcW w:w="1555"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b/>
                <w:bCs/>
                <w:sz w:val="24"/>
                <w:szCs w:val="32"/>
              </w:rPr>
            </w:pPr>
            <w:r>
              <w:rPr>
                <w:rFonts w:hint="eastAsia" w:ascii="宋体" w:hAnsi="宋体" w:cs="宋体"/>
                <w:b/>
                <w:bCs/>
                <w:sz w:val="24"/>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0" w:hRule="atLeast"/>
          <w:jc w:val="center"/>
        </w:trPr>
        <w:tc>
          <w:tcPr>
            <w:tcW w:w="1167"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特级</w:t>
            </w:r>
          </w:p>
        </w:tc>
        <w:tc>
          <w:tcPr>
            <w:tcW w:w="848"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120</w:t>
            </w:r>
          </w:p>
        </w:tc>
        <w:tc>
          <w:tcPr>
            <w:tcW w:w="5488" w:type="dxa"/>
            <w:noWrap w:val="0"/>
            <w:vAlign w:val="center"/>
          </w:tcPr>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sz w:val="22"/>
                <w:szCs w:val="28"/>
              </w:rPr>
              <w:t>具备满6年行业从业经历，同时具备以下条件之一：</w:t>
            </w:r>
          </w:p>
          <w:p>
            <w:pPr>
              <w:pageBreakBefore w:val="0"/>
              <w:kinsoku/>
              <w:wordWrap/>
              <w:overflowPunct/>
              <w:topLinePunct w:val="0"/>
              <w:autoSpaceDE/>
              <w:autoSpaceDN/>
              <w:bidi w:val="0"/>
              <w:spacing w:line="400" w:lineRule="exact"/>
              <w:ind w:firstLine="440" w:firstLineChars="200"/>
              <w:outlineLvl w:val="9"/>
              <w:rPr>
                <w:rFonts w:hint="eastAsia" w:ascii="宋体" w:hAnsi="宋体" w:cs="宋体"/>
                <w:sz w:val="22"/>
                <w:szCs w:val="28"/>
              </w:rPr>
            </w:pPr>
            <w:r>
              <w:rPr>
                <w:rFonts w:hint="eastAsia" w:ascii="宋体" w:hAnsi="宋体" w:cs="宋体"/>
                <w:sz w:val="22"/>
                <w:szCs w:val="28"/>
              </w:rPr>
              <w:t>1.副高级及以上职称（不含初中、小学系列）；2.获高级技师职业资格证书；3.行业相关技术研发、科研成果获省级以上奖励；4.中小企业、社会团体主要负责人或大型企业中层及以上管理人员。</w:t>
            </w:r>
          </w:p>
        </w:tc>
        <w:tc>
          <w:tcPr>
            <w:tcW w:w="1555" w:type="dxa"/>
            <w:vMerge w:val="restart"/>
            <w:noWrap w:val="0"/>
            <w:vAlign w:val="center"/>
          </w:tcPr>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sz w:val="22"/>
                <w:szCs w:val="28"/>
              </w:rPr>
              <w:t>1.校外兼职（兼课）教师不参与二级学院二次分配；</w:t>
            </w:r>
          </w:p>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sz w:val="22"/>
                <w:szCs w:val="28"/>
              </w:rPr>
              <w:t>2.如遇特殊情况，无法适用方案中标准，由申报部门提交情况说明以及相关申请，经人事处审批后认定；</w:t>
            </w:r>
          </w:p>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b/>
                <w:bCs/>
                <w:sz w:val="22"/>
                <w:szCs w:val="28"/>
              </w:rPr>
              <w:t>3.本课酬标准含税、含交通补贴。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jc w:val="center"/>
        </w:trPr>
        <w:tc>
          <w:tcPr>
            <w:tcW w:w="1167"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壹级</w:t>
            </w:r>
          </w:p>
        </w:tc>
        <w:tc>
          <w:tcPr>
            <w:tcW w:w="848"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110</w:t>
            </w:r>
          </w:p>
        </w:tc>
        <w:tc>
          <w:tcPr>
            <w:tcW w:w="5488" w:type="dxa"/>
            <w:noWrap w:val="0"/>
            <w:vAlign w:val="center"/>
          </w:tcPr>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sz w:val="22"/>
                <w:szCs w:val="28"/>
              </w:rPr>
              <w:t>具备满3年行业从业经历，同时具备以下条件之一：</w:t>
            </w:r>
          </w:p>
          <w:p>
            <w:pPr>
              <w:pageBreakBefore w:val="0"/>
              <w:kinsoku/>
              <w:wordWrap/>
              <w:overflowPunct/>
              <w:topLinePunct w:val="0"/>
              <w:autoSpaceDE/>
              <w:autoSpaceDN/>
              <w:bidi w:val="0"/>
              <w:spacing w:line="400" w:lineRule="exact"/>
              <w:ind w:firstLine="440" w:firstLineChars="200"/>
              <w:outlineLvl w:val="9"/>
              <w:rPr>
                <w:rFonts w:hint="eastAsia" w:ascii="宋体" w:hAnsi="宋体" w:cs="宋体"/>
                <w:sz w:val="22"/>
                <w:szCs w:val="28"/>
              </w:rPr>
            </w:pPr>
            <w:r>
              <w:rPr>
                <w:rFonts w:hint="eastAsia" w:ascii="宋体" w:hAnsi="宋体" w:cs="宋体"/>
                <w:sz w:val="22"/>
                <w:szCs w:val="28"/>
              </w:rPr>
              <w:t xml:space="preserve">1.本科及以上毕业、中级职称（不含初中、小学系列）；2.获技师职业资格证书；3.行业相关技术研发、科研成果获市级以上奖励；4.中小企业中层及以上管理人员或大型企业基层及以上管理人员。 </w:t>
            </w:r>
          </w:p>
        </w:tc>
        <w:tc>
          <w:tcPr>
            <w:tcW w:w="1555" w:type="dxa"/>
            <w:vMerge w:val="continue"/>
            <w:noWrap w:val="0"/>
            <w:vAlign w:val="center"/>
          </w:tcPr>
          <w:p>
            <w:pPr>
              <w:pageBreakBefore w:val="0"/>
              <w:kinsoku/>
              <w:wordWrap/>
              <w:overflowPunct/>
              <w:topLinePunct w:val="0"/>
              <w:autoSpaceDE/>
              <w:autoSpaceDN/>
              <w:bidi w:val="0"/>
              <w:spacing w:line="400" w:lineRule="exact"/>
              <w:ind w:firstLine="480" w:firstLineChars="200"/>
              <w:outlineLvl w:val="9"/>
              <w:rPr>
                <w:rFonts w:hint="eastAsia" w:ascii="宋体" w:hAnsi="宋体" w:cs="宋体"/>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6" w:hRule="atLeast"/>
          <w:jc w:val="center"/>
        </w:trPr>
        <w:tc>
          <w:tcPr>
            <w:tcW w:w="1167"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贰级</w:t>
            </w:r>
          </w:p>
        </w:tc>
        <w:tc>
          <w:tcPr>
            <w:tcW w:w="848" w:type="dxa"/>
            <w:noWrap w:val="0"/>
            <w:vAlign w:val="center"/>
          </w:tcPr>
          <w:p>
            <w:pPr>
              <w:pageBreakBefore w:val="0"/>
              <w:kinsoku/>
              <w:wordWrap/>
              <w:overflowPunct/>
              <w:topLinePunct w:val="0"/>
              <w:autoSpaceDE/>
              <w:autoSpaceDN/>
              <w:bidi w:val="0"/>
              <w:spacing w:line="400" w:lineRule="exact"/>
              <w:jc w:val="center"/>
              <w:outlineLvl w:val="9"/>
              <w:rPr>
                <w:rFonts w:hint="eastAsia" w:ascii="宋体" w:hAnsi="宋体" w:cs="宋体"/>
                <w:sz w:val="22"/>
                <w:szCs w:val="28"/>
              </w:rPr>
            </w:pPr>
            <w:r>
              <w:rPr>
                <w:rFonts w:hint="eastAsia" w:ascii="宋体" w:hAnsi="宋体" w:cs="宋体"/>
                <w:sz w:val="22"/>
                <w:szCs w:val="28"/>
              </w:rPr>
              <w:t>90</w:t>
            </w:r>
          </w:p>
        </w:tc>
        <w:tc>
          <w:tcPr>
            <w:tcW w:w="5488" w:type="dxa"/>
            <w:noWrap w:val="0"/>
            <w:vAlign w:val="center"/>
          </w:tcPr>
          <w:p>
            <w:pPr>
              <w:pageBreakBefore w:val="0"/>
              <w:kinsoku/>
              <w:wordWrap/>
              <w:overflowPunct/>
              <w:topLinePunct w:val="0"/>
              <w:autoSpaceDE/>
              <w:autoSpaceDN/>
              <w:bidi w:val="0"/>
              <w:spacing w:line="400" w:lineRule="exact"/>
              <w:outlineLvl w:val="9"/>
              <w:rPr>
                <w:rFonts w:hint="eastAsia" w:ascii="宋体" w:hAnsi="宋体" w:cs="宋体"/>
                <w:sz w:val="22"/>
                <w:szCs w:val="28"/>
              </w:rPr>
            </w:pPr>
            <w:r>
              <w:rPr>
                <w:rFonts w:hint="eastAsia" w:ascii="宋体" w:hAnsi="宋体" w:cs="宋体"/>
                <w:sz w:val="22"/>
                <w:szCs w:val="28"/>
              </w:rPr>
              <w:t>具备满1年行业从业经历，同时具备以下条件之一：</w:t>
            </w:r>
          </w:p>
          <w:p>
            <w:pPr>
              <w:pageBreakBefore w:val="0"/>
              <w:kinsoku/>
              <w:wordWrap/>
              <w:overflowPunct/>
              <w:topLinePunct w:val="0"/>
              <w:autoSpaceDE/>
              <w:autoSpaceDN/>
              <w:bidi w:val="0"/>
              <w:spacing w:line="400" w:lineRule="exact"/>
              <w:ind w:firstLine="440" w:firstLineChars="200"/>
              <w:outlineLvl w:val="9"/>
              <w:rPr>
                <w:rFonts w:hint="eastAsia" w:ascii="宋体" w:hAnsi="宋体" w:cs="宋体"/>
                <w:sz w:val="22"/>
                <w:szCs w:val="28"/>
              </w:rPr>
            </w:pPr>
            <w:r>
              <w:rPr>
                <w:rFonts w:hint="eastAsia" w:ascii="宋体" w:hAnsi="宋体" w:cs="宋体"/>
                <w:sz w:val="22"/>
                <w:szCs w:val="28"/>
              </w:rPr>
              <w:t>1.本科毕业、初级职称（不含小学系列）；2.硕士及以上毕业；3.中小企业基层及以上管理人员；4.获高级职业资格证书。</w:t>
            </w:r>
          </w:p>
        </w:tc>
        <w:tc>
          <w:tcPr>
            <w:tcW w:w="1555" w:type="dxa"/>
            <w:vMerge w:val="continue"/>
            <w:noWrap w:val="0"/>
            <w:vAlign w:val="center"/>
          </w:tcPr>
          <w:p>
            <w:pPr>
              <w:pageBreakBefore w:val="0"/>
              <w:kinsoku/>
              <w:wordWrap/>
              <w:overflowPunct/>
              <w:topLinePunct w:val="0"/>
              <w:autoSpaceDE/>
              <w:autoSpaceDN/>
              <w:bidi w:val="0"/>
              <w:spacing w:line="400" w:lineRule="exact"/>
              <w:ind w:firstLine="480" w:firstLineChars="200"/>
              <w:outlineLvl w:val="9"/>
              <w:rPr>
                <w:rFonts w:hint="eastAsia" w:ascii="宋体" w:hAnsi="宋体" w:cs="宋体"/>
                <w:sz w:val="24"/>
                <w:szCs w:val="32"/>
              </w:rPr>
            </w:pPr>
          </w:p>
        </w:tc>
      </w:tr>
    </w:tbl>
    <w:p>
      <w:pPr>
        <w:pageBreakBefore w:val="0"/>
        <w:kinsoku/>
        <w:wordWrap/>
        <w:overflowPunct/>
        <w:topLinePunct w:val="0"/>
        <w:autoSpaceDE/>
        <w:autoSpaceDN/>
        <w:bidi w:val="0"/>
        <w:spacing w:line="400" w:lineRule="exact"/>
        <w:ind w:firstLine="420" w:firstLineChars="200"/>
        <w:outlineLvl w:val="9"/>
        <w:rPr>
          <w:rFonts w:hint="eastAsia" w:ascii="宋体" w:hAnsi="宋体" w:cs="宋体"/>
          <w:szCs w:val="36"/>
        </w:rPr>
      </w:pPr>
    </w:p>
    <w:p>
      <w:pPr>
        <w:pageBreakBefore w:val="0"/>
        <w:kinsoku/>
        <w:wordWrap/>
        <w:overflowPunct/>
        <w:topLinePunct w:val="0"/>
        <w:autoSpaceDE/>
        <w:autoSpaceDN/>
        <w:bidi w:val="0"/>
        <w:spacing w:line="400" w:lineRule="exact"/>
        <w:ind w:firstLine="420" w:firstLineChars="200"/>
        <w:outlineLvl w:val="9"/>
        <w:rPr>
          <w:rFonts w:ascii="宋体" w:hAnsi="宋体" w:cs="宋体"/>
          <w:szCs w:val="36"/>
        </w:rPr>
      </w:pPr>
      <w:r>
        <w:rPr>
          <w:rFonts w:hint="eastAsia" w:ascii="宋体" w:hAnsi="宋体" w:cs="宋体"/>
          <w:szCs w:val="36"/>
        </w:rPr>
        <w:t>课酬等级认定由教师聘请部门进行申请，人事处根据标准审核后认定并备案。</w:t>
      </w:r>
    </w:p>
    <w:p>
      <w:pPr>
        <w:pageBreakBefore w:val="0"/>
        <w:kinsoku/>
        <w:wordWrap/>
        <w:overflowPunct/>
        <w:topLinePunct w:val="0"/>
        <w:autoSpaceDE/>
        <w:autoSpaceDN/>
        <w:bidi w:val="0"/>
        <w:spacing w:line="400" w:lineRule="exact"/>
        <w:ind w:firstLine="422" w:firstLineChars="200"/>
        <w:outlineLvl w:val="9"/>
        <w:rPr>
          <w:rFonts w:hint="eastAsia" w:ascii="宋体" w:hAnsi="宋体" w:cs="宋体"/>
          <w:b/>
          <w:bCs/>
          <w:szCs w:val="36"/>
        </w:rPr>
      </w:pPr>
    </w:p>
    <w:p>
      <w:pPr>
        <w:pageBreakBefore w:val="0"/>
        <w:kinsoku/>
        <w:wordWrap/>
        <w:overflowPunct/>
        <w:topLinePunct w:val="0"/>
        <w:autoSpaceDE/>
        <w:autoSpaceDN/>
        <w:bidi w:val="0"/>
        <w:spacing w:line="400" w:lineRule="exact"/>
        <w:ind w:firstLine="422" w:firstLineChars="200"/>
        <w:outlineLvl w:val="9"/>
        <w:rPr>
          <w:rFonts w:hint="eastAsia" w:ascii="仿宋_GB2312" w:hAnsi="宋体" w:eastAsia="仿宋_GB2312" w:cs="宋体"/>
          <w:bCs/>
          <w:sz w:val="32"/>
          <w:szCs w:val="32"/>
        </w:rPr>
      </w:pPr>
      <w:r>
        <w:rPr>
          <w:rFonts w:hint="eastAsia" w:ascii="宋体" w:hAnsi="宋体" w:cs="宋体"/>
          <w:b/>
          <w:bCs/>
          <w:szCs w:val="36"/>
        </w:rPr>
        <w:t>新标准自2019-2020学年下学期起执行.</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宋体" w:hAnsi="宋体"/>
          <w:b/>
          <w:bCs/>
          <w:color w:val="000000"/>
          <w:sz w:val="36"/>
          <w:szCs w:val="36"/>
          <w:lang w:val="en-US" w:eastAsia="zh-CN"/>
        </w:rPr>
      </w:pPr>
      <w:bookmarkStart w:id="358" w:name="_Toc12210"/>
      <w:bookmarkStart w:id="359" w:name="_Toc21916"/>
      <w:bookmarkStart w:id="360" w:name="_Toc16508"/>
      <w:bookmarkStart w:id="361" w:name="_Toc23668"/>
      <w:r>
        <w:rPr>
          <w:rFonts w:hint="eastAsia" w:ascii="宋体" w:hAnsi="宋体"/>
          <w:b/>
          <w:bCs/>
          <w:color w:val="000000"/>
          <w:sz w:val="36"/>
          <w:szCs w:val="36"/>
          <w:lang w:val="en-US" w:eastAsia="zh-CN"/>
        </w:rPr>
        <w:t>柳州职业技术学院辅导员岗位奖励绩效发放办法</w:t>
      </w:r>
      <w:bookmarkEnd w:id="358"/>
      <w:bookmarkEnd w:id="359"/>
      <w:bookmarkEnd w:id="360"/>
      <w:bookmarkEnd w:id="361"/>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r>
        <w:rPr>
          <w:rFonts w:hint="eastAsia" w:ascii="仿宋_GB2312" w:eastAsia="仿宋_GB2312"/>
          <w:bCs/>
          <w:sz w:val="32"/>
          <w:szCs w:val="32"/>
        </w:rPr>
        <w:t>（柳职院党字〔2021〕45 号）</w:t>
      </w:r>
    </w:p>
    <w:p>
      <w:pPr>
        <w:pageBreakBefore w:val="0"/>
        <w:widowControl/>
        <w:kinsoku/>
        <w:wordWrap/>
        <w:overflowPunct/>
        <w:topLinePunct w:val="0"/>
        <w:autoSpaceDE/>
        <w:autoSpaceDN/>
        <w:bidi w:val="0"/>
        <w:jc w:val="center"/>
        <w:outlineLvl w:val="9"/>
        <w:rPr>
          <w:rFonts w:hint="eastAsia" w:ascii="仿宋_GB2312" w:eastAsia="仿宋_GB2312"/>
          <w:bCs/>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增强辅导员的归属感，激励辅导员不断提高政治素质和业务水平，认真履行岗位职责，创造性开展工作，进一步促进我校辅导员队伍建设。根据自治区党委办公厅自治区人民政府办公厅《关于深化新时代学校思想政治理论课改革创新的若干措施》的通知（厅发[2019]146号），结合我校实际，特制定本办法。</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一、发放对象</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专职辅导员（含一线带班辅导员与二级学院兼职带班的党总支副书记、学生科科长、分团委书记、学生专干等）。</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二、发放标准</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本奖励性岗位津贴总量按人均1000元计算，每年按10个月发放，每年12月组织申报、考核和发放工作。</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三、发放原则</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坚持公平、公开、公正，注重实效、优绩优酬。</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四、分配方案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（一）按照《柳州职业技术学院辅导员绩效考核方法》（柳职院学字〔2018〕39号）对辅导员（含兼职带班辅导员）进行绩效考核，并将绩效考核结果，作为辅导员岗位奖励绩效的发放依据。</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（二）把绩效考核结果与辅导员岗位奖励绩效奖金挂钩，计算按以下分配办法发放：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tbl>
      <w:tblPr>
        <w:tblStyle w:val="17"/>
        <w:tblW w:w="7230"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59"/>
        <w:gridCol w:w="1276"/>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0" w:hRule="atLeast"/>
        </w:trPr>
        <w:tc>
          <w:tcPr>
            <w:tcW w:w="15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考核结果</w:t>
            </w:r>
          </w:p>
        </w:tc>
        <w:tc>
          <w:tcPr>
            <w:tcW w:w="1559"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优秀</w:t>
            </w:r>
          </w:p>
        </w:tc>
        <w:tc>
          <w:tcPr>
            <w:tcW w:w="1276"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合格</w:t>
            </w:r>
          </w:p>
        </w:tc>
        <w:tc>
          <w:tcPr>
            <w:tcW w:w="141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基本合格</w:t>
            </w:r>
          </w:p>
        </w:tc>
        <w:tc>
          <w:tcPr>
            <w:tcW w:w="141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15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系数</w:t>
            </w:r>
          </w:p>
        </w:tc>
        <w:tc>
          <w:tcPr>
            <w:tcW w:w="1559"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1.2</w:t>
            </w:r>
          </w:p>
        </w:tc>
        <w:tc>
          <w:tcPr>
            <w:tcW w:w="1276"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1.0</w:t>
            </w:r>
          </w:p>
        </w:tc>
        <w:tc>
          <w:tcPr>
            <w:tcW w:w="141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0.8</w:t>
            </w:r>
          </w:p>
        </w:tc>
        <w:tc>
          <w:tcPr>
            <w:tcW w:w="141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560"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Cs w:val="28"/>
                <w:lang w:bidi="ar"/>
              </w:rPr>
            </w:pPr>
            <w:r>
              <w:rPr>
                <w:rFonts w:hint="eastAsia" w:ascii="仿宋_GB2312" w:hAnsi="宋体" w:eastAsia="仿宋_GB2312" w:cs="宋体"/>
                <w:b/>
                <w:bCs/>
                <w:color w:val="000000"/>
                <w:kern w:val="0"/>
                <w:szCs w:val="28"/>
                <w:lang w:bidi="ar"/>
              </w:rPr>
              <w:t>比例</w:t>
            </w:r>
          </w:p>
        </w:tc>
        <w:tc>
          <w:tcPr>
            <w:tcW w:w="1559"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20%</w:t>
            </w:r>
          </w:p>
        </w:tc>
        <w:tc>
          <w:tcPr>
            <w:tcW w:w="1276"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w:t>
            </w:r>
          </w:p>
        </w:tc>
        <w:tc>
          <w:tcPr>
            <w:tcW w:w="1417"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w:t>
            </w:r>
          </w:p>
        </w:tc>
        <w:tc>
          <w:tcPr>
            <w:tcW w:w="1418" w:type="dxa"/>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Cs w:val="28"/>
                <w:lang w:bidi="ar"/>
              </w:rPr>
            </w:pPr>
            <w:r>
              <w:rPr>
                <w:rFonts w:hint="eastAsia" w:ascii="仿宋_GB2312" w:hAnsi="宋体" w:eastAsia="仿宋_GB2312" w:cs="宋体"/>
                <w:color w:val="000000"/>
                <w:kern w:val="0"/>
                <w:szCs w:val="28"/>
                <w:lang w:bidi="ar"/>
              </w:rPr>
              <w:t>—</w:t>
            </w:r>
          </w:p>
        </w:tc>
      </w:tr>
    </w:tbl>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注：</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1.考核结果优秀且排名在本学院前20%的辅导员，按1.2系数发放奖励性绩效。考核结果为优秀但排名未在前20%的，按合格等级发放。如排名前20%的考核结果都不是优秀的，按实际等级系数发放。</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2.当月请假时间超过15天（含15天）的，不发放当月的辅导员岗位奖励绩效。</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实行总量控制。根据二级学院学生工作年度考核结果等级（考核方案见《柳州职业技术学院学生工作年度考核办法》（柳职院学字[2018]52号））和当年该二级学院辅导员总数（一线带班辅导员+兼职带班辅导员），核算奖励绩效总量，严格控制每年绩效总量，不能超额计算。</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（四）被认定存在以下情形之一的，直接取消当年发放资格：</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1.政治原则、政治立场等与党中央不一致的；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2.传播不良思想、反动言论的；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3.被认定因个人工作不力而造成重大安全责任事故的；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4.在发展学生入党、评先评优、奖助学金评定、助学贷款等工作中有弄虚作假、违规操作行为的；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5.存在违反师德师风行为造成恶劣影响的；</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6.存在其它违规违纪行为的。</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五、本办法由人事处、学生工作处负责解释。</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六、本办法发布之日起实施。</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附件：柳州职业技术学院辅导员绩效考核办法</w:t>
      </w: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eastAsia="仿宋_GB2312"/>
          <w:sz w:val="32"/>
          <w:szCs w:val="32"/>
        </w:rPr>
      </w:pPr>
    </w:p>
    <w:p>
      <w:pPr>
        <w:pStyle w:val="4"/>
        <w:pageBreakBefore w:val="0"/>
        <w:kinsoku/>
        <w:wordWrap/>
        <w:overflowPunct/>
        <w:topLinePunct w:val="0"/>
        <w:autoSpaceDE/>
        <w:autoSpaceDN/>
        <w:bidi w:val="0"/>
        <w:ind w:firstLine="320"/>
        <w:outlineLvl w:val="9"/>
        <w:rPr>
          <w:rFonts w:hint="eastAsia" w:ascii="仿宋_GB2312" w:eastAsia="仿宋_GB2312"/>
          <w:sz w:val="32"/>
          <w:szCs w:val="32"/>
        </w:rPr>
      </w:pPr>
    </w:p>
    <w:p>
      <w:pPr>
        <w:pageBreakBefore w:val="0"/>
        <w:kinsoku/>
        <w:wordWrap/>
        <w:overflowPunct/>
        <w:topLinePunct w:val="0"/>
        <w:autoSpaceDE/>
        <w:autoSpaceDN/>
        <w:bidi w:val="0"/>
        <w:spacing w:line="560" w:lineRule="exact"/>
        <w:jc w:val="left"/>
        <w:outlineLvl w:val="9"/>
        <w:rPr>
          <w:rFonts w:ascii="黑体" w:eastAsia="黑体"/>
          <w:color w:val="000000"/>
          <w:sz w:val="32"/>
          <w:szCs w:val="32"/>
        </w:rPr>
      </w:pPr>
      <w:r>
        <w:rPr>
          <w:rFonts w:hint="eastAsia" w:ascii="黑体" w:eastAsia="黑体"/>
          <w:color w:val="000000"/>
          <w:sz w:val="32"/>
          <w:szCs w:val="32"/>
        </w:rPr>
        <w:t>附件：</w:t>
      </w:r>
    </w:p>
    <w:p>
      <w:pPr>
        <w:pageBreakBefore w:val="0"/>
        <w:kinsoku/>
        <w:wordWrap/>
        <w:overflowPunct/>
        <w:topLinePunct w:val="0"/>
        <w:autoSpaceDE/>
        <w:autoSpaceDN/>
        <w:bidi w:val="0"/>
        <w:spacing w:line="590" w:lineRule="exact"/>
        <w:jc w:val="center"/>
        <w:outlineLvl w:val="9"/>
        <w:rPr>
          <w:b/>
          <w:color w:val="000000"/>
          <w:sz w:val="36"/>
          <w:szCs w:val="36"/>
        </w:rPr>
      </w:pPr>
      <w:r>
        <w:rPr>
          <w:rFonts w:hint="eastAsia"/>
          <w:b/>
          <w:color w:val="000000"/>
          <w:sz w:val="36"/>
          <w:szCs w:val="36"/>
        </w:rPr>
        <w:t>柳州职业技术学院辅导员绩效考核办法</w:t>
      </w:r>
    </w:p>
    <w:p>
      <w:pPr>
        <w:pageBreakBefore w:val="0"/>
        <w:kinsoku/>
        <w:wordWrap/>
        <w:overflowPunct/>
        <w:topLinePunct w:val="0"/>
        <w:autoSpaceDE/>
        <w:autoSpaceDN/>
        <w:bidi w:val="0"/>
        <w:jc w:val="center"/>
        <w:outlineLvl w:val="9"/>
        <w:rPr>
          <w:rFonts w:ascii="宋体" w:hAnsi="宋体"/>
          <w:b/>
          <w:color w:val="000000"/>
          <w:szCs w:val="28"/>
        </w:rPr>
      </w:pP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为切实加强和改进我校的辅导员工作，根据《普通高等学校辅导员队伍建设规定》（教育部第43号令），结合《柳州职业技术学院2018年绩效评估办法》，特制定本绩效考核办法。</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一、考核目的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了准确、全面地评价我校辅导员的德才表现和工作实绩，客观、公正地评价辅导员的工作，使辅导员绩效考核工作更加制度化、规范化、科学化；同时，进一步激励辅导员提高思想政治素质和业务素质，充分发挥主观能动性、工作热情和积极性，增强辅导员的归属感，提升辅导员队伍的士气和满意度，从而进一步促进我校辅导员队伍建设。</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二、考核原则</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坚持公平、公正、公开的原则，以关键绩效为导向，体现工作质量，以工作实绩为重点，突出业绩贡献。坚持定量与定性相结合，目标与过程相结合，实行绩效考核结果与工作量、绩效奖金挂钩。具体考核由二级学院执行。</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三、考核对象</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1.本办法所指的辅导员，包括：</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（1）一线带班专职辅导员；</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（2）兼职带班的辅导员（指各二级学院党总支副书记、学生科科长、学生专干、分团委书记等）；</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2.因病假、事假等原因，年度请假时间（不包括寒暑假）累计达6个月以上的人员不参加当年绩效考核。</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四、考核机构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学校成立辅导员绩效考核领导小组，由分管学生工作的校领导为组长，党委学生工作部、团委、人事处、发展规划与质量管理处、纪委办公室等相关单位负责人为成员，全面负责全校辅导员绩效考核的组织协调、结果审定与争议处理。</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党委学生工作部具体负责全校辅导员绩效考核的指导工作。各二级学院绩效考核小组具体负责本学院辅导员绩效考核的实施。</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五、考核内容、办法及程序</w:t>
      </w:r>
    </w:p>
    <w:p>
      <w:pPr>
        <w:pageBreakBefore w:val="0"/>
        <w:kinsoku/>
        <w:wordWrap/>
        <w:overflowPunct/>
        <w:topLinePunct w:val="0"/>
        <w:autoSpaceDE/>
        <w:autoSpaceDN/>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（一）辅导员绩效考核内容</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根据《柳州职业技术学院绩效评估办法》，辅导员绩效考核内容主要包括：个人关键绩效指标（KPI），重点、专项、创新工作绩效，部门绩效评估分值，部门评价分值和扣分项等五部分组成。</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其中，个人关键绩效指标（KPI）主要考核辅导员工作主要业绩；个人重点、专项工作、创新主要考核辅导员个人年度重点工作、专项工作或创新工作的完成情况；扣分项主要依据《柳州职业技术学院工作事故认定及处理办法》（柳职院[2017]30号）和《柳州职业技术学院绩效考核扣分项清单》（附件4），进行绩效考核扣分。</w:t>
      </w:r>
    </w:p>
    <w:p>
      <w:pPr>
        <w:pageBreakBefore w:val="0"/>
        <w:kinsoku/>
        <w:wordWrap/>
        <w:overflowPunct/>
        <w:topLinePunct w:val="0"/>
        <w:autoSpaceDE/>
        <w:autoSpaceDN/>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（二）考核办法</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1.辅导员绩效考核每年开展一次，一般在每年的12月底进行，由学生工作处统一组织实施。</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2.辅导员绩效考核采用百分制，总分为100分。</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3.如有下列情形之一，直接确定为不合格：（一票否决制）</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（1）在事关政治原则、政治立场等方面不能与党中央保持一致的；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（2）传播不良思想，反动言论的；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（3）忽视个人世界观改造，迷信邪教或加入邪教组织的；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（4）因个人工作不力而造成重大安全责任事故的；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（5）在发展学生入党、评先评优、奖助学金评定、助学贷款等工作中有弄虚作假、违规操作行为者；</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（6）不重视个人师德师风而产生恶劣影响的。</w:t>
      </w:r>
    </w:p>
    <w:p>
      <w:pPr>
        <w:pageBreakBefore w:val="0"/>
        <w:kinsoku/>
        <w:wordWrap/>
        <w:overflowPunct/>
        <w:topLinePunct w:val="0"/>
        <w:autoSpaceDE/>
        <w:autoSpaceDN/>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（三）考核程序</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1.绩效指标制定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（1）个人关键绩效指标（KPI）制定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由二级学院结合本部门实际工作和辅导员岗位职责特点，按照学校《专职辅导员关键绩效考核项目和指标库》（附件2）统一确定。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（2）重点、专项、创新工作绩效指标制定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由各二级学院根据被考核人的岗位职责和实际工作需要确定。二级学院分团委书记根据《二级学院分团委书记关键绩效考核项目和指标库》（附件3）确定。科长和专干参照《专职辅导员关键绩效考核项目和指标库》及《二级学院分团委书记关键绩效考核项目和指标库》相关指标确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 二级学院可以结合实际工作制定符合本院特色的考核指标。</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2.审核与实施</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各二级学院负责绩效指标的审核与实施，报学生工作处备案。</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3.绩效自评</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4.绩效数据核定与审定</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5.绩效评估结果反馈等</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六、考核结果及应用</w:t>
      </w:r>
    </w:p>
    <w:p>
      <w:pPr>
        <w:pageBreakBefore w:val="0"/>
        <w:kinsoku/>
        <w:wordWrap/>
        <w:overflowPunct/>
        <w:topLinePunct w:val="0"/>
        <w:autoSpaceDE/>
        <w:autoSpaceDN/>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（一）辅导员绩效考核结果</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根据考核得分，评定优秀、良好、合格、基本合格和不合格五个等级。</w:t>
      </w:r>
    </w:p>
    <w:tbl>
      <w:tblPr>
        <w:tblStyle w:val="17"/>
        <w:tblW w:w="7886" w:type="dxa"/>
        <w:jc w:val="center"/>
        <w:tblInd w:w="0" w:type="dxa"/>
        <w:tblLayout w:type="fixed"/>
        <w:tblCellMar>
          <w:top w:w="0" w:type="dxa"/>
          <w:left w:w="108" w:type="dxa"/>
          <w:bottom w:w="0" w:type="dxa"/>
          <w:right w:w="108" w:type="dxa"/>
        </w:tblCellMar>
      </w:tblPr>
      <w:tblGrid>
        <w:gridCol w:w="1067"/>
        <w:gridCol w:w="1434"/>
        <w:gridCol w:w="1941"/>
        <w:gridCol w:w="1974"/>
        <w:gridCol w:w="1470"/>
      </w:tblGrid>
      <w:tr>
        <w:tblPrEx>
          <w:tblLayout w:type="fixed"/>
          <w:tblCellMar>
            <w:top w:w="0" w:type="dxa"/>
            <w:left w:w="108" w:type="dxa"/>
            <w:bottom w:w="0" w:type="dxa"/>
            <w:right w:w="108" w:type="dxa"/>
          </w:tblCellMar>
        </w:tblPrEx>
        <w:trPr>
          <w:trHeight w:val="640"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等级</w:t>
            </w:r>
          </w:p>
        </w:tc>
        <w:tc>
          <w:tcPr>
            <w:tcW w:w="1434"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优秀</w:t>
            </w:r>
          </w:p>
        </w:tc>
        <w:tc>
          <w:tcPr>
            <w:tcW w:w="194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合格</w:t>
            </w:r>
          </w:p>
        </w:tc>
        <w:tc>
          <w:tcPr>
            <w:tcW w:w="1974"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基本合格</w:t>
            </w:r>
          </w:p>
        </w:tc>
        <w:tc>
          <w:tcPr>
            <w:tcW w:w="1470"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b/>
                <w:color w:val="000000"/>
                <w:kern w:val="0"/>
                <w:sz w:val="24"/>
              </w:rPr>
            </w:pPr>
            <w:r>
              <w:rPr>
                <w:rFonts w:hint="eastAsia" w:ascii="仿宋_GB2312" w:hAnsi="仿宋_GB2312" w:eastAsia="仿宋_GB2312" w:cs="仿宋_GB2312"/>
                <w:b/>
                <w:color w:val="000000"/>
                <w:kern w:val="0"/>
                <w:sz w:val="24"/>
              </w:rPr>
              <w:t>不合格</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评估</w:t>
            </w:r>
          </w:p>
          <w:p>
            <w:pPr>
              <w:pageBreakBefore w:val="0"/>
              <w:kinsoku/>
              <w:wordWrap/>
              <w:overflowPunct/>
              <w:topLinePunct w:val="0"/>
              <w:autoSpaceDE/>
              <w:autoSpaceDN/>
              <w:bidi w:val="0"/>
              <w:spacing w:line="300" w:lineRule="exact"/>
              <w:outlineLvl w:val="9"/>
              <w:rPr>
                <w:rFonts w:ascii="仿宋_GB2312" w:hAnsi="仿宋_GB2312" w:eastAsia="仿宋_GB2312" w:cs="仿宋_GB2312"/>
                <w:color w:val="000000"/>
                <w:kern w:val="0"/>
                <w:sz w:val="24"/>
              </w:rPr>
            </w:pPr>
            <w:r>
              <w:rPr>
                <w:rFonts w:ascii="仿宋_GB2312" w:hAnsi="仿宋_GB2312" w:eastAsia="仿宋_GB2312" w:cs="仿宋_GB2312"/>
                <w:color w:val="000000"/>
                <w:kern w:val="0"/>
                <w:sz w:val="24"/>
              </w:rPr>
              <w:t>总得分</w:t>
            </w:r>
          </w:p>
        </w:tc>
        <w:tc>
          <w:tcPr>
            <w:tcW w:w="1434"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总得分≥90</w:t>
            </w:r>
          </w:p>
        </w:tc>
        <w:tc>
          <w:tcPr>
            <w:tcW w:w="1941"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70≤总得分＜90</w:t>
            </w:r>
          </w:p>
        </w:tc>
        <w:tc>
          <w:tcPr>
            <w:tcW w:w="1974"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60≤总得分＜70</w:t>
            </w:r>
          </w:p>
        </w:tc>
        <w:tc>
          <w:tcPr>
            <w:tcW w:w="1470"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总得分＜60</w:t>
            </w:r>
          </w:p>
        </w:tc>
      </w:tr>
    </w:tbl>
    <w:p>
      <w:pPr>
        <w:pageBreakBefore w:val="0"/>
        <w:kinsoku/>
        <w:wordWrap/>
        <w:overflowPunct/>
        <w:topLinePunct w:val="0"/>
        <w:autoSpaceDE/>
        <w:autoSpaceDN/>
        <w:bidi w:val="0"/>
        <w:spacing w:line="580" w:lineRule="exact"/>
        <w:ind w:firstLine="643" w:firstLineChars="200"/>
        <w:outlineLvl w:val="9"/>
        <w:rPr>
          <w:rFonts w:ascii="楷体_GB2312" w:hAnsi="仿宋_GB2312" w:eastAsia="楷体_GB2312" w:cs="仿宋_GB2312"/>
          <w:b/>
          <w:color w:val="000000"/>
          <w:kern w:val="0"/>
          <w:sz w:val="32"/>
          <w:szCs w:val="32"/>
        </w:rPr>
      </w:pPr>
      <w:r>
        <w:rPr>
          <w:rFonts w:hint="eastAsia" w:ascii="楷体_GB2312" w:hAnsi="仿宋_GB2312" w:eastAsia="楷体_GB2312" w:cs="仿宋_GB2312"/>
          <w:b/>
          <w:color w:val="000000"/>
          <w:kern w:val="0"/>
          <w:sz w:val="32"/>
          <w:szCs w:val="32"/>
        </w:rPr>
        <w:t>（二）辅导员绩效考核结果应用</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1.实行绩效考核结果与辅导员奖励性绩效等挂钩。其中，具体系数如下：</w:t>
      </w:r>
    </w:p>
    <w:tbl>
      <w:tblPr>
        <w:tblStyle w:val="17"/>
        <w:tblW w:w="7841" w:type="dxa"/>
        <w:jc w:val="center"/>
        <w:tblInd w:w="0" w:type="dxa"/>
        <w:tblLayout w:type="fixed"/>
        <w:tblCellMar>
          <w:top w:w="0" w:type="dxa"/>
          <w:left w:w="108" w:type="dxa"/>
          <w:bottom w:w="0" w:type="dxa"/>
          <w:right w:w="108" w:type="dxa"/>
        </w:tblCellMar>
      </w:tblPr>
      <w:tblGrid>
        <w:gridCol w:w="1067"/>
        <w:gridCol w:w="1599"/>
        <w:gridCol w:w="1665"/>
        <w:gridCol w:w="1811"/>
        <w:gridCol w:w="1699"/>
      </w:tblGrid>
      <w:tr>
        <w:tblPrEx>
          <w:tblLayout w:type="fixed"/>
          <w:tblCellMar>
            <w:top w:w="0" w:type="dxa"/>
            <w:left w:w="108" w:type="dxa"/>
            <w:bottom w:w="0" w:type="dxa"/>
            <w:right w:w="108" w:type="dxa"/>
          </w:tblCellMar>
        </w:tblPrEx>
        <w:trPr>
          <w:trHeight w:val="615"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考核</w:t>
            </w:r>
          </w:p>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结果</w:t>
            </w:r>
          </w:p>
        </w:tc>
        <w:tc>
          <w:tcPr>
            <w:tcW w:w="1599"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优秀</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ind w:firstLine="240" w:firstLineChars="100"/>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合格</w:t>
            </w:r>
          </w:p>
        </w:tc>
        <w:tc>
          <w:tcPr>
            <w:tcW w:w="1811"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基本合格</w:t>
            </w:r>
          </w:p>
        </w:tc>
        <w:tc>
          <w:tcPr>
            <w:tcW w:w="1699"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不合格</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系数</w:t>
            </w:r>
          </w:p>
        </w:tc>
        <w:tc>
          <w:tcPr>
            <w:tcW w:w="1599"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1.2</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1.0</w:t>
            </w:r>
          </w:p>
        </w:tc>
        <w:tc>
          <w:tcPr>
            <w:tcW w:w="1811"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0.8</w:t>
            </w:r>
          </w:p>
        </w:tc>
        <w:tc>
          <w:tcPr>
            <w:tcW w:w="1699"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0</w:t>
            </w:r>
          </w:p>
        </w:tc>
      </w:tr>
      <w:tr>
        <w:tblPrEx>
          <w:tblLayout w:type="fixed"/>
          <w:tblCellMar>
            <w:top w:w="0" w:type="dxa"/>
            <w:left w:w="108" w:type="dxa"/>
            <w:bottom w:w="0" w:type="dxa"/>
            <w:right w:w="108" w:type="dxa"/>
          </w:tblCellMar>
        </w:tblPrEx>
        <w:trPr>
          <w:trHeight w:val="624"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比例</w:t>
            </w:r>
          </w:p>
        </w:tc>
        <w:tc>
          <w:tcPr>
            <w:tcW w:w="1599"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20%</w:t>
            </w:r>
          </w:p>
        </w:tc>
        <w:tc>
          <w:tcPr>
            <w:tcW w:w="166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c>
          <w:tcPr>
            <w:tcW w:w="1811" w:type="dxa"/>
            <w:tcBorders>
              <w:top w:val="single" w:color="auto" w:sz="4" w:space="0"/>
              <w:left w:val="nil"/>
              <w:bottom w:val="single" w:color="auto" w:sz="4" w:space="0"/>
              <w:right w:val="single" w:color="auto" w:sz="4" w:space="0"/>
            </w:tcBorders>
            <w:noWrap/>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c>
          <w:tcPr>
            <w:tcW w:w="1699"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00" w:lineRule="exact"/>
              <w:jc w:val="center"/>
              <w:outlineLvl w:val="9"/>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tc>
      </w:tr>
    </w:tbl>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2.辅导员月工作量、绩效奖金发放按照《柳州职业技术学院工作量及奖励性绩效发放办法》执行。</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3.绩效评估结果既</w:t>
      </w:r>
      <w:r>
        <w:rPr>
          <w:rFonts w:ascii="仿宋_GB2312" w:hAnsi="仿宋_GB2312" w:eastAsia="仿宋_GB2312" w:cs="仿宋_GB2312"/>
          <w:color w:val="000000"/>
          <w:kern w:val="0"/>
          <w:sz w:val="32"/>
          <w:szCs w:val="32"/>
        </w:rPr>
        <w:t>作为</w:t>
      </w:r>
      <w:r>
        <w:rPr>
          <w:rFonts w:hint="eastAsia" w:ascii="仿宋_GB2312" w:hAnsi="仿宋_GB2312" w:eastAsia="仿宋_GB2312" w:cs="仿宋_GB2312"/>
          <w:color w:val="000000"/>
          <w:kern w:val="0"/>
          <w:sz w:val="32"/>
          <w:szCs w:val="32"/>
        </w:rPr>
        <w:t>辅导员月工作量和绩效奖金等发放</w:t>
      </w:r>
      <w:r>
        <w:rPr>
          <w:rFonts w:ascii="仿宋_GB2312" w:hAnsi="仿宋_GB2312" w:eastAsia="仿宋_GB2312" w:cs="仿宋_GB2312"/>
          <w:color w:val="000000"/>
          <w:kern w:val="0"/>
          <w:sz w:val="32"/>
          <w:szCs w:val="32"/>
        </w:rPr>
        <w:t>的依据</w:t>
      </w:r>
      <w:r>
        <w:rPr>
          <w:rFonts w:hint="eastAsia" w:ascii="仿宋_GB2312" w:hAnsi="仿宋_GB2312" w:eastAsia="仿宋_GB2312" w:cs="仿宋_GB2312"/>
          <w:color w:val="000000"/>
          <w:kern w:val="0"/>
          <w:sz w:val="32"/>
          <w:szCs w:val="32"/>
        </w:rPr>
        <w:t>；同时作为柳州市事业单位年度考核基本依据；作为</w:t>
      </w:r>
      <w:r>
        <w:rPr>
          <w:rFonts w:ascii="仿宋_GB2312" w:hAnsi="仿宋_GB2312" w:eastAsia="仿宋_GB2312" w:cs="仿宋_GB2312"/>
          <w:color w:val="000000"/>
          <w:kern w:val="0"/>
          <w:sz w:val="32"/>
          <w:szCs w:val="32"/>
        </w:rPr>
        <w:t>制定</w:t>
      </w:r>
      <w:r>
        <w:rPr>
          <w:rFonts w:hint="eastAsia" w:ascii="仿宋_GB2312" w:hAnsi="仿宋_GB2312" w:eastAsia="仿宋_GB2312" w:cs="仿宋_GB2312"/>
          <w:color w:val="000000"/>
          <w:kern w:val="0"/>
          <w:sz w:val="32"/>
          <w:szCs w:val="32"/>
        </w:rPr>
        <w:t>工作</w:t>
      </w:r>
      <w:r>
        <w:rPr>
          <w:rFonts w:ascii="仿宋_GB2312" w:hAnsi="仿宋_GB2312" w:eastAsia="仿宋_GB2312" w:cs="仿宋_GB2312"/>
          <w:color w:val="000000"/>
          <w:kern w:val="0"/>
          <w:sz w:val="32"/>
          <w:szCs w:val="32"/>
        </w:rPr>
        <w:t>业绩改进计划的依据；作为职务升降、</w:t>
      </w:r>
      <w:r>
        <w:rPr>
          <w:rFonts w:hint="eastAsia" w:ascii="仿宋_GB2312" w:hAnsi="仿宋_GB2312" w:eastAsia="仿宋_GB2312" w:cs="仿宋_GB2312"/>
          <w:color w:val="000000"/>
          <w:kern w:val="0"/>
          <w:sz w:val="32"/>
          <w:szCs w:val="32"/>
        </w:rPr>
        <w:t>职称评审、</w:t>
      </w:r>
      <w:r>
        <w:rPr>
          <w:rFonts w:ascii="仿宋_GB2312" w:hAnsi="仿宋_GB2312" w:eastAsia="仿宋_GB2312" w:cs="仿宋_GB2312"/>
          <w:color w:val="000000"/>
          <w:kern w:val="0"/>
          <w:sz w:val="32"/>
          <w:szCs w:val="32"/>
        </w:rPr>
        <w:t>岗位调整的依据；制定培训</w:t>
      </w:r>
      <w:r>
        <w:rPr>
          <w:rFonts w:hint="eastAsia" w:ascii="仿宋_GB2312" w:hAnsi="仿宋_GB2312" w:eastAsia="仿宋_GB2312" w:cs="仿宋_GB2312"/>
          <w:color w:val="000000"/>
          <w:kern w:val="0"/>
          <w:sz w:val="32"/>
          <w:szCs w:val="32"/>
        </w:rPr>
        <w:t>计划与职业发展规划</w:t>
      </w:r>
      <w:r>
        <w:rPr>
          <w:rFonts w:ascii="仿宋_GB2312" w:hAnsi="仿宋_GB2312" w:eastAsia="仿宋_GB2312" w:cs="仿宋_GB2312"/>
          <w:color w:val="000000"/>
          <w:kern w:val="0"/>
          <w:sz w:val="32"/>
          <w:szCs w:val="32"/>
        </w:rPr>
        <w:t>的依据</w:t>
      </w:r>
      <w:r>
        <w:rPr>
          <w:rFonts w:hint="eastAsia" w:ascii="仿宋_GB2312" w:hAnsi="仿宋_GB2312" w:eastAsia="仿宋_GB2312" w:cs="仿宋_GB2312"/>
          <w:color w:val="000000"/>
          <w:kern w:val="0"/>
          <w:sz w:val="32"/>
          <w:szCs w:val="32"/>
        </w:rPr>
        <w:t>。</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4.绩效考核结果为“基本合格”、“不合格”的辅导员，由各二级学院辅导员绩效考核小组督促其制定措施，限期改正。连续两次考核结果为不合格的，由人事处调整工作岗位，不得继续从事辅导员工作。</w:t>
      </w:r>
    </w:p>
    <w:p>
      <w:pPr>
        <w:pageBreakBefore w:val="0"/>
        <w:kinsoku/>
        <w:wordWrap/>
        <w:overflowPunct/>
        <w:topLinePunct w:val="0"/>
        <w:autoSpaceDE/>
        <w:autoSpaceDN/>
        <w:bidi w:val="0"/>
        <w:spacing w:line="580" w:lineRule="exact"/>
        <w:ind w:firstLine="643" w:firstLineChars="200"/>
        <w:outlineLvl w:val="9"/>
        <w:rPr>
          <w:rFonts w:ascii="黑体" w:hAnsi="仿宋_GB2312" w:eastAsia="黑体" w:cs="仿宋_GB2312"/>
          <w:b/>
          <w:color w:val="000000"/>
          <w:kern w:val="0"/>
          <w:sz w:val="32"/>
          <w:szCs w:val="32"/>
        </w:rPr>
      </w:pPr>
      <w:r>
        <w:rPr>
          <w:rFonts w:hint="eastAsia" w:ascii="黑体" w:hAnsi="仿宋_GB2312" w:eastAsia="黑体" w:cs="仿宋_GB2312"/>
          <w:b/>
          <w:color w:val="000000"/>
          <w:kern w:val="0"/>
          <w:sz w:val="32"/>
          <w:szCs w:val="32"/>
        </w:rPr>
        <w:t>七、附则</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1.本办法的解释说明权归党委学生工作部。</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2.本办法未尽事宜及相关实施细则，由党委学生工作部联合相关部门及时补充。</w:t>
      </w: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p>
    <w:p>
      <w:pPr>
        <w:pageBreakBefore w:val="0"/>
        <w:kinsoku/>
        <w:wordWrap/>
        <w:overflowPunct/>
        <w:topLinePunct w:val="0"/>
        <w:autoSpaceDE/>
        <w:autoSpaceDN/>
        <w:bidi w:val="0"/>
        <w:spacing w:line="580" w:lineRule="exact"/>
        <w:ind w:firstLine="640" w:firstLineChars="2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附表：1.柳州职业技术学院辅导员绩效考核评估表</w:t>
      </w:r>
    </w:p>
    <w:p>
      <w:pPr>
        <w:pageBreakBefore w:val="0"/>
        <w:kinsoku/>
        <w:wordWrap/>
        <w:overflowPunct/>
        <w:topLinePunct w:val="0"/>
        <w:autoSpaceDE/>
        <w:autoSpaceDN/>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2.专职辅导员关键绩效考核导向和指标库</w:t>
      </w:r>
    </w:p>
    <w:p>
      <w:pPr>
        <w:pageBreakBefore w:val="0"/>
        <w:kinsoku/>
        <w:wordWrap/>
        <w:overflowPunct/>
        <w:topLinePunct w:val="0"/>
        <w:autoSpaceDE/>
        <w:autoSpaceDN/>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3.二级学院分团委书记考核指标库</w:t>
      </w:r>
    </w:p>
    <w:p>
      <w:pPr>
        <w:pageBreakBefore w:val="0"/>
        <w:kinsoku/>
        <w:wordWrap/>
        <w:overflowPunct/>
        <w:topLinePunct w:val="0"/>
        <w:autoSpaceDE/>
        <w:autoSpaceDN/>
        <w:bidi w:val="0"/>
        <w:spacing w:line="580" w:lineRule="exact"/>
        <w:ind w:firstLine="1600" w:firstLineChars="500"/>
        <w:outlineLvl w:val="9"/>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4.柳州职业技术学院辅导员绩效评估扣分项清单</w:t>
      </w:r>
    </w:p>
    <w:p>
      <w:pPr>
        <w:pageBreakBefore w:val="0"/>
        <w:widowControl/>
        <w:kinsoku/>
        <w:wordWrap/>
        <w:overflowPunct/>
        <w:topLinePunct w:val="0"/>
        <w:autoSpaceDE/>
        <w:autoSpaceDN/>
        <w:bidi w:val="0"/>
        <w:jc w:val="left"/>
        <w:outlineLvl w:val="9"/>
        <w:rPr>
          <w:rFonts w:eastAsia="仿宋_GB2312"/>
          <w:color w:val="000000"/>
          <w:szCs w:val="28"/>
        </w:rPr>
      </w:pPr>
      <w:r>
        <w:rPr>
          <w:rFonts w:eastAsia="仿宋_GB2312"/>
          <w:color w:val="000000"/>
          <w:szCs w:val="28"/>
        </w:rPr>
        <w:br w:type="page"/>
      </w:r>
      <w:r>
        <w:rPr>
          <w:rFonts w:hint="eastAsia" w:ascii="黑体" w:eastAsia="黑体"/>
          <w:sz w:val="32"/>
          <w:szCs w:val="32"/>
        </w:rPr>
        <w:t>附表1：</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柳州职业技术学院辅导员绩效评估表</w:t>
      </w:r>
    </w:p>
    <w:p>
      <w:pPr>
        <w:pageBreakBefore w:val="0"/>
        <w:widowControl/>
        <w:kinsoku/>
        <w:wordWrap/>
        <w:overflowPunct/>
        <w:topLinePunct w:val="0"/>
        <w:autoSpaceDE/>
        <w:autoSpaceDN/>
        <w:bidi w:val="0"/>
        <w:spacing w:line="360" w:lineRule="auto"/>
        <w:jc w:val="center"/>
        <w:outlineLvl w:val="9"/>
        <w:rPr>
          <w:rFonts w:ascii="微软雅黑" w:hAnsi="微软雅黑" w:eastAsia="微软雅黑"/>
          <w:b/>
          <w:color w:val="000000"/>
          <w:sz w:val="40"/>
          <w:szCs w:val="44"/>
        </w:rPr>
      </w:pPr>
      <w:r>
        <w:rPr>
          <w:rFonts w:hint="eastAsia" w:ascii="宋体" w:hAnsi="宋体"/>
          <w:b/>
          <w:color w:val="000000"/>
          <w:sz w:val="24"/>
        </w:rPr>
        <w:t>□</w:t>
      </w:r>
      <w:r>
        <w:rPr>
          <w:rFonts w:hint="eastAsia"/>
          <w:b/>
          <w:color w:val="000000"/>
          <w:sz w:val="24"/>
        </w:rPr>
        <w:t xml:space="preserve">一线带班辅导员      </w:t>
      </w:r>
      <w:r>
        <w:rPr>
          <w:rFonts w:hint="eastAsia" w:ascii="宋体" w:hAnsi="宋体"/>
          <w:b/>
          <w:color w:val="000000"/>
          <w:sz w:val="24"/>
        </w:rPr>
        <w:t xml:space="preserve">□分团委书记      □学生专干  </w:t>
      </w:r>
    </w:p>
    <w:p>
      <w:pPr>
        <w:pageBreakBefore w:val="0"/>
        <w:kinsoku/>
        <w:wordWrap/>
        <w:overflowPunct/>
        <w:topLinePunct w:val="0"/>
        <w:autoSpaceDE/>
        <w:autoSpaceDN/>
        <w:bidi w:val="0"/>
        <w:spacing w:line="360" w:lineRule="auto"/>
        <w:jc w:val="left"/>
        <w:outlineLvl w:val="9"/>
        <w:rPr>
          <w:b/>
          <w:color w:val="000000"/>
          <w:sz w:val="24"/>
        </w:rPr>
      </w:pPr>
      <w:r>
        <w:rPr>
          <w:rFonts w:hint="eastAsia"/>
          <w:b/>
          <w:color w:val="000000"/>
          <w:sz w:val="24"/>
        </w:rPr>
        <w:t>部门名称：                  姓名：                  年度：</w:t>
      </w:r>
    </w:p>
    <w:tbl>
      <w:tblPr>
        <w:tblStyle w:val="17"/>
        <w:tblW w:w="9330" w:type="dxa"/>
        <w:jc w:val="center"/>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248"/>
        <w:gridCol w:w="2412"/>
        <w:gridCol w:w="500"/>
        <w:gridCol w:w="278"/>
        <w:gridCol w:w="791"/>
        <w:gridCol w:w="518"/>
        <w:gridCol w:w="142"/>
        <w:gridCol w:w="567"/>
        <w:gridCol w:w="564"/>
        <w:gridCol w:w="388"/>
        <w:gridCol w:w="795"/>
        <w:gridCol w:w="1127"/>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78" w:hRule="atLeast"/>
          <w:jc w:val="center"/>
        </w:trPr>
        <w:tc>
          <w:tcPr>
            <w:tcW w:w="1248" w:type="dxa"/>
            <w:tcBorders>
              <w:top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评估项目</w:t>
            </w:r>
          </w:p>
        </w:tc>
        <w:tc>
          <w:tcPr>
            <w:tcW w:w="2412" w:type="dxa"/>
            <w:tcBorders>
              <w:top w:val="single" w:color="000000" w:sz="18" w:space="0"/>
              <w:righ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年度评估项目及指标</w:t>
            </w:r>
          </w:p>
        </w:tc>
        <w:tc>
          <w:tcPr>
            <w:tcW w:w="778" w:type="dxa"/>
            <w:gridSpan w:val="2"/>
            <w:tcBorders>
              <w:top w:val="single" w:color="000000" w:sz="18" w:space="0"/>
              <w:lef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pacing w:val="-16"/>
                <w:sz w:val="21"/>
                <w:szCs w:val="21"/>
              </w:rPr>
            </w:pPr>
            <w:r>
              <w:rPr>
                <w:rFonts w:hint="eastAsia" w:ascii="仿宋_GB2312" w:eastAsia="仿宋_GB2312"/>
                <w:b/>
                <w:color w:val="000000"/>
                <w:spacing w:val="-16"/>
                <w:sz w:val="21"/>
                <w:szCs w:val="21"/>
              </w:rPr>
              <w:t>权重</w:t>
            </w:r>
          </w:p>
        </w:tc>
        <w:tc>
          <w:tcPr>
            <w:tcW w:w="1309" w:type="dxa"/>
            <w:gridSpan w:val="2"/>
            <w:tcBorders>
              <w:top w:val="single" w:color="000000" w:sz="18" w:space="0"/>
              <w:lef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目标值</w:t>
            </w:r>
          </w:p>
        </w:tc>
        <w:tc>
          <w:tcPr>
            <w:tcW w:w="709" w:type="dxa"/>
            <w:gridSpan w:val="2"/>
            <w:tcBorders>
              <w:top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自评值</w:t>
            </w:r>
          </w:p>
        </w:tc>
        <w:tc>
          <w:tcPr>
            <w:tcW w:w="952" w:type="dxa"/>
            <w:gridSpan w:val="2"/>
            <w:tcBorders>
              <w:top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核定值</w:t>
            </w:r>
          </w:p>
        </w:tc>
        <w:tc>
          <w:tcPr>
            <w:tcW w:w="795" w:type="dxa"/>
            <w:tcBorders>
              <w:top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得</w:t>
            </w:r>
          </w:p>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分</w:t>
            </w:r>
          </w:p>
        </w:tc>
        <w:tc>
          <w:tcPr>
            <w:tcW w:w="1127" w:type="dxa"/>
            <w:tcBorders>
              <w:top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数据核定人签字</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9" w:hRule="atLeast"/>
          <w:jc w:val="center"/>
        </w:trPr>
        <w:tc>
          <w:tcPr>
            <w:tcW w:w="1248" w:type="dxa"/>
            <w:vMerge w:val="restart"/>
            <w:tcBorders>
              <w:top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个人关键绩效KPI（100分）（5-8项）</w:t>
            </w:r>
          </w:p>
        </w:tc>
        <w:tc>
          <w:tcPr>
            <w:tcW w:w="2412" w:type="dxa"/>
            <w:tcBorders>
              <w:top w:val="single" w:color="000000" w:sz="2" w:space="0"/>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1.</w:t>
            </w:r>
          </w:p>
        </w:tc>
        <w:tc>
          <w:tcPr>
            <w:tcW w:w="778"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8" w:hRule="atLeast"/>
          <w:jc w:val="center"/>
        </w:trPr>
        <w:tc>
          <w:tcPr>
            <w:tcW w:w="1248" w:type="dxa"/>
            <w:vMerge w:val="continue"/>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p>
        </w:tc>
        <w:tc>
          <w:tcPr>
            <w:tcW w:w="2412" w:type="dxa"/>
            <w:tcBorders>
              <w:top w:val="single" w:color="000000" w:sz="2" w:space="0"/>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2</w:t>
            </w:r>
          </w:p>
        </w:tc>
        <w:tc>
          <w:tcPr>
            <w:tcW w:w="778"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2" w:hRule="atLeast"/>
          <w:jc w:val="center"/>
        </w:trPr>
        <w:tc>
          <w:tcPr>
            <w:tcW w:w="1248" w:type="dxa"/>
            <w:vMerge w:val="continue"/>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p>
        </w:tc>
        <w:tc>
          <w:tcPr>
            <w:tcW w:w="2412" w:type="dxa"/>
            <w:tcBorders>
              <w:top w:val="single" w:color="000000" w:sz="2" w:space="0"/>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3</w:t>
            </w:r>
          </w:p>
        </w:tc>
        <w:tc>
          <w:tcPr>
            <w:tcW w:w="778"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p>
        </w:tc>
        <w:tc>
          <w:tcPr>
            <w:tcW w:w="1309" w:type="dxa"/>
            <w:gridSpan w:val="2"/>
            <w:tcBorders>
              <w:top w:val="single" w:color="000000" w:sz="2" w:space="0"/>
              <w:left w:val="single" w:color="000000" w:sz="2" w:space="0"/>
              <w:bottom w:val="single" w:color="000000" w:sz="2" w:space="0"/>
            </w:tcBorders>
            <w:vAlign w:val="center"/>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Borders>
              <w:top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restart"/>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个人重点、专项工作、创新（100分）    （3-5项）</w:t>
            </w:r>
          </w:p>
        </w:tc>
        <w:tc>
          <w:tcPr>
            <w:tcW w:w="2412" w:type="dxa"/>
            <w:tcBorders>
              <w:righ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pacing w:val="-16"/>
                <w:sz w:val="21"/>
                <w:szCs w:val="21"/>
              </w:rPr>
              <w:t>工作名称</w:t>
            </w:r>
          </w:p>
        </w:tc>
        <w:tc>
          <w:tcPr>
            <w:tcW w:w="778" w:type="dxa"/>
            <w:gridSpan w:val="2"/>
            <w:tcBorders>
              <w:top w:val="single" w:color="000000" w:sz="2" w:space="0"/>
              <w:lef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pacing w:val="-16"/>
                <w:sz w:val="21"/>
                <w:szCs w:val="21"/>
              </w:rPr>
              <w:t>权重</w:t>
            </w:r>
          </w:p>
        </w:tc>
        <w:tc>
          <w:tcPr>
            <w:tcW w:w="1309" w:type="dxa"/>
            <w:gridSpan w:val="2"/>
            <w:tcBorders>
              <w:top w:val="single" w:color="000000" w:sz="2" w:space="0"/>
              <w:left w:val="single" w:color="000000" w:sz="2"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目标值</w:t>
            </w:r>
          </w:p>
        </w:tc>
        <w:tc>
          <w:tcPr>
            <w:tcW w:w="709" w:type="dxa"/>
            <w:gridSpan w:val="2"/>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完成</w:t>
            </w:r>
          </w:p>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标准</w:t>
            </w:r>
          </w:p>
        </w:tc>
        <w:tc>
          <w:tcPr>
            <w:tcW w:w="952" w:type="dxa"/>
            <w:gridSpan w:val="2"/>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实际完成情况</w:t>
            </w:r>
          </w:p>
        </w:tc>
        <w:tc>
          <w:tcPr>
            <w:tcW w:w="795" w:type="dxa"/>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得分</w:t>
            </w:r>
          </w:p>
        </w:tc>
        <w:tc>
          <w:tcPr>
            <w:tcW w:w="1127" w:type="dxa"/>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eastAsia="仿宋_GB2312"/>
                <w:b/>
                <w:color w:val="000000"/>
                <w:sz w:val="21"/>
                <w:szCs w:val="21"/>
              </w:rPr>
              <w:t>核定人</w:t>
            </w:r>
          </w:p>
          <w:p>
            <w:pPr>
              <w:pageBreakBefore w:val="0"/>
              <w:kinsoku/>
              <w:wordWrap/>
              <w:overflowPunct/>
              <w:topLinePunct w:val="0"/>
              <w:autoSpaceDE/>
              <w:autoSpaceDN/>
              <w:bidi w:val="0"/>
              <w:spacing w:line="300" w:lineRule="exact"/>
              <w:jc w:val="center"/>
              <w:outlineLvl w:val="9"/>
              <w:rPr>
                <w:rFonts w:ascii="仿宋_GB2312" w:eastAsia="仿宋_GB2312"/>
                <w:color w:val="000000"/>
                <w:sz w:val="21"/>
                <w:szCs w:val="21"/>
              </w:rPr>
            </w:pPr>
            <w:r>
              <w:rPr>
                <w:rFonts w:hint="eastAsia" w:ascii="仿宋_GB2312" w:eastAsia="仿宋_GB2312"/>
                <w:b/>
                <w:color w:val="000000"/>
                <w:sz w:val="21"/>
                <w:szCs w:val="21"/>
              </w:rPr>
              <w:t>签字</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1.</w:t>
            </w:r>
          </w:p>
        </w:tc>
        <w:tc>
          <w:tcPr>
            <w:tcW w:w="778"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2</w:t>
            </w:r>
          </w:p>
        </w:tc>
        <w:tc>
          <w:tcPr>
            <w:tcW w:w="778"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35" w:hRule="atLeast"/>
          <w:jc w:val="center"/>
        </w:trPr>
        <w:tc>
          <w:tcPr>
            <w:tcW w:w="1248" w:type="dxa"/>
            <w:vMerge w:val="continue"/>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p>
        </w:tc>
        <w:tc>
          <w:tcPr>
            <w:tcW w:w="2412" w:type="dxa"/>
            <w:tcBorders>
              <w:right w:val="single" w:color="000000" w:sz="2" w:space="0"/>
            </w:tcBorders>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3</w:t>
            </w:r>
          </w:p>
        </w:tc>
        <w:tc>
          <w:tcPr>
            <w:tcW w:w="778"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309" w:type="dxa"/>
            <w:gridSpan w:val="2"/>
            <w:tcBorders>
              <w:top w:val="single" w:color="000000" w:sz="2" w:space="0"/>
              <w:left w:val="single" w:color="000000" w:sz="2" w:space="0"/>
            </w:tcBorders>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09"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952" w:type="dxa"/>
            <w:gridSpan w:val="2"/>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795"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c>
          <w:tcPr>
            <w:tcW w:w="1127" w:type="dxa"/>
          </w:tcPr>
          <w:p>
            <w:pPr>
              <w:pageBreakBefore w:val="0"/>
              <w:kinsoku/>
              <w:wordWrap/>
              <w:overflowPunct/>
              <w:topLinePunct w:val="0"/>
              <w:autoSpaceDE/>
              <w:autoSpaceDN/>
              <w:bidi w:val="0"/>
              <w:spacing w:line="300" w:lineRule="exact"/>
              <w:outlineLvl w:val="9"/>
              <w:rPr>
                <w:rFonts w:ascii="仿宋_GB2312" w:eastAsia="仿宋_GB2312"/>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130" w:hRule="atLeast"/>
          <w:jc w:val="center"/>
        </w:trPr>
        <w:tc>
          <w:tcPr>
            <w:tcW w:w="1248" w:type="dxa"/>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1"/>
                <w:szCs w:val="21"/>
              </w:rPr>
            </w:pPr>
            <w:r>
              <w:rPr>
                <w:rFonts w:hint="eastAsia" w:ascii="仿宋_GB2312" w:hAnsi="宋体" w:eastAsia="仿宋_GB2312"/>
                <w:b/>
                <w:color w:val="000000"/>
                <w:sz w:val="21"/>
                <w:szCs w:val="21"/>
              </w:rPr>
              <w:t>部门绩效</w:t>
            </w:r>
            <w:r>
              <w:rPr>
                <w:rFonts w:hint="eastAsia" w:ascii="仿宋_GB2312" w:eastAsia="仿宋_GB2312"/>
                <w:b/>
                <w:color w:val="000000"/>
                <w:sz w:val="21"/>
                <w:szCs w:val="21"/>
              </w:rPr>
              <w:t>评估</w:t>
            </w:r>
            <w:r>
              <w:rPr>
                <w:rFonts w:hint="eastAsia" w:ascii="仿宋_GB2312" w:hAnsi="宋体" w:eastAsia="仿宋_GB2312"/>
                <w:b/>
                <w:color w:val="000000"/>
                <w:sz w:val="21"/>
                <w:szCs w:val="21"/>
              </w:rPr>
              <w:t>分值(100分)</w:t>
            </w:r>
          </w:p>
        </w:tc>
        <w:tc>
          <w:tcPr>
            <w:tcW w:w="8082" w:type="dxa"/>
            <w:gridSpan w:val="11"/>
            <w:vAlign w:val="center"/>
          </w:tcPr>
          <w:p>
            <w:pPr>
              <w:pageBreakBefore w:val="0"/>
              <w:kinsoku/>
              <w:wordWrap/>
              <w:overflowPunct/>
              <w:topLinePunct w:val="0"/>
              <w:autoSpaceDE/>
              <w:autoSpaceDN/>
              <w:bidi w:val="0"/>
              <w:spacing w:line="300" w:lineRule="exact"/>
              <w:jc w:val="left"/>
              <w:outlineLvl w:val="9"/>
              <w:rPr>
                <w:rFonts w:ascii="仿宋_GB2312" w:eastAsia="仿宋_GB2312"/>
                <w:color w:val="000000"/>
                <w:sz w:val="21"/>
                <w:szCs w:val="21"/>
              </w:rPr>
            </w:pPr>
            <w:r>
              <w:rPr>
                <w:rFonts w:hint="eastAsia" w:ascii="仿宋_GB2312" w:eastAsia="仿宋_GB2312"/>
                <w:color w:val="000000"/>
                <w:sz w:val="21"/>
                <w:szCs w:val="21"/>
              </w:rPr>
              <w:t>部门绩效评估分值*15%</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966" w:hRule="atLeast"/>
          <w:jc w:val="center"/>
        </w:trPr>
        <w:tc>
          <w:tcPr>
            <w:tcW w:w="1248" w:type="dxa"/>
            <w:vAlign w:val="center"/>
          </w:tcPr>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部门评价分值</w:t>
            </w:r>
          </w:p>
          <w:p>
            <w:pPr>
              <w:pageBreakBefore w:val="0"/>
              <w:kinsoku/>
              <w:wordWrap/>
              <w:overflowPunct/>
              <w:topLinePunct w:val="0"/>
              <w:autoSpaceDE/>
              <w:autoSpaceDN/>
              <w:bidi w:val="0"/>
              <w:spacing w:line="300" w:lineRule="exact"/>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(100分)</w:t>
            </w:r>
          </w:p>
        </w:tc>
        <w:tc>
          <w:tcPr>
            <w:tcW w:w="8082" w:type="dxa"/>
            <w:gridSpan w:val="11"/>
            <w:vAlign w:val="center"/>
          </w:tcPr>
          <w:p>
            <w:pPr>
              <w:pageBreakBefore w:val="0"/>
              <w:kinsoku/>
              <w:wordWrap/>
              <w:overflowPunct/>
              <w:topLinePunct w:val="0"/>
              <w:autoSpaceDE/>
              <w:autoSpaceDN/>
              <w:bidi w:val="0"/>
              <w:spacing w:line="300" w:lineRule="exact"/>
              <w:jc w:val="left"/>
              <w:outlineLvl w:val="9"/>
              <w:rPr>
                <w:rFonts w:ascii="仿宋_GB2312" w:eastAsia="仿宋_GB2312"/>
                <w:i/>
                <w:color w:val="000000"/>
                <w:sz w:val="21"/>
                <w:szCs w:val="21"/>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71" w:hRule="atLeast"/>
          <w:jc w:val="center"/>
        </w:trPr>
        <w:tc>
          <w:tcPr>
            <w:tcW w:w="1248" w:type="dxa"/>
            <w:vAlign w:val="center"/>
          </w:tcPr>
          <w:p>
            <w:pPr>
              <w:pageBreakBefore w:val="0"/>
              <w:kinsoku/>
              <w:wordWrap/>
              <w:overflowPunct/>
              <w:topLinePunct w:val="0"/>
              <w:autoSpaceDE/>
              <w:autoSpaceDN/>
              <w:bidi w:val="0"/>
              <w:jc w:val="center"/>
              <w:outlineLvl w:val="9"/>
              <w:rPr>
                <w:rFonts w:ascii="仿宋_GB2312" w:hAnsi="宋体" w:eastAsia="仿宋_GB2312"/>
                <w:b/>
                <w:color w:val="000000"/>
                <w:sz w:val="21"/>
                <w:szCs w:val="21"/>
              </w:rPr>
            </w:pPr>
            <w:r>
              <w:rPr>
                <w:rFonts w:hint="eastAsia" w:ascii="仿宋_GB2312" w:hAnsi="宋体" w:eastAsia="仿宋_GB2312"/>
                <w:b/>
                <w:color w:val="000000"/>
                <w:sz w:val="21"/>
                <w:szCs w:val="21"/>
              </w:rPr>
              <w:t>扣分项</w:t>
            </w:r>
          </w:p>
        </w:tc>
        <w:tc>
          <w:tcPr>
            <w:tcW w:w="8082" w:type="dxa"/>
            <w:gridSpan w:val="11"/>
            <w:tcBorders>
              <w:top w:val="single" w:color="000000" w:sz="2" w:space="0"/>
              <w:bottom w:val="single" w:color="000000" w:sz="2" w:space="0"/>
            </w:tcBorders>
            <w:vAlign w:val="center"/>
          </w:tcPr>
          <w:p>
            <w:pPr>
              <w:pageBreakBefore w:val="0"/>
              <w:kinsoku/>
              <w:wordWrap/>
              <w:overflowPunct/>
              <w:topLinePunct w:val="0"/>
              <w:autoSpaceDE/>
              <w:autoSpaceDN/>
              <w:bidi w:val="0"/>
              <w:outlineLvl w:val="9"/>
              <w:rPr>
                <w:rFonts w:ascii="仿宋_GB2312" w:eastAsia="仿宋_GB2312"/>
                <w:color w:val="000000"/>
                <w:sz w:val="21"/>
                <w:szCs w:val="21"/>
              </w:rPr>
            </w:pPr>
            <w:r>
              <w:rPr>
                <w:rFonts w:hint="eastAsia" w:ascii="仿宋_GB2312" w:hAnsi="宋体" w:eastAsia="仿宋_GB2312"/>
                <w:i/>
                <w:color w:val="000000"/>
                <w:sz w:val="21"/>
                <w:szCs w:val="21"/>
              </w:rPr>
              <w:t>事故内容、扣分分值</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06" w:hRule="atLeast"/>
          <w:jc w:val="center"/>
        </w:trPr>
        <w:tc>
          <w:tcPr>
            <w:tcW w:w="1248" w:type="dxa"/>
            <w:vAlign w:val="center"/>
          </w:tcPr>
          <w:p>
            <w:pPr>
              <w:pageBreakBefore w:val="0"/>
              <w:kinsoku/>
              <w:wordWrap/>
              <w:overflowPunct/>
              <w:topLinePunct w:val="0"/>
              <w:autoSpaceDE/>
              <w:autoSpaceDN/>
              <w:bidi w:val="0"/>
              <w:spacing w:line="300" w:lineRule="exact"/>
              <w:jc w:val="center"/>
              <w:outlineLvl w:val="9"/>
              <w:rPr>
                <w:rFonts w:ascii="仿宋_GB2312" w:eastAsia="仿宋_GB2312"/>
                <w:color w:val="000000"/>
              </w:rPr>
            </w:pPr>
            <w:r>
              <w:rPr>
                <w:rFonts w:hint="eastAsia" w:ascii="仿宋_GB2312" w:eastAsia="仿宋_GB2312"/>
                <w:b/>
                <w:color w:val="000000"/>
                <w:sz w:val="24"/>
              </w:rPr>
              <w:t>总分</w:t>
            </w:r>
          </w:p>
        </w:tc>
        <w:tc>
          <w:tcPr>
            <w:tcW w:w="2912" w:type="dxa"/>
            <w:gridSpan w:val="2"/>
            <w:tcBorders>
              <w:top w:val="single" w:color="000000" w:sz="2" w:space="0"/>
              <w:bottom w:val="single" w:color="000000" w:sz="2" w:space="0"/>
              <w:right w:val="single" w:color="auto" w:sz="4" w:space="0"/>
            </w:tcBorders>
            <w:vAlign w:val="center"/>
          </w:tcPr>
          <w:p>
            <w:pPr>
              <w:pStyle w:val="21"/>
              <w:pageBreakBefore w:val="0"/>
              <w:kinsoku/>
              <w:wordWrap/>
              <w:overflowPunct/>
              <w:topLinePunct w:val="0"/>
              <w:autoSpaceDE/>
              <w:autoSpaceDN/>
              <w:bidi w:val="0"/>
              <w:spacing w:line="300" w:lineRule="exact"/>
              <w:outlineLvl w:val="9"/>
              <w:rPr>
                <w:rFonts w:ascii="仿宋_GB2312" w:hAnsi="Calibri" w:eastAsia="仿宋_GB2312"/>
                <w:color w:val="000000"/>
              </w:rPr>
            </w:pPr>
            <w:r>
              <w:rPr>
                <w:rFonts w:hint="eastAsia" w:ascii="仿宋_GB2312" w:hAnsi="Calibri" w:eastAsia="仿宋_GB2312"/>
                <w:color w:val="000000"/>
              </w:rPr>
              <w:t>关键绩效指标（KPI）分值*50%+重点/专项/创新工作绩效分值*25%+部门绩效评估分值*15%+部门评价分值*10%—扣分分值</w:t>
            </w:r>
          </w:p>
        </w:tc>
        <w:tc>
          <w:tcPr>
            <w:tcW w:w="1069" w:type="dxa"/>
            <w:gridSpan w:val="2"/>
            <w:tcBorders>
              <w:top w:val="single" w:color="000000" w:sz="2" w:space="0"/>
              <w:bottom w:val="single" w:color="000000" w:sz="2" w:space="0"/>
              <w:right w:val="single" w:color="auto" w:sz="4" w:space="0"/>
            </w:tcBorders>
            <w:vAlign w:val="center"/>
          </w:tcPr>
          <w:p>
            <w:pPr>
              <w:pageBreakBefore w:val="0"/>
              <w:kinsoku/>
              <w:wordWrap/>
              <w:overflowPunct/>
              <w:topLinePunct w:val="0"/>
              <w:autoSpaceDE/>
              <w:autoSpaceDN/>
              <w:bidi w:val="0"/>
              <w:snapToGrid w:val="0"/>
              <w:spacing w:line="300" w:lineRule="exact"/>
              <w:jc w:val="center"/>
              <w:outlineLvl w:val="9"/>
              <w:rPr>
                <w:rFonts w:ascii="仿宋_GB2312" w:eastAsia="仿宋_GB2312"/>
                <w:color w:val="000000"/>
              </w:rPr>
            </w:pPr>
            <w:r>
              <w:rPr>
                <w:rFonts w:hint="eastAsia" w:ascii="仿宋_GB2312" w:hAnsi="宋体" w:eastAsia="仿宋_GB2312"/>
                <w:b/>
                <w:color w:val="000000"/>
                <w:sz w:val="24"/>
              </w:rPr>
              <w:t>部门分配绩效等级</w:t>
            </w:r>
          </w:p>
        </w:tc>
        <w:tc>
          <w:tcPr>
            <w:tcW w:w="660" w:type="dxa"/>
            <w:gridSpan w:val="2"/>
            <w:tcBorders>
              <w:top w:val="single" w:color="000000" w:sz="2" w:space="0"/>
              <w:bottom w:val="single" w:color="000000" w:sz="2" w:space="0"/>
            </w:tcBorders>
            <w:vAlign w:val="center"/>
          </w:tcPr>
          <w:p>
            <w:pPr>
              <w:pageBreakBefore w:val="0"/>
              <w:kinsoku/>
              <w:wordWrap/>
              <w:overflowPunct/>
              <w:topLinePunct w:val="0"/>
              <w:autoSpaceDE/>
              <w:autoSpaceDN/>
              <w:bidi w:val="0"/>
              <w:snapToGrid w:val="0"/>
              <w:spacing w:line="300" w:lineRule="exact"/>
              <w:jc w:val="left"/>
              <w:outlineLvl w:val="9"/>
              <w:rPr>
                <w:rFonts w:ascii="仿宋_GB2312" w:hAnsi="宋体" w:eastAsia="仿宋_GB2312"/>
                <w:color w:val="000000"/>
                <w:sz w:val="24"/>
              </w:rPr>
            </w:pPr>
            <w:r>
              <w:rPr>
                <w:rFonts w:hint="eastAsia" w:ascii="仿宋_GB2312" w:hAnsi="宋体" w:eastAsia="仿宋_GB2312"/>
                <w:color w:val="000000"/>
                <w:sz w:val="24"/>
              </w:rPr>
              <w:t>□A  □B</w:t>
            </w:r>
          </w:p>
          <w:p>
            <w:pPr>
              <w:pageBreakBefore w:val="0"/>
              <w:kinsoku/>
              <w:wordWrap/>
              <w:overflowPunct/>
              <w:topLinePunct w:val="0"/>
              <w:autoSpaceDE/>
              <w:autoSpaceDN/>
              <w:bidi w:val="0"/>
              <w:snapToGrid w:val="0"/>
              <w:spacing w:line="300" w:lineRule="exact"/>
              <w:jc w:val="left"/>
              <w:outlineLvl w:val="9"/>
              <w:rPr>
                <w:rFonts w:ascii="仿宋_GB2312" w:hAnsi="宋体" w:eastAsia="仿宋_GB2312"/>
                <w:color w:val="000000"/>
                <w:sz w:val="24"/>
              </w:rPr>
            </w:pPr>
            <w:r>
              <w:rPr>
                <w:rFonts w:hint="eastAsia" w:ascii="仿宋_GB2312" w:hAnsi="宋体" w:eastAsia="仿宋_GB2312"/>
                <w:color w:val="000000"/>
                <w:sz w:val="24"/>
              </w:rPr>
              <w:t>□C  □D</w:t>
            </w:r>
          </w:p>
          <w:p>
            <w:pPr>
              <w:pageBreakBefore w:val="0"/>
              <w:kinsoku/>
              <w:wordWrap/>
              <w:overflowPunct/>
              <w:topLinePunct w:val="0"/>
              <w:autoSpaceDE/>
              <w:autoSpaceDN/>
              <w:bidi w:val="0"/>
              <w:snapToGrid w:val="0"/>
              <w:spacing w:line="300" w:lineRule="exact"/>
              <w:jc w:val="left"/>
              <w:outlineLvl w:val="9"/>
              <w:rPr>
                <w:rFonts w:ascii="仿宋_GB2312" w:eastAsia="仿宋_GB2312"/>
                <w:color w:val="000000"/>
              </w:rPr>
            </w:pPr>
            <w:r>
              <w:rPr>
                <w:rFonts w:hint="eastAsia" w:ascii="仿宋_GB2312" w:hAnsi="宋体" w:eastAsia="仿宋_GB2312"/>
                <w:color w:val="000000"/>
                <w:sz w:val="24"/>
              </w:rPr>
              <w:t>□E</w:t>
            </w:r>
          </w:p>
        </w:tc>
        <w:tc>
          <w:tcPr>
            <w:tcW w:w="1131" w:type="dxa"/>
            <w:gridSpan w:val="2"/>
            <w:tcBorders>
              <w:left w:val="single" w:color="auto" w:sz="4" w:space="0"/>
            </w:tcBorders>
            <w:vAlign w:val="center"/>
          </w:tcPr>
          <w:p>
            <w:pPr>
              <w:pageBreakBefore w:val="0"/>
              <w:kinsoku/>
              <w:wordWrap/>
              <w:overflowPunct/>
              <w:topLinePunct w:val="0"/>
              <w:autoSpaceDE/>
              <w:autoSpaceDN/>
              <w:bidi w:val="0"/>
              <w:spacing w:line="300" w:lineRule="exact"/>
              <w:jc w:val="left"/>
              <w:outlineLvl w:val="9"/>
              <w:rPr>
                <w:rFonts w:ascii="仿宋_GB2312" w:eastAsia="仿宋_GB2312"/>
                <w:color w:val="000000"/>
              </w:rPr>
            </w:pPr>
            <w:r>
              <w:rPr>
                <w:rFonts w:hint="eastAsia" w:ascii="仿宋_GB2312" w:hAnsi="宋体" w:eastAsia="仿宋_GB2312"/>
                <w:b/>
                <w:color w:val="000000"/>
                <w:sz w:val="24"/>
              </w:rPr>
              <w:t>党总支部书记（或副书记）审定签字</w:t>
            </w:r>
          </w:p>
        </w:tc>
        <w:tc>
          <w:tcPr>
            <w:tcW w:w="2310" w:type="dxa"/>
            <w:gridSpan w:val="3"/>
            <w:tcBorders>
              <w:left w:val="single" w:color="auto" w:sz="4" w:space="0"/>
            </w:tcBorders>
          </w:tcPr>
          <w:p>
            <w:pPr>
              <w:pageBreakBefore w:val="0"/>
              <w:kinsoku/>
              <w:wordWrap/>
              <w:overflowPunct/>
              <w:topLinePunct w:val="0"/>
              <w:autoSpaceDE/>
              <w:autoSpaceDN/>
              <w:bidi w:val="0"/>
              <w:spacing w:line="300" w:lineRule="exact"/>
              <w:outlineLvl w:val="9"/>
              <w:rPr>
                <w:rFonts w:ascii="仿宋_GB2312" w:eastAsia="仿宋_GB2312"/>
                <w:color w:val="000000"/>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82" w:hRule="atLeast"/>
          <w:jc w:val="center"/>
        </w:trPr>
        <w:tc>
          <w:tcPr>
            <w:tcW w:w="1248" w:type="dxa"/>
            <w:tcBorders>
              <w:bottom w:val="single" w:color="000000" w:sz="18" w:space="0"/>
            </w:tcBorders>
            <w:vAlign w:val="center"/>
          </w:tcPr>
          <w:p>
            <w:pPr>
              <w:pageBreakBefore w:val="0"/>
              <w:kinsoku/>
              <w:wordWrap/>
              <w:overflowPunct/>
              <w:topLinePunct w:val="0"/>
              <w:autoSpaceDE/>
              <w:autoSpaceDN/>
              <w:bidi w:val="0"/>
              <w:spacing w:line="300" w:lineRule="exact"/>
              <w:jc w:val="center"/>
              <w:outlineLvl w:val="9"/>
              <w:rPr>
                <w:rFonts w:ascii="仿宋_GB2312" w:eastAsia="仿宋_GB2312"/>
                <w:b/>
                <w:color w:val="000000"/>
                <w:sz w:val="24"/>
              </w:rPr>
            </w:pPr>
            <w:r>
              <w:rPr>
                <w:rFonts w:hint="eastAsia" w:ascii="仿宋_GB2312" w:eastAsia="仿宋_GB2312"/>
                <w:b/>
                <w:color w:val="000000"/>
                <w:sz w:val="24"/>
              </w:rPr>
              <w:t>学生工作处确认</w:t>
            </w:r>
          </w:p>
        </w:tc>
        <w:tc>
          <w:tcPr>
            <w:tcW w:w="8082" w:type="dxa"/>
            <w:gridSpan w:val="11"/>
            <w:tcBorders>
              <w:bottom w:val="single" w:color="000000" w:sz="18" w:space="0"/>
            </w:tcBorders>
          </w:tcPr>
          <w:p>
            <w:pPr>
              <w:pStyle w:val="21"/>
              <w:pageBreakBefore w:val="0"/>
              <w:kinsoku/>
              <w:wordWrap/>
              <w:overflowPunct/>
              <w:topLinePunct w:val="0"/>
              <w:autoSpaceDE/>
              <w:autoSpaceDN/>
              <w:bidi w:val="0"/>
              <w:spacing w:line="300" w:lineRule="exact"/>
              <w:outlineLvl w:val="9"/>
              <w:rPr>
                <w:rFonts w:ascii="仿宋_GB2312" w:eastAsia="仿宋_GB2312"/>
                <w:color w:val="000000"/>
              </w:rPr>
            </w:pPr>
          </w:p>
        </w:tc>
      </w:tr>
    </w:tbl>
    <w:p>
      <w:pPr>
        <w:pageBreakBefore w:val="0"/>
        <w:kinsoku/>
        <w:wordWrap/>
        <w:overflowPunct/>
        <w:topLinePunct w:val="0"/>
        <w:autoSpaceDE/>
        <w:autoSpaceDN/>
        <w:bidi w:val="0"/>
        <w:jc w:val="left"/>
        <w:outlineLvl w:val="9"/>
        <w:rPr>
          <w:rFonts w:eastAsia="仿宋_GB2312"/>
          <w:color w:val="000000"/>
          <w:sz w:val="24"/>
        </w:rPr>
      </w:pPr>
      <w:r>
        <w:rPr>
          <w:rFonts w:hint="eastAsia" w:eastAsia="仿宋_GB2312"/>
          <w:color w:val="000000"/>
          <w:sz w:val="24"/>
        </w:rPr>
        <w:t>（注：个人关键绩效指标每项指标权重不超过20%，个人重点、专项工作、创新工作指标每项不超过35%。）</w:t>
      </w:r>
    </w:p>
    <w:p>
      <w:pPr>
        <w:pageBreakBefore w:val="0"/>
        <w:kinsoku/>
        <w:wordWrap/>
        <w:overflowPunct/>
        <w:topLinePunct w:val="0"/>
        <w:autoSpaceDE/>
        <w:autoSpaceDN/>
        <w:bidi w:val="0"/>
        <w:spacing w:line="580" w:lineRule="exact"/>
        <w:outlineLvl w:val="9"/>
        <w:rPr>
          <w:rFonts w:ascii="仿宋_GB2312" w:hAnsi="仿宋_GB2312" w:eastAsia="仿宋_GB2312" w:cs="仿宋_GB2312"/>
          <w:color w:val="000000"/>
          <w:kern w:val="0"/>
          <w:sz w:val="32"/>
          <w:szCs w:val="32"/>
        </w:rPr>
        <w:sectPr>
          <w:headerReference r:id="rId16" w:type="default"/>
          <w:headerReference r:id="rId17" w:type="even"/>
          <w:pgSz w:w="11907" w:h="16840"/>
          <w:pgMar w:top="2098" w:right="1474" w:bottom="1985" w:left="1588" w:header="851" w:footer="1559" w:gutter="0"/>
          <w:pgNumType w:fmt="decimal"/>
          <w:cols w:space="720" w:num="1"/>
          <w:docGrid w:type="lines" w:linePitch="398" w:charSpace="-1216"/>
        </w:sectPr>
      </w:pPr>
    </w:p>
    <w:p>
      <w:pPr>
        <w:pageBreakBefore w:val="0"/>
        <w:widowControl/>
        <w:kinsoku/>
        <w:wordWrap/>
        <w:overflowPunct/>
        <w:topLinePunct w:val="0"/>
        <w:autoSpaceDE/>
        <w:autoSpaceDN/>
        <w:bidi w:val="0"/>
        <w:jc w:val="left"/>
        <w:outlineLvl w:val="9"/>
        <w:rPr>
          <w:rFonts w:hint="eastAsia" w:ascii="黑体" w:eastAsia="黑体"/>
          <w:sz w:val="32"/>
          <w:szCs w:val="32"/>
        </w:rPr>
      </w:pPr>
      <w:r>
        <w:rPr>
          <w:rFonts w:hint="eastAsia" w:ascii="黑体" w:eastAsia="黑体"/>
          <w:sz w:val="32"/>
          <w:szCs w:val="32"/>
        </w:rPr>
        <w:t>附表2：</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专职辅导员关键绩效考核项目和指标库</w:t>
      </w:r>
    </w:p>
    <w:tbl>
      <w:tblPr>
        <w:tblStyle w:val="17"/>
        <w:tblpPr w:leftFromText="180" w:rightFromText="180" w:vertAnchor="page" w:horzAnchor="page" w:tblpX="1701" w:tblpY="3415"/>
        <w:tblW w:w="13338" w:type="dxa"/>
        <w:tblInd w:w="0" w:type="dxa"/>
        <w:tblLayout w:type="fixed"/>
        <w:tblCellMar>
          <w:top w:w="28" w:type="dxa"/>
          <w:left w:w="108" w:type="dxa"/>
          <w:bottom w:w="28" w:type="dxa"/>
          <w:right w:w="108" w:type="dxa"/>
        </w:tblCellMar>
      </w:tblPr>
      <w:tblGrid>
        <w:gridCol w:w="519"/>
        <w:gridCol w:w="1010"/>
        <w:gridCol w:w="431"/>
        <w:gridCol w:w="2019"/>
        <w:gridCol w:w="780"/>
        <w:gridCol w:w="779"/>
        <w:gridCol w:w="4820"/>
        <w:gridCol w:w="709"/>
        <w:gridCol w:w="1131"/>
        <w:gridCol w:w="1140"/>
      </w:tblGrid>
      <w:tr>
        <w:tblPrEx>
          <w:tblLayout w:type="fixed"/>
          <w:tblCellMar>
            <w:top w:w="28" w:type="dxa"/>
            <w:left w:w="108" w:type="dxa"/>
            <w:bottom w:w="28" w:type="dxa"/>
            <w:right w:w="108" w:type="dxa"/>
          </w:tblCellMar>
        </w:tblPrEx>
        <w:trPr>
          <w:trHeight w:val="642" w:hRule="atLeast"/>
        </w:trPr>
        <w:tc>
          <w:tcPr>
            <w:tcW w:w="51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类目</w:t>
            </w:r>
          </w:p>
        </w:tc>
        <w:tc>
          <w:tcPr>
            <w:tcW w:w="10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关键绩效导向</w:t>
            </w:r>
          </w:p>
        </w:tc>
        <w:tc>
          <w:tcPr>
            <w:tcW w:w="43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序号</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关键绩效项目</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w:t>
            </w:r>
          </w:p>
        </w:tc>
        <w:tc>
          <w:tcPr>
            <w:tcW w:w="77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w:t>
            </w:r>
            <w:r>
              <w:rPr>
                <w:rFonts w:hint="eastAsia" w:ascii="仿宋_GB2312" w:hAnsi="宋体" w:eastAsia="仿宋_GB2312" w:cs="宋体"/>
                <w:b/>
                <w:bCs/>
                <w:color w:val="000000"/>
                <w:kern w:val="0"/>
                <w:sz w:val="21"/>
                <w:szCs w:val="21"/>
              </w:rPr>
              <w:br w:type="textWrapping"/>
            </w:r>
            <w:r>
              <w:rPr>
                <w:rFonts w:hint="eastAsia" w:ascii="仿宋_GB2312" w:hAnsi="宋体" w:eastAsia="仿宋_GB2312" w:cs="宋体"/>
                <w:b/>
                <w:bCs/>
                <w:color w:val="000000"/>
                <w:kern w:val="0"/>
                <w:sz w:val="21"/>
                <w:szCs w:val="21"/>
              </w:rPr>
              <w:t>类型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指标说明</w:t>
            </w:r>
          </w:p>
        </w:tc>
        <w:tc>
          <w:tcPr>
            <w:tcW w:w="70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数据来源</w:t>
            </w:r>
          </w:p>
        </w:tc>
        <w:tc>
          <w:tcPr>
            <w:tcW w:w="113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考核归属部门</w:t>
            </w:r>
          </w:p>
        </w:tc>
        <w:tc>
          <w:tcPr>
            <w:tcW w:w="11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1"/>
                <w:szCs w:val="21"/>
              </w:rPr>
            </w:pPr>
            <w:r>
              <w:rPr>
                <w:rFonts w:hint="eastAsia" w:ascii="仿宋_GB2312" w:hAnsi="宋体" w:eastAsia="仿宋_GB2312" w:cs="宋体"/>
                <w:b/>
                <w:bCs/>
                <w:color w:val="000000"/>
                <w:kern w:val="0"/>
                <w:sz w:val="21"/>
                <w:szCs w:val="21"/>
              </w:rPr>
              <w:t>关联部门</w:t>
            </w:r>
          </w:p>
        </w:tc>
      </w:tr>
      <w:tr>
        <w:tblPrEx>
          <w:tblLayout w:type="fixed"/>
          <w:tblCellMar>
            <w:top w:w="28" w:type="dxa"/>
            <w:left w:w="108" w:type="dxa"/>
            <w:bottom w:w="28" w:type="dxa"/>
            <w:right w:w="108" w:type="dxa"/>
          </w:tblCellMar>
        </w:tblPrEx>
        <w:trPr>
          <w:trHeight w:val="518" w:hRule="atLeast"/>
        </w:trPr>
        <w:tc>
          <w:tcPr>
            <w:tcW w:w="519" w:type="dxa"/>
            <w:vMerge w:val="restart"/>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一</w:t>
            </w:r>
          </w:p>
        </w:tc>
        <w:tc>
          <w:tcPr>
            <w:tcW w:w="101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思想理论教育和价值引领</w:t>
            </w: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主题班会</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每年完成5个主题的主题班会，有方案、有记录。每减少1次，扣2分。</w:t>
            </w:r>
          </w:p>
        </w:tc>
        <w:tc>
          <w:tcPr>
            <w:tcW w:w="709"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79"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w:t>
            </w:r>
          </w:p>
        </w:tc>
        <w:tc>
          <w:tcPr>
            <w:tcW w:w="201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谈心谈话</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关注学生的成长，每学年与所带学生开展谈心谈话人均1次。有谈话记录。每减少1次，扣2分。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686" w:hRule="atLeast"/>
        </w:trPr>
        <w:tc>
          <w:tcPr>
            <w:tcW w:w="5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w:t>
            </w:r>
          </w:p>
        </w:tc>
        <w:tc>
          <w:tcPr>
            <w:tcW w:w="1010" w:type="dxa"/>
            <w:vMerge w:val="restart"/>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党团和班级建设</w:t>
            </w:r>
          </w:p>
        </w:tc>
        <w:tc>
          <w:tcPr>
            <w:tcW w:w="43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w:t>
            </w:r>
          </w:p>
        </w:tc>
        <w:tc>
          <w:tcPr>
            <w:tcW w:w="201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班级品牌活动建设数</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打造班级品牌活动，具有社会影响力，获得院级或以上媒体报道，以此提升学校知名度。</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937"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w:t>
            </w:r>
          </w:p>
        </w:tc>
        <w:tc>
          <w:tcPr>
            <w:tcW w:w="201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综合素质考评合格率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班级合格总人数/班级总人数（假设满分为10分，合格率90%以上10分，80%-90%以下8分，70%-80%以下6分，60%—70%以下5分,60%以下0分）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12"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w:t>
            </w:r>
          </w:p>
        </w:tc>
        <w:tc>
          <w:tcPr>
            <w:tcW w:w="201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青年志愿者注册率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注册率=注册学生人数/所带学生人数；注册率≥75，得满分，60%-74%，得分减半。低于60%不得分。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团委</w:t>
            </w:r>
          </w:p>
        </w:tc>
        <w:tc>
          <w:tcPr>
            <w:tcW w:w="114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2139" w:hRule="atLeast"/>
        </w:trPr>
        <w:tc>
          <w:tcPr>
            <w:tcW w:w="519"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1010"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p>
        </w:tc>
        <w:tc>
          <w:tcPr>
            <w:tcW w:w="431"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w:t>
            </w:r>
          </w:p>
        </w:tc>
        <w:tc>
          <w:tcPr>
            <w:tcW w:w="2019"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集体、学生个人获得校级以上奖励</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1.班集体荣誉：区级5分，市级3分，校级2分；</w:t>
            </w:r>
          </w:p>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所带班级学生参加技能、文体、奖励等竞赛，获得国家级奖项一等奖3分、二等奖2分、三等奖1.5分、优秀奖1分；获区级奖项一等奖2分，二等奖加1.5分，三等奖加1分，优秀奖0.5分。获校级奖励一等奖加1分，二等奖加0.6分，三等奖加0.3分，优秀奖0.1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31"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wordWrap/>
        <w:overflowPunct/>
        <w:topLinePunct w:val="0"/>
        <w:autoSpaceDE/>
        <w:autoSpaceDN/>
        <w:bidi w:val="0"/>
        <w:spacing w:line="20" w:lineRule="exact"/>
        <w:outlineLvl w:val="9"/>
        <w:rPr>
          <w:color w:val="000000"/>
        </w:rPr>
      </w:pPr>
      <w:r>
        <w:rPr>
          <w:color w:val="000000"/>
        </w:rPr>
        <w:br w:type="page"/>
      </w:r>
    </w:p>
    <w:tbl>
      <w:tblPr>
        <w:tblStyle w:val="17"/>
        <w:tblpPr w:leftFromText="180" w:rightFromText="180" w:vertAnchor="page" w:horzAnchor="margin" w:tblpY="1696"/>
        <w:tblW w:w="13053" w:type="dxa"/>
        <w:tblInd w:w="0" w:type="dxa"/>
        <w:tblLayout w:type="fixed"/>
        <w:tblCellMar>
          <w:top w:w="28" w:type="dxa"/>
          <w:left w:w="108" w:type="dxa"/>
          <w:bottom w:w="28" w:type="dxa"/>
          <w:right w:w="108" w:type="dxa"/>
        </w:tblCellMar>
      </w:tblPr>
      <w:tblGrid>
        <w:gridCol w:w="431"/>
        <w:gridCol w:w="820"/>
        <w:gridCol w:w="431"/>
        <w:gridCol w:w="2019"/>
        <w:gridCol w:w="780"/>
        <w:gridCol w:w="779"/>
        <w:gridCol w:w="4820"/>
        <w:gridCol w:w="709"/>
        <w:gridCol w:w="1154"/>
        <w:gridCol w:w="1110"/>
      </w:tblGrid>
      <w:tr>
        <w:tblPrEx>
          <w:tblLayout w:type="fixed"/>
          <w:tblCellMar>
            <w:top w:w="28" w:type="dxa"/>
            <w:left w:w="108" w:type="dxa"/>
            <w:bottom w:w="28" w:type="dxa"/>
            <w:right w:w="108" w:type="dxa"/>
          </w:tblCellMar>
        </w:tblPrEx>
        <w:trPr>
          <w:trHeight w:val="720" w:hRule="atLeast"/>
        </w:trPr>
        <w:tc>
          <w:tcPr>
            <w:tcW w:w="431" w:type="dxa"/>
            <w:vMerge w:val="restart"/>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三</w:t>
            </w:r>
          </w:p>
        </w:tc>
        <w:tc>
          <w:tcPr>
            <w:tcW w:w="82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学风建设</w:t>
            </w: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学生到课率</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到课率</w:t>
            </w:r>
          </w:p>
        </w:tc>
        <w:tc>
          <w:tcPr>
            <w:tcW w:w="779"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到课率=到课人数（所抽班级到课总人数）/（所抽班级）总人数（假设满分为10分，到课率95%及以上得10分，90%—94%得8分，85%-89%得5分，84%以下0分）</w:t>
            </w:r>
          </w:p>
        </w:tc>
        <w:tc>
          <w:tcPr>
            <w:tcW w:w="709"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67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7</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课程考核及格率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各课程不及格总人数/（课程数*班级人数）（假设满分为10分，到课率90%以上10分，80%-90%以下8分，70%-80%以下6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8</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英语B级考试通过率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1.鼓励学生全面发展</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2.通过率=通过英语B级学生数/班级人数</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9</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班级专业技能初级证书通过率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通过率=班级必考技能初级证书数量/班级人数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52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10</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班级专业必考技能中级证书通过率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通过率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1.引导班级学生专业技能水平提升</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2.通过率=班级必考技能中级证书数量/班级人数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855"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11</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职业资格证书获得率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获得率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1.引导班级学生专业技能水平提升</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w:t>
            </w:r>
            <w:r>
              <w:rPr>
                <w:rFonts w:hint="eastAsia" w:ascii="仿宋_GB2312" w:hAnsi="宋体" w:eastAsia="仿宋_GB2312" w:cs="宋体"/>
                <w:color w:val="000000"/>
                <w:spacing w:val="-6"/>
                <w:kern w:val="0"/>
                <w:sz w:val="21"/>
                <w:szCs w:val="21"/>
              </w:rPr>
              <w:t>除了专业必考证书外，学生获得的各种职业资格证书</w:t>
            </w:r>
          </w:p>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3.获得率=班级学生获得的各种职业资格证书数量/班级人数</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教务与实训管理处</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48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12</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辅导员听课次数</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每周下班级听课次数不少于2次，听课情况有记录、有反馈，有任课老师签名确认。</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2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13</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第二课堂分数合格率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合格人数/班级人数。（假设满分为10分，合格率90%以上10分，80%-90%以下8分，70%-80%以下6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Layout w:type="fixed"/>
          <w:tblCellMar>
            <w:top w:w="28" w:type="dxa"/>
            <w:left w:w="108" w:type="dxa"/>
            <w:bottom w:w="28" w:type="dxa"/>
            <w:right w:w="108" w:type="dxa"/>
          </w:tblCellMar>
        </w:tblPrEx>
        <w:trPr>
          <w:trHeight w:val="720" w:hRule="atLeast"/>
        </w:trPr>
        <w:tc>
          <w:tcPr>
            <w:tcW w:w="43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14</w:t>
            </w:r>
          </w:p>
        </w:tc>
        <w:tc>
          <w:tcPr>
            <w:tcW w:w="201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诚信分合格率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合格人数/班级人数。（假设满分为10分，合格率90%以上10分，80%-90%以下8分，70%-80%以下6  分，60%—70%以下5分，60%以下0分）</w:t>
            </w:r>
          </w:p>
        </w:tc>
        <w:tc>
          <w:tcPr>
            <w:tcW w:w="709" w:type="dxa"/>
            <w:tcBorders>
              <w:top w:val="nil"/>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54"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1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widowControl/>
        <w:kinsoku/>
        <w:wordWrap/>
        <w:overflowPunct/>
        <w:topLinePunct w:val="0"/>
        <w:autoSpaceDE/>
        <w:autoSpaceDN/>
        <w:bidi w:val="0"/>
        <w:spacing w:line="20" w:lineRule="exact"/>
        <w:jc w:val="left"/>
        <w:outlineLvl w:val="9"/>
        <w:rPr>
          <w:rFonts w:ascii="仿宋_GB2312" w:eastAsia="仿宋_GB2312"/>
          <w:color w:val="000000"/>
        </w:rPr>
      </w:pPr>
      <w:r>
        <w:rPr>
          <w:rFonts w:ascii="仿宋_GB2312" w:eastAsia="仿宋_GB2312"/>
          <w:color w:val="000000"/>
        </w:rPr>
        <w:br w:type="page"/>
      </w:r>
    </w:p>
    <w:p>
      <w:pPr>
        <w:pageBreakBefore w:val="0"/>
        <w:kinsoku/>
        <w:wordWrap/>
        <w:overflowPunct/>
        <w:topLinePunct w:val="0"/>
        <w:autoSpaceDE/>
        <w:autoSpaceDN/>
        <w:bidi w:val="0"/>
        <w:spacing w:line="240" w:lineRule="exact"/>
        <w:outlineLvl w:val="9"/>
        <w:rPr>
          <w:rFonts w:ascii="仿宋_GB2312" w:eastAsia="仿宋_GB2312"/>
          <w:color w:val="000000"/>
        </w:rPr>
      </w:pPr>
    </w:p>
    <w:tbl>
      <w:tblPr>
        <w:tblStyle w:val="17"/>
        <w:tblpPr w:leftFromText="180" w:rightFromText="180" w:vertAnchor="page" w:horzAnchor="page" w:tblpX="1950" w:tblpY="2747"/>
        <w:tblW w:w="13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31"/>
        <w:gridCol w:w="820"/>
        <w:gridCol w:w="431"/>
        <w:gridCol w:w="2019"/>
        <w:gridCol w:w="780"/>
        <w:gridCol w:w="779"/>
        <w:gridCol w:w="4820"/>
        <w:gridCol w:w="709"/>
        <w:gridCol w:w="116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0" w:hRule="atLeast"/>
        </w:trPr>
        <w:tc>
          <w:tcPr>
            <w:tcW w:w="431"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15</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降低学生晚归率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晚归率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xml:space="preserve">假设满分为10分，学生晚归率在5%以下的，得满分；其它每增加1个百分点，得分降低1分，直到0分为止。 </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885" w:hRule="atLeast"/>
        </w:trPr>
        <w:tc>
          <w:tcPr>
            <w:tcW w:w="431" w:type="dxa"/>
            <w:vMerge w:val="restart"/>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四</w:t>
            </w:r>
          </w:p>
        </w:tc>
        <w:tc>
          <w:tcPr>
            <w:tcW w:w="820" w:type="dxa"/>
            <w:vMerge w:val="restart"/>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学生日常事务管理</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16</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宿舍检查合格率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合格率=合格宿舍数/宿舍总数（假设满分为10分，合格率90%以上10分，80%-90%以下8分，70%-80%以下6分，60%—70%以下5分，60%以下0分）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75"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17</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xml:space="preserve"> 创建文明宿舍数量</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所带班级参加校级文明宿舍评比，每获得一个优秀宿舍加1分，以此类推。每获得一个合格宿舍加0.5分，以此类推。最高累计不超过此项总分。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48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18</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辅导员下宿舍次数</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每周至少深入宿舍2次，每学期至少深入宿舍共计36次，做好工作记录。每减少1次，扣2分，扣完为止。</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19</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降低欠费率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欠费率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（每年的6月、12月各统计一次，假设满分为100分）以全校平均欠费率为基准，等于学校平均欠费率得90分，每低0.1个百分点加1分，每高0.1个百分点扣1分。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财务处</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63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20</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学生处分率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所带学生中每3人被处分扣0.5分，以此类推，扣完为止。如处分人数1-3人扣0.5分；4-6人扣1分。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21</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学生CRP信息完成量</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1.辅导员所带学生个人信息完成情况（相片、详细地址、家庭及个人电话等）</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2.未完成1-10人扣1分，以此类推，扣完为止。</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2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22</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资助管理与服务满意度</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满意度达90%以上不扣分（不含90%），60%以下不得分（不含60%）；满意度达60%-70%，扣15分；达70%-80%扣10分；达80%-90%扣5分。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16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14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wordWrap/>
        <w:overflowPunct/>
        <w:topLinePunct w:val="0"/>
        <w:autoSpaceDE/>
        <w:autoSpaceDN/>
        <w:bidi w:val="0"/>
        <w:outlineLvl w:val="9"/>
        <w:rPr>
          <w:rFonts w:hint="eastAsia" w:ascii="仿宋_GB2312" w:eastAsia="仿宋_GB2312"/>
          <w:color w:val="000000"/>
        </w:rPr>
      </w:pPr>
    </w:p>
    <w:tbl>
      <w:tblPr>
        <w:tblStyle w:val="17"/>
        <w:tblpPr w:leftFromText="180" w:rightFromText="180" w:vertAnchor="page" w:horzAnchor="margin" w:tblpY="1861"/>
        <w:tblW w:w="13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431"/>
        <w:gridCol w:w="820"/>
        <w:gridCol w:w="431"/>
        <w:gridCol w:w="2019"/>
        <w:gridCol w:w="780"/>
        <w:gridCol w:w="779"/>
        <w:gridCol w:w="4820"/>
        <w:gridCol w:w="709"/>
        <w:gridCol w:w="1184"/>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675" w:hRule="atLeast"/>
        </w:trPr>
        <w:tc>
          <w:tcPr>
            <w:tcW w:w="431"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23</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资助材料合格率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合格率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1.合格率=合格材料数/上交资助材料数；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2.合格率达100%不扣分；不合格率在1%-3%，扣3分；4%-6%扣6分；7%-10%扣10分；10%以上不得分。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95" w:hRule="atLeast"/>
        </w:trPr>
        <w:tc>
          <w:tcPr>
            <w:tcW w:w="431" w:type="dxa"/>
            <w:vMerge w:val="restart"/>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五</w:t>
            </w:r>
          </w:p>
        </w:tc>
        <w:tc>
          <w:tcPr>
            <w:tcW w:w="820" w:type="dxa"/>
            <w:vMerge w:val="restart"/>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心理健康教育与咨询工作</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24</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建立特殊群体学生心理档案</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根据心理普查名单，建立心理异常学生心理档案，且做好与此类学生的谈话记录。</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95"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25</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心理健康指导</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无责任事故率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密切关注学生心理状况，给予心理疏导，发现异常情况及时处理、上报，配合学院开展心理指导和危机干预。重要谈话有记录，无心理问题责任事故，此项不扣分。</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20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26</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心理健康教育普及率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普及率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1.每学期学生了解心理健康知识的人数；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2.实际值=了解心理健康知识的人数/抽取的人数；</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3.按照辅导员所带学生的30%抽取学生了解心理健康知识；</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4.该项得分=区间范围得分:96%以上不扣分，95%-91%扣1分，90%-86%扣2分，85%-81%扣3分，80%以下扣完。</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25" w:hRule="atLeast"/>
        </w:trPr>
        <w:tc>
          <w:tcPr>
            <w:tcW w:w="431" w:type="dxa"/>
            <w:vMerge w:val="restart"/>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六</w:t>
            </w:r>
          </w:p>
        </w:tc>
        <w:tc>
          <w:tcPr>
            <w:tcW w:w="820" w:type="dxa"/>
            <w:vMerge w:val="restart"/>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网络思想政治教育</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27</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易班注册率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注册率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每学年开学两个星期内组织学生完成注册，注册率达95%及以上，获此项满分，每低于5个百分点，扣1分，扣完此项分为止。</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28</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易班活跃度增量</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活跃度增量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每月易班班级群EGPA(活跃度增量）达到10分或此项满分，每减少2分，扣1分，扣完此项分为止。（外出实习和毕业班会影响易班的使用，酌情考虑）</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七</w:t>
            </w:r>
          </w:p>
        </w:tc>
        <w:tc>
          <w:tcPr>
            <w:tcW w:w="82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校园危机事件应对</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29</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降低事故发生率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事故发生率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事故发生数/所带班级人数（通过学工处事故认定是否属于辅导员责任）</w:t>
            </w:r>
          </w:p>
        </w:tc>
        <w:tc>
          <w:tcPr>
            <w:tcW w:w="70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184"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09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wordWrap/>
        <w:overflowPunct/>
        <w:topLinePunct w:val="0"/>
        <w:autoSpaceDE/>
        <w:autoSpaceDN/>
        <w:bidi w:val="0"/>
        <w:spacing w:line="20" w:lineRule="exact"/>
        <w:outlineLvl w:val="9"/>
        <w:rPr>
          <w:color w:val="000000"/>
        </w:rPr>
      </w:pPr>
      <w:r>
        <w:rPr>
          <w:color w:val="000000"/>
        </w:rPr>
        <w:br w:type="page"/>
      </w:r>
    </w:p>
    <w:tbl>
      <w:tblPr>
        <w:tblStyle w:val="17"/>
        <w:tblpPr w:leftFromText="180" w:rightFromText="180" w:vertAnchor="page" w:horzAnchor="margin" w:tblpY="1756"/>
        <w:tblW w:w="13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431"/>
        <w:gridCol w:w="820"/>
        <w:gridCol w:w="431"/>
        <w:gridCol w:w="2019"/>
        <w:gridCol w:w="780"/>
        <w:gridCol w:w="779"/>
        <w:gridCol w:w="4820"/>
        <w:gridCol w:w="633"/>
        <w:gridCol w:w="123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900" w:hRule="atLeast"/>
        </w:trPr>
        <w:tc>
          <w:tcPr>
            <w:tcW w:w="431" w:type="dxa"/>
            <w:vMerge w:val="restart"/>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八</w:t>
            </w:r>
          </w:p>
        </w:tc>
        <w:tc>
          <w:tcPr>
            <w:tcW w:w="820" w:type="dxa"/>
            <w:vMerge w:val="restart"/>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职业规划与就业创业指导</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30</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学生一次毕业率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毕业率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1.以每年7月的合格毕业生数据为计</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2.毕业率=毕业学生数/班级人数                                  3.（假设满分为10分，到课率90%以上10分，80%-90%以下8分，70%-80%以下6 分，60%—70%以下5分，60%以下0分）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31</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就业率</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就业率</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（只考核毕业班辅导员）假设满分为100分）以当年7月的应届毕业生就业率为准，与本专业上一年7月的就业率相比，比去年的就业率提高0.2个百分点为满分，每降低0.1个百分点扣2分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35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32</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就业管理与服务满意度</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满意度</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1.每年6月底，应届毕业生回校领取毕业证时，就业处组织二级学院开展就业管理和服务满意度调查；</w:t>
            </w:r>
            <w:r>
              <w:rPr>
                <w:rFonts w:hint="eastAsia" w:ascii="仿宋_GB2312" w:hAnsi="宋体" w:eastAsia="仿宋_GB2312" w:cs="宋体"/>
                <w:color w:val="000000"/>
                <w:kern w:val="0"/>
                <w:sz w:val="21"/>
                <w:szCs w:val="21"/>
              </w:rPr>
              <w:br w:type="textWrapping"/>
            </w:r>
            <w:r>
              <w:rPr>
                <w:rFonts w:hint="eastAsia" w:ascii="仿宋_GB2312" w:hAnsi="宋体" w:eastAsia="仿宋_GB2312" w:cs="宋体"/>
                <w:color w:val="000000"/>
                <w:kern w:val="0"/>
                <w:sz w:val="21"/>
                <w:szCs w:val="21"/>
              </w:rPr>
              <w:t>2.（假设满分10分）高于平均满意度120%计10分，（平均满意度＜满意度≤平均满意度*120%）计9分，（平均满意度*90%＜满意度≤平均满意度）计8分，（平均满意度*60%＜满意度≤平均满意度*90%）计7分，≤平均满意度*60%计6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调查数据</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招生就业处</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20" w:hRule="atLeast"/>
        </w:trPr>
        <w:tc>
          <w:tcPr>
            <w:tcW w:w="431" w:type="dxa"/>
            <w:vMerge w:val="restart"/>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九</w:t>
            </w:r>
          </w:p>
        </w:tc>
        <w:tc>
          <w:tcPr>
            <w:tcW w:w="820" w:type="dxa"/>
            <w:vMerge w:val="restart"/>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理论和实践研究</w:t>
            </w: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33</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论文数量</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（假设满分10分）个人年度内以第一作者身份公开发表1篇论文得10分；以第二作者及以后的按每相隔1名逐级递减40%的比例计分，排名第4名及以后不计分。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705"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34</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课题数量</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（假设满分10分）以课题排名第1名身份，科研课题立项的，无论级别直接得10分；第2名以后的按每相隔1名逐级递减10%的比例计分。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1590" w:hRule="atLeast"/>
        </w:trPr>
        <w:tc>
          <w:tcPr>
            <w:tcW w:w="431"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820" w:type="dxa"/>
            <w:vMerge w:val="continue"/>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1"/>
                <w:szCs w:val="21"/>
              </w:rPr>
            </w:pPr>
          </w:p>
        </w:tc>
        <w:tc>
          <w:tcPr>
            <w:tcW w:w="431"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35</w:t>
            </w:r>
          </w:p>
        </w:tc>
        <w:tc>
          <w:tcPr>
            <w:tcW w:w="2019"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校级及以上竞赛获奖</w:t>
            </w:r>
          </w:p>
        </w:tc>
        <w:tc>
          <w:tcPr>
            <w:tcW w:w="78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积分量</w:t>
            </w:r>
          </w:p>
        </w:tc>
        <w:tc>
          <w:tcPr>
            <w:tcW w:w="779"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提升型</w:t>
            </w:r>
          </w:p>
        </w:tc>
        <w:tc>
          <w:tcPr>
            <w:tcW w:w="4820" w:type="dxa"/>
            <w:vAlign w:val="center"/>
          </w:tcPr>
          <w:p>
            <w:pPr>
              <w:pageBreakBefore w:val="0"/>
              <w:widowControl/>
              <w:kinsoku/>
              <w:wordWrap/>
              <w:overflowPunct/>
              <w:topLinePunct w:val="0"/>
              <w:autoSpaceDE/>
              <w:autoSpaceDN/>
              <w:bidi w:val="0"/>
              <w:spacing w:line="270" w:lineRule="exact"/>
              <w:jc w:val="left"/>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该项可作为加分项（满分为20分）。年度内凡是代表学校参加市级以上竞赛获奖的：获国家级三等奖以上的加20分、获自治区级竞赛获三等奖以上的加10分，获市级竞赛三等奖以上的加5分。参加校级各类竞赛：获一等奖加5分、获二等奖加4分、获三等奖加3分。参加院级比赛获一等奖加3分、获二等奖加2分、获三等奖加1分。（根据参加各类比赛的次数，分数可以累加，但是最高不能超过20分）。</w:t>
            </w:r>
          </w:p>
        </w:tc>
        <w:tc>
          <w:tcPr>
            <w:tcW w:w="633" w:type="dxa"/>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数据统计</w:t>
            </w:r>
          </w:p>
        </w:tc>
        <w:tc>
          <w:tcPr>
            <w:tcW w:w="1230"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党委学生工作部</w:t>
            </w:r>
          </w:p>
        </w:tc>
        <w:tc>
          <w:tcPr>
            <w:tcW w:w="1335" w:type="dxa"/>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二级学院</w:t>
            </w:r>
          </w:p>
        </w:tc>
      </w:tr>
    </w:tbl>
    <w:p>
      <w:pPr>
        <w:pageBreakBefore w:val="0"/>
        <w:kinsoku/>
        <w:wordWrap/>
        <w:overflowPunct/>
        <w:topLinePunct w:val="0"/>
        <w:autoSpaceDE/>
        <w:autoSpaceDN/>
        <w:bidi w:val="0"/>
        <w:spacing w:line="20" w:lineRule="exact"/>
        <w:outlineLvl w:val="9"/>
        <w:rPr>
          <w:color w:val="000000"/>
        </w:rPr>
      </w:pPr>
    </w:p>
    <w:p>
      <w:pPr>
        <w:pageBreakBefore w:val="0"/>
        <w:widowControl/>
        <w:kinsoku/>
        <w:wordWrap/>
        <w:overflowPunct/>
        <w:topLinePunct w:val="0"/>
        <w:autoSpaceDE/>
        <w:autoSpaceDN/>
        <w:bidi w:val="0"/>
        <w:jc w:val="left"/>
        <w:outlineLvl w:val="9"/>
        <w:rPr>
          <w:rFonts w:hint="eastAsia" w:ascii="黑体" w:eastAsia="黑体"/>
          <w:sz w:val="32"/>
          <w:szCs w:val="32"/>
        </w:rPr>
      </w:pPr>
      <w:r>
        <w:rPr>
          <w:rFonts w:hint="eastAsia" w:ascii="黑体" w:eastAsia="黑体"/>
          <w:sz w:val="32"/>
          <w:szCs w:val="32"/>
        </w:rPr>
        <w:t>附表3：</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二级学院分团委书记关键绩效考核项目和指标库</w:t>
      </w:r>
    </w:p>
    <w:tbl>
      <w:tblPr>
        <w:tblStyle w:val="17"/>
        <w:tblW w:w="1306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20"/>
        <w:gridCol w:w="431"/>
        <w:gridCol w:w="1738"/>
        <w:gridCol w:w="1095"/>
        <w:gridCol w:w="975"/>
        <w:gridCol w:w="4618"/>
        <w:gridCol w:w="767"/>
        <w:gridCol w:w="111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431"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类目</w:t>
            </w:r>
          </w:p>
        </w:tc>
        <w:tc>
          <w:tcPr>
            <w:tcW w:w="82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关键绩效导向</w:t>
            </w:r>
          </w:p>
        </w:tc>
        <w:tc>
          <w:tcPr>
            <w:tcW w:w="431"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序号</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关键绩效项目</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w:t>
            </w:r>
          </w:p>
        </w:tc>
        <w:tc>
          <w:tcPr>
            <w:tcW w:w="97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w:t>
            </w:r>
            <w:r>
              <w:rPr>
                <w:rFonts w:hint="eastAsia" w:ascii="仿宋_GB2312" w:hAnsi="宋体" w:eastAsia="仿宋_GB2312" w:cs="宋体"/>
                <w:b/>
                <w:bCs/>
                <w:color w:val="000000"/>
                <w:kern w:val="0"/>
                <w:sz w:val="22"/>
                <w:szCs w:val="22"/>
              </w:rPr>
              <w:br w:type="textWrapping"/>
            </w:r>
            <w:r>
              <w:rPr>
                <w:rFonts w:hint="eastAsia" w:ascii="仿宋_GB2312" w:hAnsi="宋体" w:eastAsia="仿宋_GB2312" w:cs="宋体"/>
                <w:b/>
                <w:bCs/>
                <w:color w:val="000000"/>
                <w:kern w:val="0"/>
                <w:sz w:val="22"/>
                <w:szCs w:val="22"/>
              </w:rPr>
              <w:t>类型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指标说明</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数据来源</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考核归属部门</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b/>
                <w:bCs/>
                <w:color w:val="000000"/>
                <w:kern w:val="0"/>
                <w:sz w:val="22"/>
                <w:szCs w:val="22"/>
              </w:rPr>
            </w:pPr>
            <w:r>
              <w:rPr>
                <w:rFonts w:hint="eastAsia" w:ascii="仿宋_GB2312" w:hAnsi="宋体" w:eastAsia="仿宋_GB2312" w:cs="宋体"/>
                <w:b/>
                <w:bCs/>
                <w:color w:val="000000"/>
                <w:kern w:val="0"/>
                <w:sz w:val="22"/>
                <w:szCs w:val="22"/>
              </w:rPr>
              <w:t>关联部门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一</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思想政治教育</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领导班子开展政治学习情况</w:t>
            </w:r>
          </w:p>
        </w:tc>
        <w:tc>
          <w:tcPr>
            <w:tcW w:w="109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1.每年开展专题培训次数；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2.做好学习记录，有个人总结或心得材料。</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策划组织主题教育活动情况</w:t>
            </w:r>
          </w:p>
        </w:tc>
        <w:tc>
          <w:tcPr>
            <w:tcW w:w="109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覆盖率</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1.内容包括我的中国梦、四进四信、与信仰对话践行社会主义核心价值观、不忘初心跟党走柳职青年建新功等</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2.覆盖率指开展受益人数/学院总人数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重要时间节点开展专题思想教育活动情况</w:t>
            </w:r>
          </w:p>
        </w:tc>
        <w:tc>
          <w:tcPr>
            <w:tcW w:w="109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重要事件节点包括“五·四”、国庆、“一二·九”等节日或纪念日等，全年开展的活动次数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组织建设</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4</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团员管理</w:t>
            </w:r>
          </w:p>
        </w:tc>
        <w:tc>
          <w:tcPr>
            <w:tcW w:w="109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是否制定团员发展、团员教育及团组织关系转移工作计划表及相关制度，并实施</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三会两制一课制度执行情况</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班级团支部“三会两制一课记录本”年度登记完成率=实际完成团支部数/应完成团支部次数。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6</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团日活动获校级奖励</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满分100分。有团支部参加校级团日活动评比得80分，按上下学期共2次评比的名次来折算，一场评比获得一等奖加10分， 二等奖加8分，三等奖加5分，一场评比多个团支部获奖不累加。如无评比则按观摩活动的展示单位予以加分，一个团支部参加展示加5分。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7</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“推优育苗”工作</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是否制定工作时间表、推优名额计划，按时完成推优育苗工作，工作过程有监督机制，体现公平公开民主原则，以提交工作记录为准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8</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团干部教育培训情况</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全年开展专题团干部教育培训班数量</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优秀团支部创建培育数量</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年度创建优秀团支部数量</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三</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宣传工作</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10</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宣传阵地建设及更新维护</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合格率</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所属学院宣传橱窗、展板每月更新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11</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市级以上（含市级）报纸、电视等媒体报道本学院共青团工作的新闻次数</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学院团委、学生组织（社团、志愿者分队等）学年度报道数量</w:t>
            </w:r>
          </w:p>
        </w:tc>
        <w:tc>
          <w:tcPr>
            <w:tcW w:w="767" w:type="dxa"/>
            <w:shd w:val="clear" w:color="auto" w:fill="auto"/>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12</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网络新媒体平台运营</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1.新媒体平台发布信息数量；</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2.如果所发布信息有不实、导向性错误信息，则该项不计分。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13</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新媒体平台制度建设及实施</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1.是否制定相关规定规范、约束新媒体平台使用</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2.如出现重大违规事件，则该项不计分。</w:t>
            </w:r>
          </w:p>
        </w:tc>
        <w:tc>
          <w:tcPr>
            <w:tcW w:w="767" w:type="dxa"/>
            <w:shd w:val="clear" w:color="auto" w:fill="auto"/>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14</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组建专门网络新媒体运营队伍</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是否组建专门队伍负责二级学院团委新媒体工作。</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15</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利用新媒体平台积极开展主题宣教活动</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借助新媒体平台开展形式多样的主题宣教活动数（常规活动宣传除外）</w:t>
            </w:r>
          </w:p>
        </w:tc>
        <w:tc>
          <w:tcPr>
            <w:tcW w:w="767" w:type="dxa"/>
            <w:shd w:val="clear" w:color="auto" w:fill="auto"/>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四</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社会实践与志愿服务</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16</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志愿服务项目</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年度指导学院各学生组织开展志愿服务项目数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17</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志愿者保障及激励制度工作成效</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满意度</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1.每年12月初，校团委组织二级学院开展志愿者保障及激励工作满意度调查</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2.高于平均满意度120%计100分，（平均满意度＜满意度≤平均满意度*120%）计90分，（平均满意度*90%＜满意度≤平均满意度）计80分，（平均满意度*60%＜满意度≤平均满意度*90%）计70分，≤平均满意度*60%计60分。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18</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志愿者注册</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注册率</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1.注册率=注册人数/学院学生总数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2.注册率低于0.6，该项不得分，注册率0.6-0.8该项得一半分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19</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参与校级及以上大型志愿服务工作</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1.完成率=实际参加人数/应参加的指标人数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2.工作过程服从安排，积极组织，如出现严重的工作失误，该项不计分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20</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暑期“三下乡”社会实践组织情况</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组建暑期社会实践服务队并获得校级立项数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五</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校园文化</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21</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参与学校大型晚会文艺节目情况</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满分100分。参与即60分，加分规则按分别参与的每场活动累计获奖情况加分，封顶100分，一等奖加10分，二等奖加8分，三等奖加5分，优秀奖加3分。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22</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本学院群众性文化活动（包含“三走”类、学风建设类活动）</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1.本学院群众性文化活动数量</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2.其中“三走”类、学风建设类活动至少各1场，否则该项不计分。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23</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参与、承办校团委组织活动情况</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是否积极承办校团委交付的校园文化活动</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六</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学生组织的指导</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24</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社团评优工作</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完成率</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优秀社团+十佳社团数量/挂靠社团数</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25</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精品社团活动立项情况</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申报立项精品社团活动数量</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26</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指导院学生会工作</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是否参与及指导学生会活动，如：出席全体大会，按期换届，参与专项工作及学生活动等，以学生会工作记录表为准。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27</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 xml:space="preserve"> 指导志愿者服务分队的工作</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是否指导志愿者服务分队开展组织管理及活动策划指导工作。以工作记录表或新闻报道为准。无分队管理办法及职责分工，未按期换届，记零分。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7"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七</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个人发展</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28</w:t>
            </w:r>
          </w:p>
        </w:tc>
        <w:tc>
          <w:tcPr>
            <w:tcW w:w="1738"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参与校级及以上课题及完成情况</w:t>
            </w:r>
          </w:p>
        </w:tc>
        <w:tc>
          <w:tcPr>
            <w:tcW w:w="1095" w:type="dxa"/>
            <w:shd w:val="clear" w:color="000000" w:fill="FFFFFF"/>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2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1.以课题排名第1名身份，科研课题立项，国家级12分、教育部10、省部级6分、市厅级4分、校级2分；第2名以后的按每相隔1名逐级递减10%的比例计分，排名第5后不计分。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2.所有课题积分量=∑（某课题对应等级和排名的分数）</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3.以共青团工作、党建工作、高校思政教育为主线的课题，其它类课题不在此计算。</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29</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校级及以上评优及竞赛获奖</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积分量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代表学校参加市级以上竞赛获奖：获国家级加20分、获自治区级竞赛获三等奖以上的加10分，获市级竞赛三等奖以上的加5分。参加校级各类个人竞赛：获一等奖加5分、获二等奖加4分、获三等奖加3分。（根据参加各类比赛的次数，分数可以累加，但是最高不能超过20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2.以指导老师身份，带队参加比赛项目获奖，一等奖：区级及以上10分，市级5分，校级3分；获二等奖：区级8分，市级3分，校级2分；三等奖：区级5分，市级3分，校级2分；优秀奖：市级及以上加3分。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30</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技能培训、职业资格证书数量</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获取应急救护师以及其它与共青团工作相关证书情况</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八</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共青团专项及创新工作</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31</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学院党政联席会议专题讨论研究团学工作</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专题讨论会议次数，以工作记录为准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32</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学院网络团课创建</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全年创建网络团课数量，以在相关时间要求内上交网络团课视频及课件为准。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33</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先锋团支部创建</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数量</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年度创建先锋团支部数量，以创建青春红旗号或活力团支部成果展示材料为准。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w:t>
            </w:r>
            <w:r>
              <w:rPr>
                <w:rFonts w:hint="eastAsia" w:ascii="仿宋_GB2312" w:hAnsi="宋体" w:eastAsia="仿宋_GB2312" w:cs="宋体"/>
                <w:color w:val="000000"/>
                <w:spacing w:val="-12"/>
                <w:kern w:val="0"/>
                <w:sz w:val="22"/>
                <w:szCs w:val="22"/>
              </w:rPr>
              <w:t>学院</w:t>
            </w:r>
            <w:r>
              <w:rPr>
                <w:rFonts w:hint="eastAsia" w:ascii="仿宋_GB2312" w:hAnsi="宋体" w:eastAsia="仿宋_GB2312" w:cs="宋体"/>
                <w:color w:val="000000"/>
                <w:kern w:val="0"/>
                <w:sz w:val="22"/>
                <w:szCs w:val="22"/>
              </w:rPr>
              <w:t>、团委</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34</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学生权益维护工作和帮扶机制</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制定创建机制，开展相关实效性工作，以组织实施方案、工作开展记录为准。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35</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新型团支部创建</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创新开展新型团支部的创建工作，以文字材料为准。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36</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开展“青年大学习”行动实施情况</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提升型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是否结合学院工作实际，制定有学院大学习行动具体方案及开展专题学习活动，以学习记录为准。</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37</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开展青春引擎计划，执行团干部直接联系青年制度</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覆盖率</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突破性</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开展青年引擎计划，执行团干部直接联系青年1+100制度情况，覆盖率100%。覆盖度达100%得满分，60%以下不得分（不含60%）；覆盖率达60%-70%，扣相应分值的20%；达71%-85%扣相应分值15%；达86%-99%扣相应分值5%。</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431" w:type="dxa"/>
            <w:vMerge w:val="restart"/>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九</w:t>
            </w:r>
          </w:p>
        </w:tc>
        <w:tc>
          <w:tcPr>
            <w:tcW w:w="820" w:type="dxa"/>
            <w:vMerge w:val="restart"/>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办公室工作</w:t>
            </w: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38</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档案文件经费收支管理</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1.真正落实文件上传下达，文件档案有归档整理</w:t>
            </w:r>
            <w:r>
              <w:rPr>
                <w:rFonts w:hint="eastAsia" w:ascii="仿宋_GB2312" w:hAnsi="宋体" w:eastAsia="仿宋_GB2312" w:cs="宋体"/>
                <w:color w:val="000000"/>
                <w:kern w:val="0"/>
                <w:sz w:val="22"/>
                <w:szCs w:val="22"/>
              </w:rPr>
              <w:br w:type="textWrapping"/>
            </w:r>
            <w:r>
              <w:rPr>
                <w:rFonts w:hint="eastAsia" w:ascii="仿宋_GB2312" w:hAnsi="宋体" w:eastAsia="仿宋_GB2312" w:cs="宋体"/>
                <w:color w:val="000000"/>
                <w:kern w:val="0"/>
                <w:sz w:val="22"/>
                <w:szCs w:val="22"/>
              </w:rPr>
              <w:t>2.团费收缴及开支有记录，有票据</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431"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820" w:type="dxa"/>
            <w:vMerge w:val="continue"/>
            <w:shd w:val="clear" w:color="auto" w:fill="auto"/>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p>
        </w:tc>
        <w:tc>
          <w:tcPr>
            <w:tcW w:w="431"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39</w:t>
            </w:r>
          </w:p>
        </w:tc>
        <w:tc>
          <w:tcPr>
            <w:tcW w:w="1738"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学院各团组织获奖情况汇总存档</w:t>
            </w:r>
          </w:p>
        </w:tc>
        <w:tc>
          <w:tcPr>
            <w:tcW w:w="1095"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完成情况</w:t>
            </w:r>
          </w:p>
        </w:tc>
        <w:tc>
          <w:tcPr>
            <w:tcW w:w="975" w:type="dxa"/>
            <w:shd w:val="clear" w:color="000000" w:fill="FFFFFF"/>
            <w:noWrap/>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维持型</w:t>
            </w:r>
          </w:p>
        </w:tc>
        <w:tc>
          <w:tcPr>
            <w:tcW w:w="4618" w:type="dxa"/>
            <w:shd w:val="clear" w:color="000000" w:fill="FFFFFF"/>
            <w:vAlign w:val="center"/>
          </w:tcPr>
          <w:p>
            <w:pPr>
              <w:pageBreakBefore w:val="0"/>
              <w:widowControl/>
              <w:kinsoku/>
              <w:wordWrap/>
              <w:overflowPunct/>
              <w:topLinePunct w:val="0"/>
              <w:autoSpaceDE/>
              <w:autoSpaceDN/>
              <w:bidi w:val="0"/>
              <w:spacing w:line="300" w:lineRule="exact"/>
              <w:jc w:val="left"/>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年度获奖情况按分类有记录，并存档，有相关支撑证明材料一并存档</w:t>
            </w:r>
          </w:p>
        </w:tc>
        <w:tc>
          <w:tcPr>
            <w:tcW w:w="767"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c>
          <w:tcPr>
            <w:tcW w:w="111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团委</w:t>
            </w:r>
          </w:p>
        </w:tc>
        <w:tc>
          <w:tcPr>
            <w:tcW w:w="1080" w:type="dxa"/>
            <w:shd w:val="clear" w:color="000000" w:fill="FFFFFF"/>
            <w:vAlign w:val="center"/>
          </w:tcPr>
          <w:p>
            <w:pPr>
              <w:pageBreakBefore w:val="0"/>
              <w:widowControl/>
              <w:kinsoku/>
              <w:wordWrap/>
              <w:overflowPunct/>
              <w:topLinePunct w:val="0"/>
              <w:autoSpaceDE/>
              <w:autoSpaceDN/>
              <w:bidi w:val="0"/>
              <w:spacing w:line="300" w:lineRule="exact"/>
              <w:jc w:val="center"/>
              <w:outlineLvl w:val="9"/>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二级学院</w:t>
            </w:r>
          </w:p>
        </w:tc>
      </w:tr>
    </w:tbl>
    <w:p>
      <w:pPr>
        <w:pageBreakBefore w:val="0"/>
        <w:kinsoku/>
        <w:wordWrap/>
        <w:overflowPunct/>
        <w:topLinePunct w:val="0"/>
        <w:autoSpaceDE/>
        <w:autoSpaceDN/>
        <w:bidi w:val="0"/>
        <w:spacing w:line="580" w:lineRule="exact"/>
        <w:outlineLvl w:val="9"/>
        <w:rPr>
          <w:rFonts w:hint="eastAsia" w:ascii="仿宋_GB2312" w:hAnsi="仿宋_GB2312" w:eastAsia="仿宋_GB2312" w:cs="仿宋_GB2312"/>
          <w:color w:val="000000"/>
          <w:kern w:val="0"/>
          <w:sz w:val="32"/>
          <w:szCs w:val="32"/>
        </w:rPr>
        <w:sectPr>
          <w:headerReference r:id="rId18" w:type="default"/>
          <w:footerReference r:id="rId20" w:type="default"/>
          <w:headerReference r:id="rId19" w:type="even"/>
          <w:footerReference r:id="rId21" w:type="even"/>
          <w:pgSz w:w="16840" w:h="11907" w:orient="landscape"/>
          <w:pgMar w:top="1588" w:right="2098" w:bottom="1474" w:left="1985" w:header="851" w:footer="1060" w:gutter="0"/>
          <w:pgNumType w:fmt="decimal"/>
          <w:cols w:space="720" w:num="1"/>
          <w:docGrid w:type="linesAndChars" w:linePitch="398" w:charSpace="-1216"/>
        </w:sectPr>
      </w:pPr>
    </w:p>
    <w:p>
      <w:pPr>
        <w:pageBreakBefore w:val="0"/>
        <w:widowControl/>
        <w:kinsoku/>
        <w:wordWrap/>
        <w:overflowPunct/>
        <w:topLinePunct w:val="0"/>
        <w:autoSpaceDE/>
        <w:autoSpaceDN/>
        <w:bidi w:val="0"/>
        <w:jc w:val="both"/>
        <w:outlineLvl w:val="9"/>
        <w:rPr>
          <w:rFonts w:hint="eastAsia" w:ascii="仿宋_GB2312" w:eastAsia="仿宋_GB2312"/>
          <w:bCs/>
          <w:sz w:val="32"/>
          <w:szCs w:val="32"/>
        </w:rPr>
        <w:sectPr>
          <w:pgSz w:w="11906" w:h="16838"/>
          <w:pgMar w:top="2098" w:right="1474" w:bottom="1984" w:left="1588" w:header="851" w:footer="992" w:gutter="0"/>
          <w:pgNumType w:fmt="decimal"/>
          <w:cols w:space="720" w:num="1"/>
          <w:docGrid w:type="linesAndChars" w:linePitch="381" w:charSpace="0"/>
        </w:sectPr>
      </w:pPr>
    </w:p>
    <w:p>
      <w:pPr>
        <w:pageBreakBefore w:val="0"/>
        <w:widowControl/>
        <w:kinsoku/>
        <w:wordWrap/>
        <w:overflowPunct/>
        <w:topLinePunct w:val="0"/>
        <w:autoSpaceDE/>
        <w:autoSpaceDN/>
        <w:bidi w:val="0"/>
        <w:jc w:val="left"/>
        <w:outlineLvl w:val="9"/>
        <w:rPr>
          <w:rFonts w:hint="eastAsia" w:ascii="黑体" w:eastAsia="黑体"/>
          <w:sz w:val="32"/>
          <w:szCs w:val="32"/>
        </w:rPr>
      </w:pPr>
      <w:r>
        <w:rPr>
          <w:rFonts w:hint="eastAsia" w:ascii="黑体" w:eastAsia="黑体"/>
          <w:sz w:val="32"/>
          <w:szCs w:val="32"/>
        </w:rPr>
        <w:t>附表4：</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柳州职业技术学院辅导员绩效考核扣分项清单</w:t>
      </w:r>
    </w:p>
    <w:tbl>
      <w:tblPr>
        <w:tblStyle w:val="17"/>
        <w:tblW w:w="8894" w:type="dxa"/>
        <w:jc w:val="center"/>
        <w:tblInd w:w="0" w:type="dxa"/>
        <w:tblLayout w:type="fixed"/>
        <w:tblCellMar>
          <w:top w:w="28" w:type="dxa"/>
          <w:left w:w="108" w:type="dxa"/>
          <w:bottom w:w="28" w:type="dxa"/>
          <w:right w:w="108" w:type="dxa"/>
        </w:tblCellMar>
      </w:tblPr>
      <w:tblGrid>
        <w:gridCol w:w="917"/>
        <w:gridCol w:w="7017"/>
        <w:gridCol w:w="960"/>
      </w:tblGrid>
      <w:tr>
        <w:tblPrEx>
          <w:tblLayout w:type="fixed"/>
          <w:tblCellMar>
            <w:top w:w="28" w:type="dxa"/>
            <w:left w:w="108" w:type="dxa"/>
            <w:bottom w:w="28" w:type="dxa"/>
            <w:right w:w="108" w:type="dxa"/>
          </w:tblCellMar>
        </w:tblPrEx>
        <w:trPr>
          <w:trHeight w:val="508" w:hRule="atLeast"/>
          <w:jc w:val="center"/>
        </w:trPr>
        <w:tc>
          <w:tcPr>
            <w:tcW w:w="91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序号</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违规情况</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b/>
                <w:color w:val="000000"/>
                <w:kern w:val="0"/>
                <w:sz w:val="24"/>
              </w:rPr>
            </w:pPr>
            <w:r>
              <w:rPr>
                <w:rFonts w:hint="eastAsia" w:ascii="仿宋_GB2312" w:eastAsia="仿宋_GB2312"/>
                <w:b/>
                <w:color w:val="000000"/>
                <w:kern w:val="0"/>
                <w:sz w:val="24"/>
              </w:rPr>
              <w:t>分值</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1</w:t>
            </w:r>
          </w:p>
        </w:tc>
        <w:tc>
          <w:tcPr>
            <w:tcW w:w="701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一级工作事故（次）</w:t>
            </w:r>
          </w:p>
        </w:tc>
        <w:tc>
          <w:tcPr>
            <w:tcW w:w="96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3</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2</w:t>
            </w:r>
          </w:p>
        </w:tc>
        <w:tc>
          <w:tcPr>
            <w:tcW w:w="701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二级工作事故（次）</w:t>
            </w:r>
          </w:p>
        </w:tc>
        <w:tc>
          <w:tcPr>
            <w:tcW w:w="96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2</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3</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三级工作事故（次）</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1</w:t>
            </w:r>
          </w:p>
        </w:tc>
      </w:tr>
      <w:tr>
        <w:tblPrEx>
          <w:tblLayout w:type="fixed"/>
          <w:tblCellMar>
            <w:top w:w="28" w:type="dxa"/>
            <w:left w:w="108" w:type="dxa"/>
            <w:bottom w:w="28" w:type="dxa"/>
            <w:right w:w="108" w:type="dxa"/>
          </w:tblCellMar>
        </w:tblPrEx>
        <w:trPr>
          <w:trHeight w:val="510" w:hRule="atLeast"/>
          <w:jc w:val="center"/>
        </w:trPr>
        <w:tc>
          <w:tcPr>
            <w:tcW w:w="917"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4</w:t>
            </w:r>
          </w:p>
        </w:tc>
        <w:tc>
          <w:tcPr>
            <w:tcW w:w="7017"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hAnsi="宋体" w:eastAsia="仿宋_GB2312" w:cs="宋体"/>
                <w:color w:val="000000"/>
                <w:kern w:val="0"/>
                <w:sz w:val="24"/>
              </w:rPr>
            </w:pPr>
            <w:r>
              <w:rPr>
                <w:rFonts w:hint="eastAsia" w:ascii="仿宋_GB2312" w:hAnsi="宋体" w:eastAsia="仿宋_GB2312" w:cs="宋体"/>
                <w:color w:val="000000"/>
                <w:kern w:val="0"/>
                <w:sz w:val="24"/>
              </w:rPr>
              <w:t>督导通报批评（次）</w:t>
            </w:r>
          </w:p>
        </w:tc>
        <w:tc>
          <w:tcPr>
            <w:tcW w:w="9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autoSpaceDE/>
              <w:autoSpaceDN/>
              <w:bidi w:val="0"/>
              <w:spacing w:line="320" w:lineRule="exact"/>
              <w:jc w:val="center"/>
              <w:outlineLvl w:val="9"/>
              <w:rPr>
                <w:rFonts w:ascii="仿宋_GB2312" w:eastAsia="仿宋_GB2312"/>
                <w:color w:val="000000"/>
                <w:kern w:val="0"/>
                <w:sz w:val="24"/>
              </w:rPr>
            </w:pPr>
            <w:r>
              <w:rPr>
                <w:rFonts w:hint="eastAsia" w:ascii="仿宋_GB2312" w:eastAsia="仿宋_GB2312"/>
                <w:color w:val="000000"/>
                <w:kern w:val="0"/>
                <w:sz w:val="24"/>
              </w:rPr>
              <w:t>0.5</w:t>
            </w:r>
          </w:p>
        </w:tc>
      </w:tr>
    </w:tbl>
    <w:p>
      <w:pPr>
        <w:pageBreakBefore w:val="0"/>
        <w:widowControl/>
        <w:kinsoku/>
        <w:wordWrap/>
        <w:overflowPunct/>
        <w:topLinePunct w:val="0"/>
        <w:autoSpaceDE/>
        <w:autoSpaceDN/>
        <w:bidi w:val="0"/>
        <w:spacing w:line="620" w:lineRule="exact"/>
        <w:outlineLvl w:val="9"/>
        <w:rPr>
          <w:rFonts w:ascii="宋体" w:hAnsi="宋体" w:cs="仿宋_GB2312"/>
          <w:color w:val="000000"/>
          <w:szCs w:val="28"/>
        </w:rPr>
      </w:pPr>
      <w:r>
        <w:rPr>
          <w:rFonts w:hint="eastAsia" w:ascii="仿宋_GB2312" w:eastAsia="仿宋_GB2312"/>
          <w:color w:val="000000"/>
          <w:sz w:val="21"/>
          <w:szCs w:val="21"/>
        </w:rPr>
        <w:t>注：根据《柳州职业技术学院工作事故认定及处理暂行办法》（柳职院字〔2017〕30号）</w:t>
      </w:r>
    </w:p>
    <w:p>
      <w:pPr>
        <w:pageBreakBefore w:val="0"/>
        <w:widowControl/>
        <w:kinsoku/>
        <w:wordWrap/>
        <w:overflowPunct/>
        <w:topLinePunct w:val="0"/>
        <w:autoSpaceDE/>
        <w:autoSpaceDN/>
        <w:bidi w:val="0"/>
        <w:jc w:val="center"/>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asciiTheme="minorEastAsia" w:hAnsiTheme="minorEastAsia" w:eastAsiaTheme="minorEastAsia"/>
          <w:b/>
          <w:bCs/>
          <w:color w:val="000000"/>
          <w:kern w:val="2"/>
          <w:sz w:val="36"/>
          <w:szCs w:val="36"/>
        </w:rPr>
      </w:pPr>
      <w:bookmarkStart w:id="362" w:name="_Toc534377781"/>
      <w:bookmarkStart w:id="363" w:name="_Toc15272"/>
      <w:bookmarkStart w:id="364" w:name="_Toc27190"/>
      <w:bookmarkStart w:id="365" w:name="_Toc17891"/>
      <w:r>
        <w:rPr>
          <w:rFonts w:hint="eastAsia" w:asciiTheme="minorEastAsia" w:hAnsiTheme="minorEastAsia" w:eastAsiaTheme="minorEastAsia"/>
          <w:b/>
          <w:bCs/>
          <w:color w:val="000000"/>
          <w:kern w:val="2"/>
          <w:sz w:val="36"/>
          <w:szCs w:val="36"/>
        </w:rPr>
        <w:t>柳州职业技术学院</w:t>
      </w:r>
      <w:bookmarkEnd w:id="362"/>
      <w:bookmarkStart w:id="366" w:name="_Toc534377782"/>
      <w:r>
        <w:rPr>
          <w:rFonts w:hint="eastAsia" w:asciiTheme="minorEastAsia" w:hAnsiTheme="minorEastAsia" w:eastAsiaTheme="minorEastAsia"/>
          <w:b/>
          <w:bCs/>
          <w:color w:val="000000"/>
          <w:kern w:val="2"/>
          <w:sz w:val="36"/>
          <w:szCs w:val="36"/>
        </w:rPr>
        <w:t>优秀人才工作室建设与管理办法（暂行）</w:t>
      </w:r>
      <w:bookmarkEnd w:id="363"/>
      <w:bookmarkEnd w:id="364"/>
      <w:bookmarkEnd w:id="365"/>
      <w:bookmarkEnd w:id="366"/>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（柳职院字〔2017〕44号）</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为进一步加快我校人才队伍建设，为优秀人才成长创造更为有利的学习、工作、发展环境，培育一批有影响力的专业领军人物，发挥他们在广大教师专业成长中的示范引领和辐射带动作用，“十三五”期间，学校决定开展优秀人才工作室建设，为确保建设工作的顺利开展，特制订本办法。</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一、优秀人才工作室定位</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优秀人才工作室是以学校优秀人才为核心，吸引其他教师加入而组成的高端人才继续教育新型学习组织，是以提高教育教学水平、科学研究能力、技术技能水平、管理水平和促进教师持续发展为目的的交流平台和研修共同体。</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二、优秀人才工作室命名</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优秀人才工作室原则上依托二级学院（部）建立，由学校批准和授牌，工作室以主持人姓名+职称（学位、称号）命名。</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三、优秀人才工作室人员组成</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优秀人才工作室由主持人、室员组成。主持人是工作室的责任人，负责工作室的全面工作；室员原则上是由与主持人在教学、科研、技术技能、管理领域相关的、具有梯队层次的骨干教师和青年教师组成，还可根据需要吸收若干名行业企业专家、能工巧匠，鼓励工作室与有关学校、企业合作。</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四、优秀人才工作室主要职责</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主持人根据自己的专业背景、业务特长及学校和二级学院（部）建设发展需要，在教育教学改革、科学研究、技术开发、工艺创新、管理创新、教师培养、社会服务等领域，选择一到两个方面为工作室目标定位和研究特色开展工作，形成示范引领和辐射帮扶的突出成果，彰显工作室的亮点和品牌效应。</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五、优秀人才工作室主持人的条件</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1.主持人为学校教职工（含签约聘用人员）。</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2.具备下列资格条件之一：博士学位；正高级专业技术职务；各级教学名师；自治区（省）级以上优秀高技能人才称号；各级劳模；柳州市“新世纪个十百人才工程”二层次人才；柳州市拔尖人才。</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3.有良好的职业道德。</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4.有工作热情，并致力于自身的不断成长发展。</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5.有较强的专业引领、教育教学、项目研究、培养指导和组织协调能力。</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6.有履行优秀人才工作室主要职责的必要条件。</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7.不具备上述第2点规定的资格条件，但同时具备下列条件者，可申请破格：</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（1）有较突出的专业特长并在本专业行业领域有一定影响力（提供相关证明材料）。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（2）所在部门推荐。</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六、优秀人才成员入室办法</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优秀人才工作室其它成员的入室条件和管理办法由主持人会同工作室所在部门商定。</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七、优秀人才工作室申报评选程序</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个人报名或组织推荐。个人向所在部门申请，组织推荐的要征得推荐人选本人同意，填写《柳州职业技术学院优秀人才工作室申报表》。在行政教辅部门工作的人员可根据工作室的定位及相关工作内容归口到相应二级学院（部）申请，不能归口的直接向教职工发展中心申请。</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二级学院（部）及相关部门审核。二级学院（部）及相关部门根据工作室职责、学校和部门建设发展需要，与申请人共同研究确定工作室建设目标任务（目标任务应有量化指标），并负责审核《柳州职业技术学院优秀人才工作室申报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3.校学术委员会评审。学术委员会根据申报人业绩成果、工作室建设目标定位、建设方案的可行性、建设内容与学校、二级学院（部）发展的关联性、建设成果的突破性等方面进行评审。</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4.学校党委研究决定。</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5.公示。</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6.授予证书和牌匾。</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八、优秀人才工作室建设周期及名额</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优秀人才工作室建设周期一般为三年，原则上每年开展一次申报评选工作,每年建设名额根据具体情况确定。</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九、优秀人才工作室的管理</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1.教职工发展中心负责优秀人才工作室的统筹管理，定期组织优秀人才工作室主持人学习交流。</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2.二级学院（部）将优秀人才工作室建设纳入本部门教师队伍建设范畴，负责工作室的日常管理，给主持人提供业务指导、定期进行业务检查。</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优秀人才工作室主持人负责组织制定本工作室管理制度，工作室整体发展规划和年度工作计划，根据计划组织开展各项活动，编制工作经费预算，组织做好室员学习发展、过程性资料和物化成果的建档管理，做好工作室的年度工作总结。</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4.优秀人才工作室室员根据工作室整体发展规划和年度工作计划制定个人工作计划和学习计划。</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十、优秀人才工作室考核</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1.优秀人才工作室实行年度考核和终期考核。年度考核工作进展情况，终期考核预期成果实现情况。</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2.二级学院（部）根据工作室职责、申报书中提出的建设目标和任务指标、预期成果等，自行制定考核方案、确定量化的考核指标。考核方案报教职工发展中心备案。</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年度考核由各二级学院（部）自行组织。终期考核由教职工发展中心会同各二级学院（部）开展。终期考核采取自我考核（30%）、部门考核（50%）和学校考核（20%）相结合的方式，学校考核主要是在自我考核和部门考核的基础上，核对建设目标和预期成果实现的情况。因客观原因不能取得预期成果，应作出说明，经学术委员会评议、学校审核同意后可申请延期或调整建设目标。</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考核的结果分为合格和不合格。第一年年度考核不合格者，工作室根据二级学院（部）整改意见进行整改，连续两年考核不合格者，撤消工作室，终止使用拨付的经费；终期考核合格者可申请进入下一周期工作室建设。</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十一、优秀人才工作室的保障措施</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工作条件保障。学校为优秀人才工作室提供独立的工作场所，也可根据需要将工作室建在实验室或实训基地中。配备必要的办公设备（笔记本电脑1台、打印机1台、小型投影仪1个、办公桌椅1套、小型会议桌椅1套、文件柜2个、白板1块、空调、固定电话等）。因研究项目需要配置必要的研究设备的，由申报人另行提出申请。</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2.制度保障。优秀人才工作室的职责纳入学校日常教育教学科研工作。优秀人才工作室的建设列入教职工发展中心和各二级学院（部）绩效考核范围，教师在工作室的学习和工作列入个人绩效考核范围。</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经费保障。学校为优秀人才工作室提供活动经费。建设期内每个工作室5万元，主要用于主持人国内学习考察交流、研究活动、工作室日常办公用品、小型办公设备、工作室自主开展培训、指导教师的课酬等。其中用于支付校内教师承担培训和指导教师的课酬不超过总经费的四分之一；如需聘请校外专家，用于支付校外专家的费用一般不超过总经费的五分之一。经费由学校列入二级学院（部）年度预算，支出按学校财务管理规定执行。学校根据工作需要选送主持人出国出境学习培训，经费另行预算；工作室其他成员外出学习培训所需经费不在此列。</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工作室主持人可根据研究工作的需要申请学校专职科研岗位，具体按《柳州职业技术学院专职科研岗位管理办法》执行。如果申请了专职科研岗位，工作条件和活动经费按就高原则配置，不重复配置;工作职责和考核按专职科研岗位的相关要求执行，不重复考核。</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十二、其它</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1.本办法是学校培养高层次人才的措施之一，如需拓展本项目的工作室职责，拓展部分业务的管理、考核由相关业务主管部门组织，所需经费由相关预算项目支出。</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2.各二级学院（部）引进行业企业专家为主持人在学校建立的工作室不列入本办法管理范畴。</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3.本办法由教职工发展中心负责解释。</w:t>
      </w:r>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rPr>
      </w:pPr>
      <w:bookmarkStart w:id="367" w:name="_Toc534377786"/>
      <w:bookmarkStart w:id="368" w:name="_Toc1875"/>
      <w:bookmarkStart w:id="369" w:name="_Toc941"/>
      <w:bookmarkStart w:id="370" w:name="_Toc3350"/>
      <w:r>
        <w:rPr>
          <w:rFonts w:hint="eastAsia" w:asciiTheme="minorEastAsia" w:hAnsiTheme="minorEastAsia" w:eastAsiaTheme="minorEastAsia"/>
          <w:b/>
          <w:bCs/>
          <w:color w:val="000000"/>
          <w:kern w:val="2"/>
          <w:sz w:val="36"/>
          <w:szCs w:val="36"/>
        </w:rPr>
        <w:t>柳州职业技术学院人事档案收集归档规定</w:t>
      </w:r>
      <w:bookmarkEnd w:id="367"/>
      <w:bookmarkEnd w:id="368"/>
      <w:bookmarkEnd w:id="369"/>
      <w:bookmarkEnd w:id="370"/>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（柳职院人字〔2017〕1号）</w:t>
      </w:r>
    </w:p>
    <w:p>
      <w:pPr>
        <w:pageBreakBefore w:val="0"/>
        <w:kinsoku/>
        <w:wordWrap/>
        <w:overflowPunct/>
        <w:topLinePunct w:val="0"/>
        <w:autoSpaceDE/>
        <w:autoSpaceDN/>
        <w:bidi w:val="0"/>
        <w:spacing w:line="570" w:lineRule="exact"/>
        <w:jc w:val="center"/>
        <w:outlineLvl w:val="9"/>
        <w:rPr>
          <w:rFonts w:ascii="宋体" w:hAnsi="宋体" w:cs="宋体"/>
          <w:b/>
          <w:bCs/>
          <w:color w:val="000000"/>
          <w:kern w:val="0"/>
          <w:sz w:val="36"/>
          <w:szCs w:val="36"/>
        </w:rPr>
      </w:pP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为了确保我校人事档案的齐全完整，有效利用，特制定本规定。</w:t>
      </w:r>
    </w:p>
    <w:p>
      <w:pPr>
        <w:pageBreakBefore w:val="0"/>
        <w:kinsoku/>
        <w:wordWrap/>
        <w:overflowPunct/>
        <w:topLinePunct w:val="0"/>
        <w:autoSpaceDE/>
        <w:autoSpaceDN/>
        <w:bidi w:val="0"/>
        <w:spacing w:line="570" w:lineRule="exact"/>
        <w:ind w:firstLine="643" w:firstLineChars="200"/>
        <w:outlineLvl w:val="9"/>
        <w:rPr>
          <w:rFonts w:ascii="黑体" w:hAnsi="黑体" w:eastAsia="黑体"/>
          <w:b/>
          <w:sz w:val="32"/>
          <w:szCs w:val="32"/>
        </w:rPr>
      </w:pPr>
      <w:r>
        <w:rPr>
          <w:rFonts w:hint="eastAsia" w:ascii="黑体" w:hAnsi="黑体" w:eastAsia="黑体"/>
          <w:b/>
          <w:sz w:val="32"/>
          <w:szCs w:val="32"/>
        </w:rPr>
        <w:t>一、归档要求与职责</w:t>
      </w:r>
    </w:p>
    <w:p>
      <w:pPr>
        <w:pageBreakBefore w:val="0"/>
        <w:kinsoku/>
        <w:wordWrap/>
        <w:overflowPunct/>
        <w:topLinePunct w:val="0"/>
        <w:autoSpaceDE/>
        <w:autoSpaceDN/>
        <w:bidi w:val="0"/>
        <w:spacing w:line="570" w:lineRule="exact"/>
        <w:ind w:firstLine="643" w:firstLineChars="200"/>
        <w:outlineLvl w:val="9"/>
        <w:rPr>
          <w:rFonts w:ascii="仿宋_GB2312" w:eastAsia="仿宋_GB2312"/>
          <w:sz w:val="32"/>
          <w:szCs w:val="32"/>
        </w:rPr>
      </w:pPr>
      <w:r>
        <w:rPr>
          <w:rFonts w:hint="eastAsia" w:ascii="楷体_GB2312" w:hAnsi="新宋体" w:eastAsia="楷体_GB2312"/>
          <w:b/>
          <w:sz w:val="32"/>
          <w:szCs w:val="32"/>
        </w:rPr>
        <w:t>（一）</w:t>
      </w:r>
      <w:r>
        <w:rPr>
          <w:rFonts w:hint="eastAsia" w:ascii="仿宋_GB2312" w:eastAsia="仿宋_GB2312"/>
          <w:sz w:val="32"/>
          <w:szCs w:val="32"/>
        </w:rPr>
        <w:t>每年12月31日前进行归档，可将当年形成的档案材料进行归档，也可将新形成的档案材料随时归档，归档时有归档清单。</w:t>
      </w:r>
    </w:p>
    <w:p>
      <w:pPr>
        <w:pageBreakBefore w:val="0"/>
        <w:kinsoku/>
        <w:wordWrap/>
        <w:overflowPunct/>
        <w:topLinePunct w:val="0"/>
        <w:autoSpaceDE/>
        <w:autoSpaceDN/>
        <w:bidi w:val="0"/>
        <w:spacing w:line="570" w:lineRule="exact"/>
        <w:ind w:firstLine="643" w:firstLineChars="200"/>
        <w:outlineLvl w:val="9"/>
        <w:rPr>
          <w:rFonts w:ascii="仿宋_GB2312" w:eastAsia="仿宋_GB2312"/>
          <w:sz w:val="32"/>
          <w:szCs w:val="32"/>
        </w:rPr>
      </w:pPr>
      <w:r>
        <w:rPr>
          <w:rFonts w:hint="eastAsia" w:ascii="楷体_GB2312" w:hAnsi="新宋体" w:eastAsia="楷体_GB2312"/>
          <w:b/>
          <w:sz w:val="32"/>
          <w:szCs w:val="32"/>
        </w:rPr>
        <w:t>（二）</w:t>
      </w:r>
      <w:r>
        <w:rPr>
          <w:rFonts w:hint="eastAsia" w:ascii="仿宋_GB2312" w:eastAsia="仿宋_GB2312"/>
          <w:sz w:val="32"/>
          <w:szCs w:val="32"/>
        </w:rPr>
        <w:t>归档材料必须过程完整，材料必须是铅印、胶印、油印、激光打印或用蓝黑墨水、碳素墨水、墨汁书写，不能用圆珠笔、铅笔、红墨水、纯蓝墨水书写，已正式形成事实的材料，应字迹清楚、对象明确，有承办单位公章，有材料形成时间。</w:t>
      </w:r>
    </w:p>
    <w:p>
      <w:pPr>
        <w:pageBreakBefore w:val="0"/>
        <w:kinsoku/>
        <w:wordWrap/>
        <w:overflowPunct/>
        <w:topLinePunct w:val="0"/>
        <w:autoSpaceDE/>
        <w:autoSpaceDN/>
        <w:bidi w:val="0"/>
        <w:spacing w:line="570" w:lineRule="exact"/>
        <w:ind w:firstLine="643" w:firstLineChars="200"/>
        <w:outlineLvl w:val="9"/>
        <w:rPr>
          <w:rFonts w:ascii="仿宋_GB2312" w:eastAsia="仿宋_GB2312"/>
          <w:sz w:val="32"/>
          <w:szCs w:val="32"/>
        </w:rPr>
      </w:pPr>
      <w:r>
        <w:rPr>
          <w:rFonts w:hint="eastAsia" w:ascii="楷体_GB2312" w:hAnsi="新宋体" w:eastAsia="楷体_GB2312"/>
          <w:b/>
          <w:sz w:val="32"/>
          <w:szCs w:val="32"/>
        </w:rPr>
        <w:t>（三）</w:t>
      </w:r>
      <w:r>
        <w:rPr>
          <w:rFonts w:hint="eastAsia" w:ascii="仿宋_GB2312" w:eastAsia="仿宋_GB2312"/>
          <w:sz w:val="32"/>
          <w:szCs w:val="32"/>
        </w:rPr>
        <w:t>档案及档案材料归档时，人事档案室必须进行清点，双方核对无误后签字。</w:t>
      </w:r>
    </w:p>
    <w:p>
      <w:pPr>
        <w:pageBreakBefore w:val="0"/>
        <w:kinsoku/>
        <w:wordWrap/>
        <w:overflowPunct/>
        <w:topLinePunct w:val="0"/>
        <w:autoSpaceDE/>
        <w:autoSpaceDN/>
        <w:bidi w:val="0"/>
        <w:spacing w:line="570" w:lineRule="exact"/>
        <w:ind w:firstLine="643" w:firstLineChars="200"/>
        <w:outlineLvl w:val="9"/>
        <w:rPr>
          <w:rFonts w:ascii="仿宋_GB2312" w:eastAsia="仿宋_GB2312"/>
          <w:sz w:val="32"/>
          <w:szCs w:val="32"/>
        </w:rPr>
      </w:pPr>
      <w:r>
        <w:rPr>
          <w:rFonts w:hint="eastAsia" w:ascii="楷体_GB2312" w:hAnsi="新宋体" w:eastAsia="楷体_GB2312"/>
          <w:b/>
          <w:sz w:val="32"/>
          <w:szCs w:val="32"/>
        </w:rPr>
        <w:t>（四）</w:t>
      </w:r>
      <w:r>
        <w:rPr>
          <w:rFonts w:hint="eastAsia" w:ascii="仿宋_GB2312" w:eastAsia="仿宋_GB2312"/>
          <w:sz w:val="32"/>
          <w:szCs w:val="32"/>
        </w:rPr>
        <w:t>需经组织审查盖章或本人签字的，要严格履行手续后再归档。规定要与本人见面的材料（如审查结论、复查结论，处分决定或意见、辞职辞退等），应有本人签字，特殊情况本人见面未签字的，可由组织注明。</w:t>
      </w:r>
    </w:p>
    <w:p>
      <w:pPr>
        <w:pageBreakBefore w:val="0"/>
        <w:kinsoku/>
        <w:wordWrap/>
        <w:overflowPunct/>
        <w:topLinePunct w:val="0"/>
        <w:autoSpaceDE/>
        <w:autoSpaceDN/>
        <w:bidi w:val="0"/>
        <w:spacing w:line="570" w:lineRule="exact"/>
        <w:ind w:firstLine="643" w:firstLineChars="200"/>
        <w:outlineLvl w:val="9"/>
        <w:rPr>
          <w:rFonts w:ascii="黑体" w:hAnsi="黑体" w:eastAsia="黑体"/>
          <w:b/>
          <w:sz w:val="32"/>
          <w:szCs w:val="32"/>
        </w:rPr>
      </w:pPr>
      <w:r>
        <w:rPr>
          <w:rFonts w:hint="eastAsia" w:ascii="黑体" w:hAnsi="黑体" w:eastAsia="黑体"/>
          <w:b/>
          <w:sz w:val="32"/>
          <w:szCs w:val="32"/>
        </w:rPr>
        <w:t>二、各部门归档范围和要求</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（一）组织部（统战部）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1.入党材料（已转正的正式党员材料）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入党积极分子培养考察登记表，入党志愿书、入党申请书、转正申请书、自传、外调政审材料；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认定为不合格党员被劝退或除名的主要事实依据材料和组织审批材料，延长入党预备期的有关材料及取消预备党员资格的组织意见；</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退党、自行脱党材料；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恢复组织生活(党籍)的有关审批材料。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2.干部任免审批表（副科级以上）</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干部任免审批表”各项内容均需填写，不能有空项。而且出生、参加工作及入党三个时间必须准确，简历必须连续且其中参加工作时间须和前面对应，任免理由必须按实际情况填写（如续聘、部门调动、提拔、部门名称变更等），家庭成员（配偶、子女、父母）信息准确。并注明批准时间、批准文号，加盖呈报部门和批准部门公章。</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干部试用期满审批表。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3．干部考察材料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初任或晋升职务时必须有干部考察材料，考察材料要有考察人签字和组织部门盖章、注明材料形成时间，随干部任免审批表一并归档。</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4．校级干部年度考核表。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5．政治审查材料，如重大政治、突发事件和重大任务中表现材料。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6．市厅及以上级优秀党员、党务工作者等获奖材料，材料内容、公章齐全。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7．处级及以上干部因公出国审查表，以及出国鉴定、小结（半年以上必须提交，有本人签字）。</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8．参加中央党校或市委党校等干部培训班材料。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9．学校外派挂职锻炼材料。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10．领导干部个人重大事项报告单（有变动的归档）。</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11．领导干部在任期内经济责任审计结果报告。</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12. 加入、退出各民主党派的材料；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13.党代会、人代会、政协会议、人民团体和群众团体代表会议、民主党派代表会议形成的材料，委员当选通知或证明材料，委员简历，代表登记表等。</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以及不同时期由组织部组织填写并要求归档的材料。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（二）人事处</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人事劳资科：</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1.人事材料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（1）新进人员干部（职工）履历表；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干部履历表应逐项填写，不能有空白，无填写内容的写“无”，必须有照片；学习经历从小学开始，工作经历从第一次工作开始，时间上、经历上必须连贯；家庭成员必须包括父母、配偶、子女、对方父母，或其他社会关系；“其他说明情况栏”内填写家庭和户籍地址；必须有本人签名、日期，审查机关公章、日期。</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（2）新录用、调动职工材料（随干部履历表一并归档）、体检表；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（3）岗位聘用人员登记表、教职工岗位聘用合同（含变更书）；</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（4）教职工调动、辞职、终止合同等相关材料；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（5）出国留学人员学历认证书（经教育部授权单位出具的）和成绩单；</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（6）军人转业（复员）、退休呈报表；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（7）年度考核表、年度考核奖励审批表；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（8）人事处负责处理的处分（包括甄别、自查结论、解除处分决定）；</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（9）人事争议仲裁裁决书(调解书)。</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（10）辞职、辞退、罢免材料，自愿辞职，引咎辞职的个人申请同意辞职材料以及对决定不服的申诉材料、复议决定等</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2.劳资材料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（1）确定工资审批表;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（2）调整工资呈报审批表;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（3）工资变动（套改）表;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（4）工资停发（恢复）通知单；</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（5）计算连续工龄审批材料等；</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（6）享受政府津贴的材料；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（7）解决待遇问题的审批材料；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（8）处理工伤事故材料。</w:t>
      </w:r>
    </w:p>
    <w:p>
      <w:pPr>
        <w:pageBreakBefore w:val="0"/>
        <w:kinsoku/>
        <w:wordWrap/>
        <w:overflowPunct/>
        <w:topLinePunct w:val="0"/>
        <w:autoSpaceDE/>
        <w:autoSpaceDN/>
        <w:bidi w:val="0"/>
        <w:spacing w:line="570" w:lineRule="exact"/>
        <w:ind w:firstLine="643" w:firstLineChars="200"/>
        <w:outlineLvl w:val="9"/>
        <w:rPr>
          <w:rFonts w:ascii="仿宋_GB2312" w:eastAsia="仿宋_GB2312"/>
          <w:b/>
          <w:sz w:val="32"/>
          <w:szCs w:val="32"/>
        </w:rPr>
      </w:pPr>
      <w:r>
        <w:rPr>
          <w:rFonts w:hint="eastAsia" w:ascii="仿宋_GB2312" w:eastAsia="仿宋_GB2312"/>
          <w:b/>
          <w:sz w:val="32"/>
          <w:szCs w:val="32"/>
        </w:rPr>
        <w:t>师资科：</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 各类专业技术职务资格评审表、批文、职称复印件；</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转正定级（定职）审批表；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 教职工在职学历提升等相关材料；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 职业(任职)资格考试合格人员登记表或资格证书复印件及高校教师资格认定申请表等；</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5. 各类高层次人才相关申请、认定材料；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6. 县处级以上党政机关、人民团体（中华全国总工会、中国共产主义青年团、中国科学技术协会、中华全国工商联合会、中华全国妇女联合会、中国全国归国华侨联合会、中华全国台湾同胞联谊会、中华全国青年联合会等）等予以表彰、嘉奖、记功或授予荣誉称号的（例如优秀教师、优秀教育工作者、教学名师等）审批（呈报）表或登记表、先进事迹材料及荣誉证书复印件；撤销奖励的有关材料等；</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不同时期由人事处组织填写并要求归档的材料。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（三）教职工发展中心</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1.教职工访学（半年以上）结业证、总结等材料；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2.出国出境学习和中外合作办学学习的相关材料；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3.各种学习、培训材料（公派）：为期两个月以上的学员培训（学习、进修）登记表、考核登记表、结业登记（鉴定）表等。</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（四）纪检、监察室</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教职工涉纪材料：处分决定，免予处分的意见，上级批复，核实(调查、复查)报告及主要依据与证明材料，本人对处分决定的意见、检查、交待及情况说明材料；解除(变更、撤销)处分的材料；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（五）保卫处</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教职工涉法材料：检察院不起诉决定书；法院刑事判决书、裁定书；公安机关作出行政拘留、限制人身自由、没收违法所得、收缴非法财物、追缴违法所得等的行政处理决定等。</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（六）科技开发处</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 教职工获得的科技进步奖、专利奖等市级及以上各级各类科技奖项；</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教职工创造发明、科研成果鉴定等反映科研能力、工作业绩的材料；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 教职工具有重大影响力的著作、译著和论文目录。</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（七）工会</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 全国、自治区、市劳动模范呈报审批表等工会途径申报的奖项材料；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治丧材料；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3. 再生育子女申请审批表等有参考价值的材料；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4. 离退人员具有的外国永久居留证、港澳居民身份证等复印件。</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（八）团委</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 中国共产主义青年团入团志愿书</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市级青年技术能手等申报、审批材料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（九）国际交流中心</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因公出国（境）审批表、在国（境）外表现情况或鉴定等材料。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（十）教务与实训管理处（职业教育研究所）</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教职工获得的自治区一等及以上教学成果奖，自治区级及以上各级各类教学技能奖项证书复印件； </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（十一）学校各部门</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 教学、科研工作及个人表现评定材料，业务考绩材料。</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其他应归档材料。</w:t>
      </w:r>
    </w:p>
    <w:p>
      <w:pPr>
        <w:pageBreakBefore w:val="0"/>
        <w:kinsoku/>
        <w:wordWrap/>
        <w:overflowPunct/>
        <w:topLinePunct w:val="0"/>
        <w:autoSpaceDE/>
        <w:autoSpaceDN/>
        <w:bidi w:val="0"/>
        <w:spacing w:line="570" w:lineRule="exact"/>
        <w:ind w:firstLine="643" w:firstLineChars="200"/>
        <w:outlineLvl w:val="9"/>
        <w:rPr>
          <w:rFonts w:ascii="楷体_GB2312" w:hAnsi="新宋体" w:eastAsia="楷体_GB2312"/>
          <w:b/>
          <w:sz w:val="32"/>
          <w:szCs w:val="32"/>
        </w:rPr>
      </w:pPr>
      <w:r>
        <w:rPr>
          <w:rFonts w:hint="eastAsia" w:ascii="楷体_GB2312" w:hAnsi="新宋体" w:eastAsia="楷体_GB2312"/>
          <w:b/>
          <w:sz w:val="32"/>
          <w:szCs w:val="32"/>
        </w:rPr>
        <w:t>（十二）个人提交</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1.在职人员在外校攻读学位的学籍材料：成人教育、自学考试、党校、军队院校等各类报考登记表、专家推荐表、成绩单、授予学位的材料、毕业生登记表、党校学历证明等。</w:t>
      </w:r>
    </w:p>
    <w:p>
      <w:pPr>
        <w:pageBreakBefore w:val="0"/>
        <w:kinsoku/>
        <w:wordWrap/>
        <w:overflowPunct/>
        <w:topLinePunct w:val="0"/>
        <w:autoSpaceDE/>
        <w:autoSpaceDN/>
        <w:bidi w:val="0"/>
        <w:spacing w:line="570" w:lineRule="exact"/>
        <w:ind w:firstLine="640" w:firstLineChars="200"/>
        <w:outlineLvl w:val="9"/>
        <w:rPr>
          <w:rFonts w:ascii="仿宋_GB2312" w:eastAsia="仿宋_GB2312"/>
          <w:sz w:val="32"/>
          <w:szCs w:val="32"/>
        </w:rPr>
      </w:pPr>
      <w:r>
        <w:rPr>
          <w:rFonts w:hint="eastAsia" w:ascii="仿宋_GB2312" w:eastAsia="仿宋_GB2312"/>
          <w:sz w:val="32"/>
          <w:szCs w:val="32"/>
        </w:rPr>
        <w:t>2. 更改姓名、民族、籍贯，国籍等材料。</w:t>
      </w:r>
    </w:p>
    <w:p>
      <w:pPr>
        <w:pageBreakBefore w:val="0"/>
        <w:widowControl/>
        <w:kinsoku/>
        <w:wordWrap/>
        <w:overflowPunct/>
        <w:topLinePunct w:val="0"/>
        <w:autoSpaceDE/>
        <w:autoSpaceDN/>
        <w:bidi w:val="0"/>
        <w:jc w:val="left"/>
        <w:outlineLvl w:val="9"/>
      </w:pPr>
      <w: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lang w:val="en-US" w:eastAsia="zh-CN"/>
        </w:rPr>
      </w:pPr>
      <w:bookmarkStart w:id="371" w:name="_Toc534379466"/>
      <w:bookmarkStart w:id="372" w:name="_Toc28018"/>
      <w:bookmarkStart w:id="373" w:name="_Toc10477"/>
      <w:bookmarkStart w:id="374" w:name="_Toc2584"/>
      <w:r>
        <w:rPr>
          <w:rFonts w:hint="eastAsia" w:asciiTheme="minorEastAsia" w:hAnsiTheme="minorEastAsia" w:eastAsiaTheme="minorEastAsia"/>
          <w:b/>
          <w:bCs/>
          <w:color w:val="000000"/>
          <w:kern w:val="2"/>
          <w:sz w:val="36"/>
          <w:szCs w:val="36"/>
          <w:lang w:val="en-US" w:eastAsia="zh-CN"/>
        </w:rPr>
        <w:t>关于建立健全柳州职业技术学院</w:t>
      </w:r>
      <w:bookmarkEnd w:id="371"/>
      <w:bookmarkStart w:id="375" w:name="_Toc534379467"/>
      <w:r>
        <w:rPr>
          <w:rFonts w:hint="eastAsia" w:asciiTheme="minorEastAsia" w:hAnsiTheme="minorEastAsia" w:eastAsiaTheme="minorEastAsia"/>
          <w:b/>
          <w:bCs/>
          <w:color w:val="000000"/>
          <w:kern w:val="2"/>
          <w:sz w:val="36"/>
          <w:szCs w:val="36"/>
          <w:lang w:val="en-US" w:eastAsia="zh-CN"/>
        </w:rPr>
        <w:t>师德建设长效机制的实施办法</w:t>
      </w:r>
      <w:bookmarkEnd w:id="372"/>
      <w:bookmarkEnd w:id="373"/>
      <w:bookmarkEnd w:id="374"/>
      <w:bookmarkEnd w:id="375"/>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（柳职院党字〔2018〕13号）</w:t>
      </w:r>
    </w:p>
    <w:p>
      <w:pPr>
        <w:pageBreakBefore w:val="0"/>
        <w:kinsoku/>
        <w:wordWrap/>
        <w:overflowPunct/>
        <w:topLinePunct w:val="0"/>
        <w:autoSpaceDE/>
        <w:autoSpaceDN/>
        <w:bidi w:val="0"/>
        <w:spacing w:line="540" w:lineRule="exact"/>
        <w:ind w:firstLine="640" w:firstLineChars="200"/>
        <w:outlineLvl w:val="9"/>
        <w:rPr>
          <w:rFonts w:ascii="仿宋_GB2312" w:eastAsia="仿宋_GB2312"/>
          <w:sz w:val="32"/>
          <w:szCs w:val="32"/>
        </w:rPr>
      </w:pPr>
    </w:p>
    <w:p>
      <w:pPr>
        <w:pageBreakBefore w:val="0"/>
        <w:kinsoku/>
        <w:wordWrap/>
        <w:overflowPunct/>
        <w:topLinePunct w:val="0"/>
        <w:autoSpaceDE/>
        <w:autoSpaceDN/>
        <w:bidi w:val="0"/>
        <w:spacing w:line="576"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第一章  总  则</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第一条</w:t>
      </w:r>
      <w:r>
        <w:rPr>
          <w:rFonts w:hint="eastAsia" w:ascii="仿宋_GB2312" w:hAnsi="仿宋_GB2312" w:eastAsia="仿宋_GB2312" w:cs="仿宋_GB2312"/>
          <w:kern w:val="0"/>
          <w:sz w:val="32"/>
          <w:szCs w:val="32"/>
          <w:lang w:bidi="ar"/>
        </w:rPr>
        <w:t xml:space="preserve">  根据《中华人民共和国教师法》、《中华人民共和国高等教育法》，为深入贯彻落实《教育部关于建立健全高校师德建设长效机制的意见》（教师〔2014〕10号）、《高等学校教师职业道德规范》（教人〔2011〕11号）以及自治区教育厅《关于建立健全高校师德建设长效机制的实施办法》（桂教人〔2017〕47号）等文件精神，积极引导广大高校教师做有理想信念、有道德情操、有扎实学识、有仁爱之心的党和人民满意的好老师，大力加强和改进师德建设，努力培养造就一支师德高尚、业务精湛、结构合理、充满活力的高素质专业化高校教师队伍，结合学校实际，制定本实施办法。 </w:t>
      </w:r>
    </w:p>
    <w:p>
      <w:pPr>
        <w:pageBreakBefore w:val="0"/>
        <w:kinsoku/>
        <w:wordWrap/>
        <w:overflowPunct/>
        <w:topLinePunct w:val="0"/>
        <w:autoSpaceDE/>
        <w:autoSpaceDN/>
        <w:bidi w:val="0"/>
        <w:spacing w:line="576"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第二条</w:t>
      </w:r>
      <w:r>
        <w:rPr>
          <w:rFonts w:hint="eastAsia" w:ascii="仿宋_GB2312" w:hAnsi="仿宋_GB2312" w:eastAsia="仿宋_GB2312" w:cs="仿宋_GB2312"/>
          <w:kern w:val="0"/>
          <w:sz w:val="32"/>
          <w:szCs w:val="32"/>
          <w:lang w:bidi="ar"/>
        </w:rPr>
        <w:t xml:space="preserve">  本实施办法适用于柳州职业技术学院教师。</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76"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第二章  师德规范</w:t>
      </w:r>
    </w:p>
    <w:p>
      <w:pPr>
        <w:pageBreakBefore w:val="0"/>
        <w:kinsoku/>
        <w:wordWrap/>
        <w:overflowPunct/>
        <w:topLinePunct w:val="0"/>
        <w:autoSpaceDE/>
        <w:autoSpaceDN/>
        <w:bidi w:val="0"/>
        <w:spacing w:line="576"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第三条</w:t>
      </w:r>
      <w:r>
        <w:rPr>
          <w:rFonts w:hint="eastAsia" w:ascii="仿宋_GB2312" w:hAnsi="仿宋_GB2312" w:eastAsia="仿宋_GB2312" w:cs="仿宋_GB2312"/>
          <w:kern w:val="0"/>
          <w:sz w:val="32"/>
          <w:szCs w:val="32"/>
          <w:lang w:bidi="ar"/>
        </w:rPr>
        <w:t xml:space="preserve">  爱国守法。爱国守法是高校教师的基本道德要求。</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（一）热爱祖国，热爱人民，拥护中国共产党领导，拥护中国特色社会主义制度，坚持走中国特色社会主义道路；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（二）树立科学的世界观、人生观和价值观，自觉践行社会主义核心价值观；</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（三）遵守国家宪法、法律及学校的规章制度,全面贯彻党和国家的教育方针，依法履行教师职责，维护社会稳定和校园和谐, 不得出现违背党和国家大政方针、违背宪法法律的言行；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（四）贯彻落实党和国家的民族政策，不得出现危害国家安全、破坏民族团结的言行；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（五）坚持课堂讲授守纪律、公开言论守规矩的原则。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hint="eastAsia" w:ascii="仿宋_GB2312" w:hAnsi="仿宋_GB2312" w:eastAsia="仿宋_GB2312" w:cs="仿宋_GB2312"/>
          <w:kern w:val="0"/>
          <w:sz w:val="32"/>
          <w:szCs w:val="32"/>
          <w:lang w:bidi="ar"/>
        </w:rPr>
        <w:t xml:space="preserve">  敬业爱生。敬业爱生是高校教师的基本职责。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（一）忠诚人民教育事业，热爱教师职业。增强职业责任感和使命感，以人才培养、科学研究、社会服务和文化传承创新为己任，在工作岗位上做到教书育人、管理育人、服务育人；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（二）恪尽职守，甘于奉献。不断拓展知识视野，优化知识结构，努力提高理论素养和职业技能；增强事业心，做学生的良师益友，促进学生健康成长；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（三）关爱学生，严慈相济。建立民主平等、互尊互爱的和谐师生关系，做学生健康成长的指导者和引路人；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（四）尊重学生人格，维护学生的正当权益。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hint="eastAsia" w:ascii="仿宋_GB2312" w:hAnsi="仿宋_GB2312" w:eastAsia="仿宋_GB2312" w:cs="仿宋_GB2312"/>
          <w:kern w:val="0"/>
          <w:sz w:val="32"/>
          <w:szCs w:val="32"/>
          <w:lang w:bidi="ar"/>
        </w:rPr>
        <w:t xml:space="preserve">  教书育人。教书育人是高校教师的根本职责。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坚持育人为本，立德树人。全面实施素质教育，把育人贯穿到人才培养的各环节、全过程，以正确的思想观点、严谨的教风师风影响学生，培养学生良好的思想品德、创新精神和实践能力，促进学生全面发展；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（二）遵循教育教学规律，尊重学生主体地位，更新教育观念，丰富教学内容，改进教学方法，注重因材施教，实现教学相长；</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（三）不得从事影响教育教学工作的兼职工作。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第六条</w:t>
      </w:r>
      <w:r>
        <w:rPr>
          <w:rFonts w:hint="eastAsia" w:ascii="仿宋_GB2312" w:hAnsi="仿宋_GB2312" w:eastAsia="仿宋_GB2312" w:cs="仿宋_GB2312"/>
          <w:kern w:val="0"/>
          <w:sz w:val="32"/>
          <w:szCs w:val="32"/>
          <w:lang w:bidi="ar"/>
        </w:rPr>
        <w:t xml:space="preserve">  严谨治学。严谨治学是高校教师应有的职业操守。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尊重科学规律，弘扬科学精神，坚持追求真理，发扬学术民主，不断提高教学科研能力和专业学术水平，不刻意迎合社会热点，不随意发表传播、代言未经科学实验或调查论证所证实的结论、理论和说法等；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（二）坚持实事求是作风，发扬学术民主，团结合作，协同创新；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（三）坚持学术诚信，坚守学术道德，恪守学术规范，自觉维护学术尊严和学术自由，坚决抵制一切学术失范、学术不端和学术腐败行为；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（四）不得利用科研活动谋取不正当利益。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第七条 </w:t>
      </w:r>
      <w:r>
        <w:rPr>
          <w:rFonts w:hint="eastAsia" w:ascii="仿宋_GB2312" w:hAnsi="仿宋_GB2312" w:eastAsia="仿宋_GB2312" w:cs="仿宋_GB2312"/>
          <w:kern w:val="0"/>
          <w:sz w:val="32"/>
          <w:szCs w:val="32"/>
          <w:lang w:bidi="ar"/>
        </w:rPr>
        <w:t xml:space="preserve"> 服务社会。服务社会是高校教师应尽的社会责任。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（一）树立为社会服务的意识，勇于承担社会责任；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（二）热心社会公益事业，积极参加公益活动，参与决策咨询、对策研究、技术开发和科技培训等服务活动，为政府、企业和社会提供专业化服务，为经济社会发展提供智力支持；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（三）积极传播优秀文化，科学引领社会思潮；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（四）坚决反对滥用学术资源和学术影响损害公共利益。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hint="eastAsia" w:ascii="仿宋_GB2312" w:hAnsi="仿宋_GB2312" w:eastAsia="仿宋_GB2312" w:cs="仿宋_GB2312"/>
          <w:kern w:val="0"/>
          <w:sz w:val="32"/>
          <w:szCs w:val="32"/>
          <w:lang w:bidi="ar"/>
        </w:rPr>
        <w:t xml:space="preserve">  为人师表。为人师表是教师职业素质的内在要求。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（一）坚持以学生为本，学为人师，树立优良教风学风，以身作则，以高尚师德、人格魅力和学识风范教育感染学生；</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（二）模范遵守社会公德和家庭美德，知荣明耻，公道正派，维护社会正义，引领道德风尚；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（三）注重师表风范，言行雅正，举止文明，仪容仪表得体，语言规范健康，师表形象良好； </w:t>
      </w:r>
    </w:p>
    <w:p>
      <w:pPr>
        <w:pageBreakBefore w:val="0"/>
        <w:kinsoku/>
        <w:wordWrap/>
        <w:overflowPunct/>
        <w:topLinePunct w:val="0"/>
        <w:autoSpaceDE/>
        <w:autoSpaceDN/>
        <w:bidi w:val="0"/>
        <w:spacing w:line="576"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（四）自尊自律，清廉从教，情操高尚，自觉抵制社会不良风气的影响，自觉抵制一切有损教师身份和职业声誉的行为，敢于制止有害于学生的行为或者其他侵犯学生合法权益的行为， 批评和抵制有害于学生健康成长的现象,自觉维护高校教师良好的师德风范。</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76"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第三章  实施与管理</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hint="eastAsia" w:ascii="仿宋_GB2312" w:hAnsi="仿宋_GB2312" w:eastAsia="仿宋_GB2312" w:cs="仿宋_GB2312"/>
          <w:kern w:val="0"/>
          <w:sz w:val="32"/>
          <w:szCs w:val="32"/>
          <w:lang w:bidi="ar"/>
        </w:rPr>
        <w:t xml:space="preserve">  建立健全学校师德建设的领导组织机制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（一）学校是师德建设的责任主体，校党委书记、校长是学校师德建设的第一责任人；</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把师德建设摆在教师队伍建设的首位，建立由学校党委牵头，组织、宣传、纪检监察、人事、教务、科研、学生、工会、教学工作委员会、学术委员会等相关职能部门和组织协同配合的师德建设工作委员会；</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（三）实行学校党委统一领导、党政齐抓共管、二级学院具体落实、教师自我约束的领导体制和工作联动机制。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第十条</w:t>
      </w:r>
      <w:r>
        <w:rPr>
          <w:rFonts w:hint="eastAsia" w:ascii="仿宋_GB2312" w:hAnsi="仿宋_GB2312" w:eastAsia="仿宋_GB2312" w:cs="仿宋_GB2312"/>
          <w:kern w:val="0"/>
          <w:sz w:val="32"/>
          <w:szCs w:val="32"/>
          <w:lang w:bidi="ar"/>
        </w:rPr>
        <w:t xml:space="preserve">  建立健全学校师德建设的政策配套机制</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（一）制定切合学校实际的师德建设实施细则；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（二）进一步完善教育教学规范、学术研究规范和校外兼职兼薪规范等配套政策措施；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（三）保证和加大师德建设经费投入力度，为师德建设提供坚实保障。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第十一条</w:t>
      </w:r>
      <w:r>
        <w:rPr>
          <w:rFonts w:hint="eastAsia" w:ascii="仿宋_GB2312" w:hAnsi="仿宋_GB2312" w:eastAsia="仿宋_GB2312" w:cs="仿宋_GB2312"/>
          <w:kern w:val="0"/>
          <w:sz w:val="32"/>
          <w:szCs w:val="32"/>
          <w:lang w:bidi="ar"/>
        </w:rPr>
        <w:t xml:space="preserve">  建立健全学校师德建设的舆论引导机制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（一）要将师德宣传纳入年度宣传工作重点，宣传优秀教师的先进事迹；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（二）定期举办师德论坛，促进师德建设的理论创新、制度创新和管理创新，推动师德建设科学化、制度化；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充分利用教师节等重大节庆日、纪念日，通过板报、宣传标语、电视、广播、报纸、网站及微博、微信、微电影等媒体形式，集中宣传学校优秀教师的典型事迹，努力营造崇尚师德、争创典范的良好舆论环境和社会氛围；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（四）对于学校师德建设中出现的热点难点问题，要及时应对并有效引导。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第十二条 </w:t>
      </w:r>
      <w:r>
        <w:rPr>
          <w:rFonts w:hint="eastAsia" w:ascii="仿宋_GB2312" w:hAnsi="仿宋_GB2312" w:eastAsia="仿宋_GB2312" w:cs="仿宋_GB2312"/>
          <w:kern w:val="0"/>
          <w:sz w:val="32"/>
          <w:szCs w:val="32"/>
          <w:lang w:bidi="ar"/>
        </w:rPr>
        <w:t xml:space="preserve"> 健全完善学校师德教育培训机制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（一）加大经费投入，充分运用“互联网+”、大数据、人工智能等新思维、新手段，搭建教育交流平台，不断提升师德建设科学化水平；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（二）将师德教育列为新教师入职培训的重要内容，积极探索对新入职教师的道德考察、师德典型宣传和廉洁警示教育等有效形式；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（三）加大对专任教师、辅导员等的师德培训力度；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（四）实行新教师入职宣誓制度和教师师德承诺制度；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（五）定期开展师德典型的评选活动，大力宣传和表彰奖励优秀教师，全面加强和改进师德教育。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建立健全学校师德考核机制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（一）制定操作性强的教师职业道德考核、奖励等实施细则，将师德纳入教师考核评价体系；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（二）成立师德考核工作小组，制定考核办法，每年对教师进行师德考核，考核结果存入个人师德档案；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（三）将师德考核结果作为教师资格认定、职称（职务）评聘、岗位聘任、奖惩、绩效考核等的首要依据，严格执行“一票否决制”。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第十四条 </w:t>
      </w:r>
      <w:r>
        <w:rPr>
          <w:rFonts w:hint="eastAsia" w:ascii="仿宋_GB2312" w:hAnsi="仿宋_GB2312" w:eastAsia="仿宋_GB2312" w:cs="仿宋_GB2312"/>
          <w:kern w:val="0"/>
          <w:sz w:val="32"/>
          <w:szCs w:val="32"/>
          <w:lang w:bidi="ar"/>
        </w:rPr>
        <w:t xml:space="preserve"> 建立健全师德监督机制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（一）建立健全师德建设年度评议、师德状况调研、师德重大问题报告和师德舆情快速反应制度，构建学校、教师、学生、家长和社会多方参与的师德监督体系；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（二）健全完善学生评教机制；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（三）充分发挥教职工代表大会、工会、教学工作委员会、学术委员会等在师德建设中的作用；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（四）建立师德投诉举报平台，及时掌握师德信息动态，及时纠正不良倾向和问题。对师德问题做到有诉必查，有查必果，有果必复。</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（五）建立和完善师德建设督导评估制度，加大督导检查力度，把师德建设列为学校教学评估考核的重要内容。学校主管部门对师德建设负有督导职责。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（六）建立师德建设的申诉机制，为被投诉人提供畅通的申诉渠道，保障教师合法利益。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第十五条</w:t>
      </w:r>
      <w:r>
        <w:rPr>
          <w:rFonts w:hint="eastAsia" w:ascii="仿宋_GB2312" w:hAnsi="仿宋_GB2312" w:eastAsia="仿宋_GB2312" w:cs="仿宋_GB2312"/>
          <w:kern w:val="0"/>
          <w:sz w:val="32"/>
          <w:szCs w:val="32"/>
          <w:lang w:bidi="ar"/>
        </w:rPr>
        <w:t xml:space="preserve">  建立健全学校师德表彰奖励机制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将师德表现作为评奖评优的首要条件,在同等条件下，对于师德表现突出者，在教师职务（职称）评聘和岗位聘用，骨干教师、学科带头人和学科领军人物选培，各类高层次人才评选中，给予优先考虑。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hint="eastAsia" w:ascii="仿宋_GB2312" w:hAnsi="仿宋_GB2312" w:eastAsia="仿宋_GB2312" w:cs="仿宋_GB2312"/>
          <w:kern w:val="0"/>
          <w:sz w:val="32"/>
          <w:szCs w:val="32"/>
          <w:lang w:bidi="ar"/>
        </w:rPr>
        <w:t xml:space="preserve">  健全完善学校教师违反师德行为惩处机制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学校教师不得有下列情形：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（一）损害国家利益，损害学生和学校合法权益的行为；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（二）在教育教学活动中有违背党的路线方针政策的言行；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（三）在科研工作中弄虚作假、抄袭剽窃、篡改侵吞他人学术成果、违规使用科研经费以及滥用学术资源和学术影响；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（四）影响正常教育教学工作的兼职兼薪行为；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（五）在招生、考试、学生推优等工作中徇私舞弊；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（六）索要或收受学生及家长的礼品、礼金、有价证券、支付凭证等财物；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（七）对学生实施性骚扰或与学生发生不正当关系；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（八）其他违反高校教师职业道德的行为。</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有上述情形的，要依法依规分别给予警告、记过、降低专业技术职务等级、撤销专业技术职务或者行政职务、解除聘用合同或者开除。对严重违法违纪的要及时移交相关部门。 </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建立健全学校教师违反师德行为问责机制 </w:t>
      </w:r>
    </w:p>
    <w:p>
      <w:pPr>
        <w:pageBreakBefore w:val="0"/>
        <w:kinsoku/>
        <w:wordWrap/>
        <w:overflowPunct/>
        <w:topLinePunct w:val="0"/>
        <w:autoSpaceDE/>
        <w:autoSpaceDN/>
        <w:bidi w:val="0"/>
        <w:spacing w:line="576"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 xml:space="preserve">建立“一岗双责”的责任追究机制，对学校教师严重违反师德行为监管不力、拒不处分、拖延处分或推诿隐瞒，造成不良影响或严重后果的，追究主要负责人的责任。 </w:t>
      </w:r>
    </w:p>
    <w:p>
      <w:pPr>
        <w:pageBreakBefore w:val="0"/>
        <w:kinsoku/>
        <w:wordWrap/>
        <w:overflowPunct/>
        <w:topLinePunct w:val="0"/>
        <w:autoSpaceDE/>
        <w:autoSpaceDN/>
        <w:bidi w:val="0"/>
        <w:spacing w:line="576" w:lineRule="exact"/>
        <w:ind w:firstLine="640" w:firstLineChars="200"/>
        <w:outlineLvl w:val="9"/>
        <w:rPr>
          <w:rFonts w:ascii="仿宋_GB2312" w:hAnsi="仿宋_GB2312" w:eastAsia="仿宋_GB2312" w:cs="仿宋_GB2312"/>
          <w:kern w:val="0"/>
          <w:sz w:val="32"/>
          <w:szCs w:val="32"/>
          <w:lang w:bidi="ar"/>
        </w:rPr>
      </w:pPr>
    </w:p>
    <w:p>
      <w:pPr>
        <w:pageBreakBefore w:val="0"/>
        <w:kinsoku/>
        <w:wordWrap/>
        <w:overflowPunct/>
        <w:topLinePunct w:val="0"/>
        <w:autoSpaceDE/>
        <w:autoSpaceDN/>
        <w:bidi w:val="0"/>
        <w:spacing w:line="576"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第四章  附  则</w:t>
      </w:r>
    </w:p>
    <w:p>
      <w:pPr>
        <w:pageBreakBefore w:val="0"/>
        <w:kinsoku/>
        <w:wordWrap/>
        <w:overflowPunct/>
        <w:topLinePunct w:val="0"/>
        <w:autoSpaceDE/>
        <w:autoSpaceDN/>
        <w:bidi w:val="0"/>
        <w:spacing w:line="576"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本办法由中共柳州职业技术学院委员会负责解释。</w:t>
      </w:r>
    </w:p>
    <w:p>
      <w:pPr>
        <w:pageBreakBefore w:val="0"/>
        <w:kinsoku/>
        <w:wordWrap/>
        <w:overflowPunct/>
        <w:topLinePunct w:val="0"/>
        <w:autoSpaceDE/>
        <w:autoSpaceDN/>
        <w:bidi w:val="0"/>
        <w:spacing w:line="576"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第十九条 </w:t>
      </w:r>
      <w:r>
        <w:rPr>
          <w:rFonts w:hint="eastAsia" w:ascii="仿宋_GB2312" w:hAnsi="仿宋_GB2312" w:eastAsia="仿宋_GB2312" w:cs="仿宋_GB2312"/>
          <w:kern w:val="0"/>
          <w:sz w:val="32"/>
          <w:szCs w:val="32"/>
          <w:lang w:bidi="ar"/>
        </w:rPr>
        <w:t xml:space="preserve"> 本办法自公布之日起施行。</w:t>
      </w:r>
    </w:p>
    <w:p>
      <w:pPr>
        <w:keepNext/>
        <w:keepLines/>
        <w:pageBreakBefore w:val="0"/>
        <w:widowControl w:val="0"/>
        <w:kinsoku/>
        <w:wordWrap/>
        <w:overflowPunct/>
        <w:topLinePunct w:val="0"/>
        <w:autoSpaceDE/>
        <w:autoSpaceDN/>
        <w:bidi w:val="0"/>
        <w:spacing w:before="0" w:beforeAutospacing="0" w:after="0" w:afterAutospacing="0" w:line="600" w:lineRule="exact"/>
        <w:jc w:val="center"/>
        <w:outlineLvl w:val="9"/>
        <w:rPr>
          <w:rFonts w:ascii="宋体" w:hAnsi="宋体"/>
          <w:b/>
          <w:bCs/>
          <w:color w:val="000000"/>
          <w:sz w:val="36"/>
          <w:szCs w:val="36"/>
          <w:lang w:val="en-US" w:eastAsia="zh-CN"/>
        </w:rPr>
      </w:pPr>
      <w:r>
        <w:rPr>
          <w:b/>
          <w:color w:val="000000"/>
          <w:sz w:val="36"/>
          <w:szCs w:val="36"/>
        </w:rPr>
        <w:br w:type="page"/>
      </w:r>
      <w:bookmarkStart w:id="376" w:name="_Toc534379473"/>
      <w:r>
        <w:rPr>
          <w:rFonts w:hint="eastAsia" w:asciiTheme="minorEastAsia" w:hAnsiTheme="minorEastAsia" w:eastAsiaTheme="minorEastAsia"/>
          <w:b/>
          <w:bCs/>
          <w:color w:val="000000"/>
          <w:kern w:val="2"/>
          <w:sz w:val="36"/>
          <w:szCs w:val="36"/>
          <w:lang w:val="en-US" w:eastAsia="zh-CN"/>
        </w:rPr>
        <w:t>柳州职业技术学院公积金管理办法</w:t>
      </w:r>
      <w:bookmarkEnd w:id="376"/>
      <w:r>
        <w:rPr>
          <w:rFonts w:hint="eastAsia" w:asciiTheme="minorEastAsia" w:hAnsiTheme="minorEastAsia" w:eastAsiaTheme="minorEastAsia"/>
          <w:b/>
          <w:bCs/>
          <w:color w:val="000000"/>
          <w:kern w:val="2"/>
          <w:sz w:val="36"/>
          <w:szCs w:val="36"/>
          <w:lang w:val="en-US" w:eastAsia="zh-CN"/>
        </w:rPr>
        <w:t> </w:t>
      </w:r>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（柳职院字〔2018〕14号）</w:t>
      </w:r>
    </w:p>
    <w:p>
      <w:pPr>
        <w:pStyle w:val="14"/>
        <w:pageBreakBefore w:val="0"/>
        <w:kinsoku/>
        <w:wordWrap/>
        <w:overflowPunct/>
        <w:topLinePunct w:val="0"/>
        <w:autoSpaceDE/>
        <w:autoSpaceDN/>
        <w:bidi w:val="0"/>
        <w:spacing w:before="0" w:beforeAutospacing="0" w:after="0" w:afterAutospacing="0" w:line="570" w:lineRule="exact"/>
        <w:outlineLvl w:val="9"/>
        <w:rPr>
          <w:rFonts w:ascii="微软雅黑" w:hAnsi="微软雅黑" w:eastAsia="微软雅黑"/>
          <w:color w:val="333333"/>
          <w:sz w:val="19"/>
          <w:szCs w:val="19"/>
        </w:rPr>
      </w:pPr>
    </w:p>
    <w:p>
      <w:pPr>
        <w:pageBreakBefore w:val="0"/>
        <w:kinsoku/>
        <w:wordWrap/>
        <w:overflowPunct/>
        <w:topLinePunct w:val="0"/>
        <w:autoSpaceDE/>
        <w:autoSpaceDN/>
        <w:bidi w:val="0"/>
        <w:spacing w:line="570" w:lineRule="exact"/>
        <w:jc w:val="center"/>
        <w:outlineLvl w:val="9"/>
        <w:rPr>
          <w:rFonts w:hint="eastAsia"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第一章  总则</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第一条  </w:t>
      </w:r>
      <w:r>
        <w:rPr>
          <w:rFonts w:hint="eastAsia" w:ascii="仿宋_GB2312" w:hAnsi="仿宋_GB2312" w:eastAsia="仿宋_GB2312" w:cs="仿宋_GB2312"/>
          <w:kern w:val="0"/>
          <w:sz w:val="32"/>
          <w:szCs w:val="32"/>
          <w:lang w:bidi="ar"/>
        </w:rPr>
        <w:t>为了加强对住房公积金的管理，维护住房公积金所有者的合法权益，制定本办法。</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第二条  </w:t>
      </w:r>
      <w:r>
        <w:rPr>
          <w:rFonts w:hint="eastAsia" w:ascii="仿宋_GB2312" w:hAnsi="仿宋_GB2312" w:eastAsia="仿宋_GB2312" w:cs="仿宋_GB2312"/>
          <w:kern w:val="0"/>
          <w:sz w:val="32"/>
          <w:szCs w:val="32"/>
          <w:lang w:bidi="ar"/>
        </w:rPr>
        <w:t>本办法适用于柳州职业技术学院住房公积金的缴存、提取、使用、管理和监督。</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第三条  </w:t>
      </w:r>
      <w:r>
        <w:rPr>
          <w:rFonts w:hint="eastAsia" w:ascii="仿宋_GB2312" w:hAnsi="仿宋_GB2312" w:eastAsia="仿宋_GB2312" w:cs="仿宋_GB2312"/>
          <w:kern w:val="0"/>
          <w:sz w:val="32"/>
          <w:szCs w:val="32"/>
          <w:lang w:bidi="ar"/>
        </w:rPr>
        <w:t>职工个人缴存的住房公积金和职工所在单位为职工缴存的住房公积金，属于职工个人所有。</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第四条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住房公积金的管理实行住房公积金管理委员会决策、住房公积金管理中心运作、银行专户存储、财政监督的原则。</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第五条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住房公积金应当用于职工购买、建造、翻建、大修自住住房，任何单位和个人不得挪作他用。</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第六条  </w:t>
      </w:r>
      <w:r>
        <w:rPr>
          <w:rFonts w:hint="eastAsia" w:ascii="仿宋_GB2312" w:hAnsi="仿宋_GB2312" w:eastAsia="仿宋_GB2312" w:cs="仿宋_GB2312"/>
          <w:kern w:val="0"/>
          <w:sz w:val="32"/>
          <w:szCs w:val="32"/>
          <w:lang w:bidi="ar"/>
        </w:rPr>
        <w:t>住房公积金的存、贷利率由中国人民银行提出，经征求国务院建设行政主管部门的意见后，报国务院批准。</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第七条</w:t>
      </w:r>
      <w:r>
        <w:rPr>
          <w:rFonts w:ascii="仿宋_GB2312" w:hAnsi="仿宋_GB2312" w:eastAsia="仿宋_GB2312" w:cs="仿宋_GB2312"/>
          <w:b/>
          <w:kern w:val="0"/>
          <w:sz w:val="32"/>
          <w:szCs w:val="32"/>
          <w:lang w:bidi="ar"/>
        </w:rPr>
        <w:t xml:space="preserve"> </w:t>
      </w:r>
      <w:r>
        <w:rPr>
          <w:rFonts w:hint="eastAsia" w:ascii="仿宋_GB2312" w:hAnsi="仿宋_GB2312" w:eastAsia="仿宋_GB2312" w:cs="仿宋_GB2312"/>
          <w:b/>
          <w:kern w:val="0"/>
          <w:sz w:val="32"/>
          <w:szCs w:val="32"/>
          <w:lang w:bidi="ar"/>
        </w:rPr>
        <w:t xml:space="preserve"> </w:t>
      </w:r>
      <w:r>
        <w:rPr>
          <w:rFonts w:hint="eastAsia" w:ascii="仿宋_GB2312" w:hAnsi="仿宋_GB2312" w:eastAsia="仿宋_GB2312" w:cs="仿宋_GB2312"/>
          <w:kern w:val="0"/>
          <w:sz w:val="32"/>
          <w:szCs w:val="32"/>
          <w:lang w:bidi="ar"/>
        </w:rPr>
        <w:t>国务院建设行政主管部门会同国务院财政部门、中国人民银行拟定住房公积金政策，并监督执行；省、自治区人民政府建设行政主管部门会同同级财政部门以及中国人民银行分支机构，负责本行政区域内住房公积金管理法规、政策执行情况的监督。</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第二章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 xml:space="preserve"> 职责</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第八条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住房公积金专管员在住房公积金管理方面履行下列职责：</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（一）依据有关法律、法规和政策，核算和调整住房公积金的缴存金额，并监督执行；</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（二）为本单位职工办理住房公积金的提取。专管员审核并收集职工提取住房公积金提交的材料，指导职工填表；将材料送至市公积金管理中心审批；根据职工提供的有效身份证件办理原件的领取。</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（三）为本单位职工办理住房公积金账户转移或者封存手续。</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第九条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住房公积金管理中心履行下列职责：</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（一）负责记载职工住房公积金的缴存、提取、使用等情况；</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（二）审批住房公积金的提取、使用；</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（三）负责住房公积金的保值和归还；</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（四）提供查询住房公积金缴存、变更等情况；</w:t>
      </w:r>
      <w:r>
        <w:rPr>
          <w:rFonts w:ascii="仿宋_GB2312" w:hAnsi="仿宋_GB2312" w:eastAsia="仿宋_GB2312" w:cs="仿宋_GB2312"/>
          <w:kern w:val="0"/>
          <w:sz w:val="32"/>
          <w:szCs w:val="32"/>
          <w:lang w:bidi="ar"/>
        </w:rPr>
        <w:t xml:space="preserve">   </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（五）负责将单位转入的款项及时划拨入职工个人账户；</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（六）为缴存单位打印对账单进行对账工作。</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第三章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缴存</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第十条  </w:t>
      </w:r>
      <w:r>
        <w:rPr>
          <w:rFonts w:hint="eastAsia" w:ascii="仿宋_GB2312" w:hAnsi="仿宋_GB2312" w:eastAsia="仿宋_GB2312" w:cs="仿宋_GB2312"/>
          <w:kern w:val="0"/>
          <w:sz w:val="32"/>
          <w:szCs w:val="32"/>
          <w:lang w:bidi="ar"/>
        </w:rPr>
        <w:t>单位应当到住房公积金管理中心办理住房公积金缴存登记，经住房公积金管理中心审核后，为本单位职工办理住房公积金账户设立手续。每个职工只能有一个住房公积金账户。</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第十一条  </w:t>
      </w:r>
      <w:r>
        <w:rPr>
          <w:rFonts w:hint="eastAsia" w:ascii="仿宋_GB2312" w:hAnsi="仿宋_GB2312" w:eastAsia="仿宋_GB2312" w:cs="仿宋_GB2312"/>
          <w:kern w:val="0"/>
          <w:sz w:val="32"/>
          <w:szCs w:val="32"/>
          <w:lang w:bidi="ar"/>
        </w:rPr>
        <w:t>单位与职工终止劳动关系的，单位应当自劳动关系终止之日起３０日内到住房公积金管理中心办理职工住房公积金账户转移或者封存手续。</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第十二条</w:t>
      </w:r>
      <w:r>
        <w:rPr>
          <w:rFonts w:hint="eastAsia" w:ascii="仿宋_GB2312" w:hAnsi="仿宋_GB2312" w:eastAsia="仿宋_GB2312" w:cs="仿宋_GB2312"/>
          <w:kern w:val="0"/>
          <w:sz w:val="32"/>
          <w:szCs w:val="32"/>
          <w:lang w:bidi="ar"/>
        </w:rPr>
        <w:t xml:space="preserve">  职工个人缴存的住房公积金，由单位每月从其工资中代扣代缴。</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第十三条</w:t>
      </w:r>
      <w:r>
        <w:rPr>
          <w:rFonts w:hint="eastAsia" w:ascii="仿宋_GB2312" w:hAnsi="仿宋_GB2312" w:eastAsia="仿宋_GB2312" w:cs="仿宋_GB2312"/>
          <w:kern w:val="0"/>
          <w:sz w:val="32"/>
          <w:szCs w:val="32"/>
          <w:lang w:bidi="ar"/>
        </w:rPr>
        <w:t xml:space="preserve">  住房公积金自存入职工住房公积金账户之日起按照国家规定的利率计息。</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第四章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 xml:space="preserve"> 提取和使用</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第十四条</w:t>
      </w:r>
      <w:r>
        <w:rPr>
          <w:rFonts w:hint="eastAsia" w:ascii="仿宋_GB2312" w:hAnsi="仿宋_GB2312" w:eastAsia="仿宋_GB2312" w:cs="仿宋_GB2312"/>
          <w:kern w:val="0"/>
          <w:sz w:val="32"/>
          <w:szCs w:val="32"/>
          <w:lang w:bidi="ar"/>
        </w:rPr>
        <w:t xml:space="preserve">  职工有下列情形之一的，可以提取职工住房公积金账户内的存储余额：</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（一）购买、建造、翻建、大修自住住房的；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（二）离休、退休的；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（三）完全丧失劳动能力，并与单位终止劳动关系的；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（四）出境定居的；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（五）偿还购房贷款本息的；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（六）房租超出家庭工资收入的规定比例的。</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依照前款第（二）、（三）、（四）项规定，提取职工住房公积金的，应当同时注销职工住房公积金账户。</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职工死亡或者被宣告死亡的，职工的继承人、受遗赠人可以提取职工住房公积金账户内的存储余额。</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第十五条  </w:t>
      </w:r>
      <w:r>
        <w:rPr>
          <w:rFonts w:hint="eastAsia" w:ascii="仿宋_GB2312" w:hAnsi="仿宋_GB2312" w:eastAsia="仿宋_GB2312" w:cs="仿宋_GB2312"/>
          <w:kern w:val="0"/>
          <w:sz w:val="32"/>
          <w:szCs w:val="32"/>
          <w:lang w:bidi="ar"/>
        </w:rPr>
        <w:t>缴存住房公积金的职工，在购买、建造、翻建、大修自住住房时，可以向住房公积金管理中心申请住房公积金贷款。</w:t>
      </w:r>
      <w:r>
        <w:rPr>
          <w:rFonts w:hint="eastAsia" w:ascii="宋体" w:hAnsi="宋体" w:cs="宋体"/>
          <w:kern w:val="0"/>
          <w:sz w:val="32"/>
          <w:szCs w:val="32"/>
          <w:lang w:bidi="ar"/>
        </w:rPr>
        <w:t> </w:t>
      </w:r>
      <w:r>
        <w:rPr>
          <w:rFonts w:hint="eastAsia" w:ascii="仿宋_GB2312" w:hAnsi="仿宋_GB2312" w:eastAsia="仿宋_GB2312" w:cs="仿宋_GB2312"/>
          <w:kern w:val="0"/>
          <w:sz w:val="32"/>
          <w:szCs w:val="32"/>
          <w:lang w:bidi="ar"/>
        </w:rPr>
        <w:t>住房公积金贷款的风险，由住房公积金管理中心承担。</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第五章</w:t>
      </w:r>
      <w:r>
        <w:rPr>
          <w:rFonts w:ascii="黑体" w:hAnsi="仿宋_GB2312" w:eastAsia="黑体" w:cs="仿宋_GB2312"/>
          <w:b/>
          <w:kern w:val="0"/>
          <w:sz w:val="32"/>
          <w:szCs w:val="32"/>
          <w:lang w:bidi="ar"/>
        </w:rPr>
        <w:t xml:space="preserve"> </w:t>
      </w:r>
      <w:r>
        <w:rPr>
          <w:rFonts w:hint="eastAsia" w:ascii="黑体" w:hAnsi="仿宋_GB2312" w:eastAsia="黑体" w:cs="仿宋_GB2312"/>
          <w:b/>
          <w:kern w:val="0"/>
          <w:sz w:val="32"/>
          <w:szCs w:val="32"/>
          <w:lang w:bidi="ar"/>
        </w:rPr>
        <w:t>监督</w:t>
      </w:r>
    </w:p>
    <w:p>
      <w:pPr>
        <w:pageBreakBefore w:val="0"/>
        <w:kinsoku/>
        <w:wordWrap/>
        <w:overflowPunct/>
        <w:topLinePunct w:val="0"/>
        <w:autoSpaceDE/>
        <w:autoSpaceDN/>
        <w:bidi w:val="0"/>
        <w:spacing w:line="570" w:lineRule="exact"/>
        <w:ind w:firstLine="643"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第十六条</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职工有权督促单位按时履行下列义务：</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（一）住房公积金的缴存登记或者变更、注销登记；</w:t>
      </w:r>
    </w:p>
    <w:p>
      <w:pPr>
        <w:pageBreakBefore w:val="0"/>
        <w:kinsoku/>
        <w:wordWrap/>
        <w:overflowPunct/>
        <w:topLinePunct w:val="0"/>
        <w:autoSpaceDE/>
        <w:autoSpaceDN/>
        <w:bidi w:val="0"/>
        <w:spacing w:line="570" w:lineRule="exact"/>
        <w:ind w:firstLine="640" w:firstLineChars="200"/>
        <w:outlineLvl w:val="9"/>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（二）住房公积金账户的设立、转移或者封存；</w:t>
      </w:r>
    </w:p>
    <w:p>
      <w:pPr>
        <w:pageBreakBefore w:val="0"/>
        <w:kinsoku/>
        <w:wordWrap/>
        <w:overflowPunct/>
        <w:topLinePunct w:val="0"/>
        <w:autoSpaceDE/>
        <w:autoSpaceDN/>
        <w:bidi w:val="0"/>
        <w:spacing w:line="570" w:lineRule="exact"/>
        <w:ind w:firstLine="640"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（三）足额缴存住房公积金。</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第十七条</w:t>
      </w:r>
      <w:r>
        <w:rPr>
          <w:rFonts w:hint="eastAsia" w:ascii="仿宋_GB2312" w:hAnsi="仿宋_GB2312" w:eastAsia="仿宋_GB2312" w:cs="仿宋_GB2312"/>
          <w:kern w:val="0"/>
          <w:sz w:val="32"/>
          <w:szCs w:val="32"/>
          <w:lang w:bidi="ar"/>
        </w:rPr>
        <w:t xml:space="preserve">  职工对提取公积金所提交的资料的真实性负责。对违反本办法规定，虚领、冒领公积金的，由相关部门追回虚领、冒领公积金，没收违法所得，并依法追究相关责任。</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第十八条</w:t>
      </w:r>
      <w:r>
        <w:rPr>
          <w:rFonts w:hint="eastAsia" w:ascii="仿宋_GB2312" w:hAnsi="仿宋_GB2312" w:eastAsia="仿宋_GB2312" w:cs="仿宋_GB2312"/>
          <w:kern w:val="0"/>
          <w:sz w:val="32"/>
          <w:szCs w:val="32"/>
          <w:lang w:bidi="ar"/>
        </w:rPr>
        <w:t xml:space="preserve">  职工有权查询本人住房公积金的缴存、提取情况。</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第十九条</w:t>
      </w:r>
      <w:r>
        <w:rPr>
          <w:rFonts w:hint="eastAsia" w:ascii="仿宋_GB2312" w:hAnsi="仿宋_GB2312" w:eastAsia="仿宋_GB2312" w:cs="仿宋_GB2312"/>
          <w:kern w:val="0"/>
          <w:sz w:val="32"/>
          <w:szCs w:val="32"/>
          <w:lang w:bidi="ar"/>
        </w:rPr>
        <w:t xml:space="preserve">  职工对住房公积金账户内的存储余额有异议的，可以申请住房公积金管理中心复核。</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第二十条</w:t>
      </w:r>
      <w:r>
        <w:rPr>
          <w:rFonts w:hint="eastAsia" w:ascii="仿宋_GB2312" w:hAnsi="仿宋_GB2312" w:eastAsia="仿宋_GB2312" w:cs="仿宋_GB2312"/>
          <w:kern w:val="0"/>
          <w:sz w:val="32"/>
          <w:szCs w:val="32"/>
          <w:lang w:bidi="ar"/>
        </w:rPr>
        <w:t xml:space="preserve">  职工有权揭发、检举、控告挪用住房公积金的行为。</w:t>
      </w:r>
    </w:p>
    <w:p>
      <w:pPr>
        <w:pageBreakBefore w:val="0"/>
        <w:kinsoku/>
        <w:wordWrap/>
        <w:overflowPunct/>
        <w:topLinePunct w:val="0"/>
        <w:autoSpaceDE/>
        <w:autoSpaceDN/>
        <w:bidi w:val="0"/>
        <w:spacing w:line="570" w:lineRule="exact"/>
        <w:jc w:val="center"/>
        <w:outlineLvl w:val="9"/>
        <w:rPr>
          <w:rFonts w:ascii="黑体" w:hAnsi="仿宋_GB2312" w:eastAsia="黑体" w:cs="仿宋_GB2312"/>
          <w:b/>
          <w:kern w:val="0"/>
          <w:sz w:val="32"/>
          <w:szCs w:val="32"/>
          <w:lang w:bidi="ar"/>
        </w:rPr>
      </w:pPr>
      <w:r>
        <w:rPr>
          <w:rFonts w:hint="eastAsia" w:ascii="黑体" w:hAnsi="仿宋_GB2312" w:eastAsia="黑体" w:cs="仿宋_GB2312"/>
          <w:b/>
          <w:kern w:val="0"/>
          <w:sz w:val="32"/>
          <w:szCs w:val="32"/>
          <w:lang w:bidi="ar"/>
        </w:rPr>
        <w:t xml:space="preserve">第六章  附则  </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 xml:space="preserve">第二十一条  </w:t>
      </w:r>
      <w:r>
        <w:rPr>
          <w:rFonts w:hint="eastAsia" w:ascii="仿宋_GB2312" w:hAnsi="仿宋_GB2312" w:eastAsia="仿宋_GB2312" w:cs="仿宋_GB2312"/>
          <w:kern w:val="0"/>
          <w:sz w:val="32"/>
          <w:szCs w:val="32"/>
          <w:lang w:bidi="ar"/>
        </w:rPr>
        <w:t>本办法由财务处负责解释。</w:t>
      </w:r>
    </w:p>
    <w:p>
      <w:pPr>
        <w:pageBreakBefore w:val="0"/>
        <w:kinsoku/>
        <w:wordWrap/>
        <w:overflowPunct/>
        <w:topLinePunct w:val="0"/>
        <w:autoSpaceDE/>
        <w:autoSpaceDN/>
        <w:bidi w:val="0"/>
        <w:spacing w:line="570" w:lineRule="exact"/>
        <w:ind w:firstLine="643" w:firstLineChars="200"/>
        <w:outlineLvl w:val="9"/>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第二十二条</w:t>
      </w:r>
      <w:r>
        <w:rPr>
          <w:rFonts w:hint="eastAsia" w:ascii="仿宋_GB2312" w:hAnsi="仿宋_GB2312" w:eastAsia="仿宋_GB2312" w:cs="仿宋_GB2312"/>
          <w:kern w:val="0"/>
          <w:sz w:val="32"/>
          <w:szCs w:val="32"/>
          <w:lang w:bidi="ar"/>
        </w:rPr>
        <w:t xml:space="preserve">  本办法自发布之日起执行。</w:t>
      </w:r>
      <w:r>
        <w:rPr>
          <w:rFonts w:ascii="仿宋_GB2312" w:hAnsi="仿宋_GB2312" w:eastAsia="仿宋_GB2312" w:cs="仿宋_GB2312"/>
          <w:kern w:val="0"/>
          <w:sz w:val="32"/>
          <w:szCs w:val="32"/>
          <w:lang w:bidi="ar"/>
        </w:rPr>
        <w:t>  </w:t>
      </w:r>
    </w:p>
    <w:p>
      <w:pPr>
        <w:pageBreakBefore w:val="0"/>
        <w:kinsoku/>
        <w:wordWrap/>
        <w:overflowPunct/>
        <w:topLinePunct w:val="0"/>
        <w:autoSpaceDE/>
        <w:autoSpaceDN/>
        <w:bidi w:val="0"/>
        <w:outlineLvl w:val="9"/>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lang w:val="en-US" w:eastAsia="zh-CN"/>
        </w:rPr>
      </w:pPr>
      <w:bookmarkStart w:id="377" w:name="_Toc24405"/>
      <w:bookmarkStart w:id="378" w:name="_Toc2864"/>
      <w:bookmarkStart w:id="379" w:name="_Toc26839"/>
      <w:bookmarkStart w:id="380" w:name="_Toc31874"/>
      <w:r>
        <w:rPr>
          <w:rFonts w:hint="eastAsia" w:asciiTheme="minorEastAsia" w:hAnsiTheme="minorEastAsia" w:eastAsiaTheme="minorEastAsia"/>
          <w:b/>
          <w:bCs/>
          <w:color w:val="000000"/>
          <w:kern w:val="2"/>
          <w:sz w:val="36"/>
          <w:szCs w:val="36"/>
          <w:lang w:val="en-US" w:eastAsia="zh-CN"/>
        </w:rPr>
        <w:t>柳州职业技术学院教师职业道德考核办法、柳州职业技术学院教师职业道德负面清单和失范行为处理办法</w:t>
      </w:r>
      <w:bookmarkEnd w:id="377"/>
      <w:bookmarkEnd w:id="378"/>
      <w:bookmarkEnd w:id="379"/>
      <w:bookmarkEnd w:id="380"/>
    </w:p>
    <w:p>
      <w:pPr>
        <w:pageBreakBefore w:val="0"/>
        <w:kinsoku/>
        <w:wordWrap/>
        <w:overflowPunct/>
        <w:topLinePunct w:val="0"/>
        <w:autoSpaceDE/>
        <w:autoSpaceDN/>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（柳职院字〔2021〕55 号）</w:t>
      </w:r>
    </w:p>
    <w:p>
      <w:pPr>
        <w:pageBreakBefore w:val="0"/>
        <w:kinsoku/>
        <w:wordWrap/>
        <w:overflowPunct/>
        <w:topLinePunct w:val="0"/>
        <w:autoSpaceDE/>
        <w:autoSpaceDN/>
        <w:bidi w:val="0"/>
        <w:spacing w:line="596" w:lineRule="exact"/>
        <w:jc w:val="center"/>
        <w:outlineLvl w:val="9"/>
        <w:rPr>
          <w:b/>
          <w:color w:val="000000"/>
          <w:sz w:val="36"/>
          <w:szCs w:val="36"/>
        </w:rPr>
      </w:pP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为积极引导我校教师争做有理想信念、有道德情操、有扎实学识、有仁爱之心的党和人民满意的好老师，</w:t>
      </w:r>
      <w:r>
        <w:rPr>
          <w:rFonts w:hint="eastAsia" w:ascii="仿宋_GB2312" w:hAnsi="Courier New" w:eastAsia="仿宋_GB2312" w:cs="Courier New"/>
          <w:sz w:val="32"/>
          <w:szCs w:val="32"/>
        </w:rPr>
        <w:t>努力办好人民满意的高职教育</w:t>
      </w:r>
      <w:r>
        <w:rPr>
          <w:rFonts w:hint="eastAsia" w:ascii="仿宋_GB2312" w:hAnsi="宋体" w:eastAsia="仿宋_GB2312" w:cs="宋体"/>
          <w:sz w:val="32"/>
          <w:szCs w:val="32"/>
        </w:rPr>
        <w:t>，依据</w:t>
      </w:r>
      <w:r>
        <w:rPr>
          <w:rFonts w:ascii="仿宋_GB2312" w:hAnsi="宋体" w:eastAsia="仿宋_GB2312" w:cs="宋体"/>
          <w:sz w:val="32"/>
          <w:szCs w:val="32"/>
        </w:rPr>
        <w:t>《新时代高校教师职业行为十项准则》</w:t>
      </w:r>
      <w:r>
        <w:rPr>
          <w:rFonts w:hint="eastAsia" w:ascii="仿宋_GB2312" w:hAnsi="宋体" w:eastAsia="仿宋_GB2312" w:cs="宋体"/>
          <w:sz w:val="32"/>
          <w:szCs w:val="32"/>
        </w:rPr>
        <w:t>（教师〔2018〕16号）、</w:t>
      </w:r>
      <w:r>
        <w:rPr>
          <w:rFonts w:hint="eastAsia" w:ascii="仿宋_GB2312" w:eastAsia="仿宋_GB2312"/>
          <w:sz w:val="32"/>
          <w:szCs w:val="32"/>
        </w:rPr>
        <w:t>《自治区教育厅关于印发&lt;广西高校教师职业道德考核办法&gt;和&lt;广西高校教师职业道德负面清单和失范行为处理指导意见&gt;的通知》（桂教规范〔2019〕22号）</w:t>
      </w:r>
      <w:r>
        <w:rPr>
          <w:rFonts w:hint="eastAsia" w:ascii="仿宋_GB2312" w:hAnsi="宋体" w:eastAsia="仿宋_GB2312" w:cs="宋体"/>
          <w:sz w:val="32"/>
          <w:szCs w:val="32"/>
        </w:rPr>
        <w:t>和《关于建立健全柳州职业技术学院师德建设长效机制的实施办法》（柳职院党字〔2018〕13号）等文件精神，结合我校实际，制定本办法。</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一、考核对象</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师德考核对象为全校教职工以及外聘兼职教师。</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二、考核时间</w:t>
      </w: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师德考核分为平时考核和年度考核。平时考核根据教师日常师德表现，随时进行；年度考核一般于每年一月份左右对上一年度的师德表现进行综合考核。</w:t>
      </w:r>
    </w:p>
    <w:p>
      <w:pPr>
        <w:pageBreakBefore w:val="0"/>
        <w:kinsoku/>
        <w:wordWrap/>
        <w:overflowPunct/>
        <w:topLinePunct w:val="0"/>
        <w:autoSpaceDE/>
        <w:autoSpaceDN/>
        <w:bidi w:val="0"/>
        <w:spacing w:line="596" w:lineRule="exact"/>
        <w:ind w:firstLine="643" w:firstLineChars="200"/>
        <w:outlineLvl w:val="9"/>
        <w:rPr>
          <w:rFonts w:hint="eastAsia" w:ascii="仿宋_GB2312" w:hAnsi="宋体" w:eastAsia="黑体" w:cs="宋体"/>
          <w:bCs/>
          <w:color w:val="0000FF"/>
          <w:sz w:val="32"/>
          <w:szCs w:val="32"/>
        </w:rPr>
      </w:pPr>
      <w:r>
        <w:rPr>
          <w:rFonts w:hint="eastAsia" w:ascii="黑体" w:hAnsi="黑体" w:eastAsia="黑体" w:cs="宋体"/>
          <w:b/>
          <w:sz w:val="32"/>
          <w:szCs w:val="32"/>
        </w:rPr>
        <w:t>三、考核原则及内容</w:t>
      </w:r>
    </w:p>
    <w:p>
      <w:pPr>
        <w:pStyle w:val="7"/>
        <w:pageBreakBefore w:val="0"/>
        <w:kinsoku/>
        <w:wordWrap/>
        <w:overflowPunct/>
        <w:topLinePunct w:val="0"/>
        <w:autoSpaceDE/>
        <w:autoSpaceDN/>
        <w:bidi w:val="0"/>
        <w:spacing w:line="596" w:lineRule="exact"/>
        <w:ind w:firstLine="643" w:firstLineChars="200"/>
        <w:outlineLvl w:val="9"/>
        <w:rPr>
          <w:rFonts w:hint="eastAsia" w:ascii="楷体_GB2312" w:eastAsia="楷体_GB2312"/>
          <w:b/>
          <w:sz w:val="32"/>
          <w:szCs w:val="32"/>
        </w:rPr>
      </w:pPr>
      <w:r>
        <w:rPr>
          <w:rFonts w:hint="eastAsia" w:ascii="楷体_GB2312" w:eastAsia="楷体_GB2312"/>
          <w:b/>
          <w:sz w:val="32"/>
          <w:szCs w:val="32"/>
        </w:rPr>
        <w:t>（一）考核原则</w:t>
      </w: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color w:val="000000"/>
          <w:sz w:val="32"/>
          <w:szCs w:val="32"/>
        </w:rPr>
        <w:t>坚持以人为本，尊重教师主体地位；坚持师德为先，以立德树人为出发点和立足点；坚持公开公平公正，充分发挥优秀教师的示范引领作用。</w:t>
      </w:r>
    </w:p>
    <w:p>
      <w:pPr>
        <w:pStyle w:val="7"/>
        <w:pageBreakBefore w:val="0"/>
        <w:kinsoku/>
        <w:wordWrap/>
        <w:overflowPunct/>
        <w:topLinePunct w:val="0"/>
        <w:autoSpaceDE/>
        <w:autoSpaceDN/>
        <w:bidi w:val="0"/>
        <w:spacing w:line="596" w:lineRule="exact"/>
        <w:ind w:firstLine="643" w:firstLineChars="200"/>
        <w:outlineLvl w:val="9"/>
        <w:rPr>
          <w:rFonts w:hint="eastAsia" w:ascii="楷体_GB2312" w:eastAsia="楷体_GB2312"/>
          <w:b/>
          <w:sz w:val="32"/>
          <w:szCs w:val="32"/>
        </w:rPr>
      </w:pPr>
      <w:r>
        <w:rPr>
          <w:rFonts w:hint="eastAsia" w:ascii="楷体_GB2312" w:eastAsia="楷体_GB2312"/>
          <w:b/>
          <w:sz w:val="32"/>
          <w:szCs w:val="32"/>
        </w:rPr>
        <w:t>（二）考核内容</w:t>
      </w: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bCs/>
          <w:sz w:val="32"/>
          <w:szCs w:val="32"/>
        </w:rPr>
      </w:pPr>
      <w:r>
        <w:rPr>
          <w:rFonts w:hint="eastAsia" w:ascii="仿宋_GB2312" w:hAnsi="宋体" w:eastAsia="仿宋_GB2312" w:cs="宋体"/>
          <w:bCs/>
          <w:sz w:val="32"/>
          <w:szCs w:val="32"/>
        </w:rPr>
        <w:t>依据《新时代高校教师职业行为十项准则》，围绕坚定政治方向、爱国守法、传播优秀文化、教书育人、关爱学生、言行雅正、遵守学术规范、公平诚信、廉洁自律、奉献社会等10方面进行，具体见《柳州职业技术学院教师职业道德考核内容》（附表1）。</w:t>
      </w:r>
    </w:p>
    <w:p>
      <w:pPr>
        <w:pageBreakBefore w:val="0"/>
        <w:numPr>
          <w:ilvl w:val="0"/>
          <w:numId w:val="6"/>
        </w:numPr>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考核等级和优秀比例</w:t>
      </w:r>
    </w:p>
    <w:p>
      <w:pPr>
        <w:pageBreakBefore w:val="0"/>
        <w:widowControl/>
        <w:kinsoku/>
        <w:wordWrap/>
        <w:overflowPunct/>
        <w:topLinePunct w:val="0"/>
        <w:autoSpaceDE/>
        <w:autoSpaceDN/>
        <w:bidi w:val="0"/>
        <w:spacing w:line="596" w:lineRule="exact"/>
        <w:ind w:firstLine="643" w:firstLineChars="200"/>
        <w:jc w:val="left"/>
        <w:outlineLvl w:val="9"/>
        <w:rPr>
          <w:rFonts w:hint="eastAsia" w:ascii="仿宋_GB2312" w:hAnsi="宋体" w:eastAsia="仿宋_GB2312" w:cs="宋体"/>
          <w:bCs/>
          <w:sz w:val="32"/>
          <w:szCs w:val="32"/>
        </w:rPr>
      </w:pPr>
      <w:r>
        <w:rPr>
          <w:rFonts w:hint="eastAsia" w:ascii="楷体_GB2312" w:eastAsia="楷体_GB2312"/>
          <w:b/>
          <w:sz w:val="32"/>
          <w:szCs w:val="32"/>
        </w:rPr>
        <w:t>（一）师德考核结果分为优秀、合格和不合格三个等级。</w:t>
      </w:r>
      <w:r>
        <w:rPr>
          <w:rFonts w:hint="eastAsia" w:ascii="仿宋_GB2312" w:hAnsi="宋体" w:eastAsia="仿宋_GB2312" w:cs="宋体"/>
          <w:bCs/>
          <w:sz w:val="32"/>
          <w:szCs w:val="32"/>
        </w:rPr>
        <w:t>符合《柳州职业技术学院教师职业道德考核内容》要求，并获得广大师生和社会高度认可的，师德事迹突出，能够发挥立德树人模范和表率作用的教师可确定为优秀。经学校核实，出现《柳州职业技术学院教师职业道德负面清单和失范行为处理办法》中“负面清单”行为的，师德考核确定为不合格。</w:t>
      </w:r>
    </w:p>
    <w:p>
      <w:pPr>
        <w:pageBreakBefore w:val="0"/>
        <w:widowControl/>
        <w:kinsoku/>
        <w:wordWrap/>
        <w:overflowPunct/>
        <w:topLinePunct w:val="0"/>
        <w:autoSpaceDE/>
        <w:autoSpaceDN/>
        <w:bidi w:val="0"/>
        <w:spacing w:line="596" w:lineRule="exact"/>
        <w:ind w:firstLine="643" w:firstLineChars="200"/>
        <w:jc w:val="left"/>
        <w:outlineLvl w:val="9"/>
        <w:rPr>
          <w:rFonts w:ascii="仿宋_GB2312" w:hAnsi="宋体" w:eastAsia="仿宋_GB2312" w:cs="宋体"/>
          <w:bCs/>
          <w:color w:val="0000FF"/>
          <w:sz w:val="24"/>
        </w:rPr>
      </w:pPr>
      <w:r>
        <w:rPr>
          <w:rFonts w:hint="eastAsia" w:ascii="楷体_GB2312" w:eastAsia="楷体_GB2312"/>
          <w:b/>
          <w:sz w:val="32"/>
          <w:szCs w:val="32"/>
        </w:rPr>
        <w:t>（二）师德考核优秀等级比例原则上不超过考核总人数的20%。</w:t>
      </w:r>
      <w:r>
        <w:rPr>
          <w:rFonts w:hint="eastAsia" w:ascii="仿宋_GB2312" w:hAnsi="宋体" w:eastAsia="仿宋_GB2312" w:cs="宋体"/>
          <w:bCs/>
          <w:sz w:val="32"/>
          <w:szCs w:val="32"/>
        </w:rPr>
        <w:t>本年度获得市级及以上教学名师、优秀教师、优秀教育工作者、优秀班主任（辅导员）、道德模范、教书育人楷模、师德楷模、五一劳动奖章或精神文明建设类个人荣誉称号的，可直接推荐为“优秀”等级，不受优秀等级比例和名额限制。</w:t>
      </w:r>
    </w:p>
    <w:p>
      <w:pPr>
        <w:pageBreakBefore w:val="0"/>
        <w:kinsoku/>
        <w:wordWrap/>
        <w:overflowPunct/>
        <w:topLinePunct w:val="0"/>
        <w:autoSpaceDE/>
        <w:autoSpaceDN/>
        <w:bidi w:val="0"/>
        <w:spacing w:line="596" w:lineRule="exact"/>
        <w:ind w:firstLine="643" w:firstLineChars="200"/>
        <w:outlineLvl w:val="9"/>
        <w:rPr>
          <w:rFonts w:ascii="黑体" w:hAnsi="黑体" w:eastAsia="黑体" w:cs="宋体"/>
          <w:b/>
          <w:color w:val="0000FF"/>
          <w:sz w:val="32"/>
          <w:szCs w:val="32"/>
        </w:rPr>
      </w:pPr>
      <w:r>
        <w:rPr>
          <w:rFonts w:hint="eastAsia" w:ascii="黑体" w:hAnsi="黑体" w:eastAsia="黑体" w:cs="宋体"/>
          <w:b/>
          <w:sz w:val="32"/>
          <w:szCs w:val="32"/>
        </w:rPr>
        <w:t>五、组织实施</w:t>
      </w:r>
    </w:p>
    <w:p>
      <w:pPr>
        <w:pageBreakBefore w:val="0"/>
        <w:widowControl/>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（一）师德考核工作在学校师德建设工作领导小组领导下，由师德建设工作委员会办公室（党委教师工作部）组织协调，各直属党支部、各二级学院组织实施。</w:t>
      </w:r>
    </w:p>
    <w:p>
      <w:pPr>
        <w:pageBreakBefore w:val="0"/>
        <w:kinsoku/>
        <w:wordWrap/>
        <w:overflowPunct/>
        <w:topLinePunct w:val="0"/>
        <w:autoSpaceDE/>
        <w:autoSpaceDN/>
        <w:bidi w:val="0"/>
        <w:spacing w:line="596" w:lineRule="exact"/>
        <w:ind w:firstLine="640" w:firstLineChars="200"/>
        <w:jc w:val="left"/>
        <w:outlineLvl w:val="9"/>
        <w:rPr>
          <w:rFonts w:hint="eastAsia"/>
        </w:rPr>
      </w:pPr>
      <w:r>
        <w:rPr>
          <w:rFonts w:hint="eastAsia" w:ascii="仿宋_GB2312" w:hAnsi="宋体" w:eastAsia="仿宋_GB2312" w:cs="宋体"/>
          <w:sz w:val="32"/>
          <w:szCs w:val="32"/>
        </w:rPr>
        <w:t>（二）各二级学院师德考核小组负责本院师德考核工作，确定师德考核初步意见和考核等级；</w:t>
      </w:r>
      <w:r>
        <w:rPr>
          <w:rFonts w:hint="eastAsia" w:ascii="仿宋" w:hAnsi="仿宋" w:eastAsia="仿宋" w:cs="仿宋"/>
          <w:sz w:val="32"/>
          <w:szCs w:val="32"/>
        </w:rPr>
        <w:t>各直属党支部师德考核小组，负责组织实施本支部所有中共党员及本支部包含职能部门全体非中共党员的师德考核工作，确定师德考核初步意见和考核等级。</w:t>
      </w:r>
      <w:r>
        <w:rPr>
          <w:rFonts w:hint="eastAsia"/>
        </w:rPr>
        <w:t xml:space="preserve"> </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Courier New" w:eastAsia="仿宋_GB2312" w:cs="Courier New"/>
          <w:sz w:val="32"/>
          <w:szCs w:val="32"/>
        </w:rPr>
        <w:t>（三）各直属党支部、二级学院</w:t>
      </w:r>
      <w:r>
        <w:rPr>
          <w:rFonts w:hint="eastAsia" w:ascii="仿宋_GB2312" w:hAnsi="宋体" w:eastAsia="仿宋_GB2312" w:cs="宋体"/>
          <w:sz w:val="32"/>
          <w:szCs w:val="32"/>
        </w:rPr>
        <w:t>师德考核申诉处理小组，负责处理所辖部门和人员师德考核过程中出现的异议和其他情况反映。</w:t>
      </w:r>
    </w:p>
    <w:p>
      <w:pPr>
        <w:pageBreakBefore w:val="0"/>
        <w:kinsoku/>
        <w:wordWrap/>
        <w:overflowPunct/>
        <w:topLinePunct w:val="0"/>
        <w:autoSpaceDE/>
        <w:autoSpaceDN/>
        <w:bidi w:val="0"/>
        <w:spacing w:line="596" w:lineRule="exact"/>
        <w:ind w:firstLine="643" w:firstLineChars="200"/>
        <w:jc w:val="left"/>
        <w:outlineLvl w:val="9"/>
        <w:rPr>
          <w:rFonts w:hint="eastAsia" w:ascii="黑体" w:hAnsi="黑体" w:eastAsia="黑体" w:cs="宋体"/>
          <w:b/>
          <w:sz w:val="32"/>
          <w:szCs w:val="32"/>
        </w:rPr>
      </w:pPr>
      <w:r>
        <w:rPr>
          <w:rFonts w:hint="eastAsia" w:ascii="黑体" w:hAnsi="黑体" w:eastAsia="黑体" w:cs="宋体"/>
          <w:b/>
          <w:sz w:val="32"/>
          <w:szCs w:val="32"/>
        </w:rPr>
        <w:t>六、考核程序和办法</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（一）学校师德建设工作委员会办公室（党委教师工作部）布置师德考核工作，各直属党支部、各二级学院师德考核小组组织开展考核工作。</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（二）直属党支部、二级学院采取个人自评、学生评价、教师互评和综合评价相统一的办法，提出考核初步意见和拟定考核等级。</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1.个人自评</w:t>
      </w:r>
    </w:p>
    <w:p>
      <w:pPr>
        <w:pageBreakBefore w:val="0"/>
        <w:kinsoku/>
        <w:wordWrap/>
        <w:overflowPunct/>
        <w:topLinePunct w:val="0"/>
        <w:autoSpaceDE/>
        <w:autoSpaceDN/>
        <w:bidi w:val="0"/>
        <w:spacing w:line="596" w:lineRule="exact"/>
        <w:ind w:firstLine="640" w:firstLineChars="200"/>
        <w:outlineLvl w:val="9"/>
        <w:rPr>
          <w:rFonts w:hint="eastAsia" w:ascii="楷体_GB2312" w:hAnsi="宋体" w:eastAsia="楷体_GB2312" w:cs="宋体"/>
          <w:b/>
          <w:sz w:val="32"/>
          <w:szCs w:val="32"/>
        </w:rPr>
      </w:pPr>
      <w:r>
        <w:rPr>
          <w:rFonts w:hint="eastAsia" w:ascii="仿宋_GB2312" w:hAnsi="宋体" w:eastAsia="仿宋_GB2312" w:cs="宋体"/>
          <w:sz w:val="32"/>
          <w:szCs w:val="32"/>
        </w:rPr>
        <w:t>教师个人对照《柳州职业技术学院教师职业道德考核评价内容》进行自查，撰写800字左右年度师德自查自评报告。</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2.学生评价</w:t>
      </w:r>
    </w:p>
    <w:p>
      <w:pPr>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学生评价主要以教务与实训管理处提供的学生评教结果为依据。考核年度不承担教学任务的教师不进行学生评教。</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3.教师互评</w:t>
      </w:r>
    </w:p>
    <w:p>
      <w:pPr>
        <w:pageBreakBefore w:val="0"/>
        <w:kinsoku/>
        <w:wordWrap/>
        <w:overflowPunct/>
        <w:topLinePunct w:val="0"/>
        <w:autoSpaceDE/>
        <w:autoSpaceDN/>
        <w:bidi w:val="0"/>
        <w:spacing w:line="596" w:lineRule="exact"/>
        <w:ind w:firstLine="640" w:firstLineChars="200"/>
        <w:outlineLvl w:val="9"/>
        <w:rPr>
          <w:rFonts w:ascii="楷体_GB2312" w:hAnsi="宋体" w:eastAsia="仿宋_GB2312" w:cs="宋体"/>
          <w:b/>
          <w:color w:val="FF0000"/>
          <w:sz w:val="32"/>
          <w:szCs w:val="32"/>
        </w:rPr>
      </w:pPr>
      <w:r>
        <w:rPr>
          <w:rFonts w:hint="eastAsia" w:ascii="仿宋_GB2312" w:hAnsi="宋体" w:eastAsia="仿宋_GB2312" w:cs="宋体"/>
          <w:sz w:val="32"/>
          <w:szCs w:val="32"/>
        </w:rPr>
        <w:t>职能部门以部门为单位开展教师互评，各二级学院可以采用团队（教学团队、学生工作团队等）成员互评的方式开展教师互评。</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4.综合评价和公示</w:t>
      </w: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各直属党支部、各二级学院师德考核小组依据各相关部门反馈的考核意见，在个人自评、学生评价和教师互评的基础上，综合个人日常表现及学校</w:t>
      </w:r>
      <w:r>
        <w:rPr>
          <w:rFonts w:hint="eastAsia" w:eastAsia="仿宋_GB2312"/>
          <w:bCs/>
          <w:sz w:val="32"/>
          <w:szCs w:val="32"/>
        </w:rPr>
        <w:t>纪委办公室（监察室）、教务与实训管理处、科技开发处、审计处（督导室）等部门提供的相关材料，综合</w:t>
      </w:r>
      <w:r>
        <w:rPr>
          <w:rFonts w:hint="eastAsia" w:ascii="仿宋_GB2312" w:hAnsi="宋体" w:eastAsia="仿宋_GB2312" w:cs="宋体"/>
          <w:sz w:val="32"/>
          <w:szCs w:val="32"/>
        </w:rPr>
        <w:t>确定教师年度师德考核初步意见和拟定考核等级，并在直属党支部、二级学院内公示3个工作日。</w:t>
      </w:r>
    </w:p>
    <w:p>
      <w:pPr>
        <w:pStyle w:val="7"/>
        <w:pageBreakBefore w:val="0"/>
        <w:kinsoku/>
        <w:wordWrap/>
        <w:overflowPunct/>
        <w:topLinePunct w:val="0"/>
        <w:autoSpaceDE/>
        <w:autoSpaceDN/>
        <w:bidi w:val="0"/>
        <w:spacing w:line="596" w:lineRule="exact"/>
        <w:ind w:firstLine="640" w:firstLineChars="200"/>
        <w:outlineLvl w:val="9"/>
        <w:rPr>
          <w:rFonts w:ascii="仿宋_GB2312" w:hAnsi="宋体" w:eastAsia="仿宋_GB2312" w:cs="宋体"/>
          <w:sz w:val="32"/>
          <w:szCs w:val="32"/>
        </w:rPr>
      </w:pPr>
      <w:r>
        <w:rPr>
          <w:rFonts w:hint="eastAsia" w:ascii="仿宋_GB2312" w:hAnsi="宋体" w:eastAsia="仿宋_GB2312" w:cs="宋体"/>
          <w:sz w:val="32"/>
          <w:szCs w:val="32"/>
        </w:rPr>
        <w:t>公示无异议后，将年度师德考核评价材料报至党委教师工作部。若公示有异议的，教师应先向其所在直属党支部、二级学院</w:t>
      </w:r>
      <w:r>
        <w:rPr>
          <w:rFonts w:hint="eastAsia" w:ascii="仿宋_GB2312" w:hAnsi="Courier New" w:eastAsia="仿宋_GB2312" w:cs="Courier New"/>
          <w:sz w:val="32"/>
          <w:szCs w:val="32"/>
        </w:rPr>
        <w:t>师德考核申诉处理小组</w:t>
      </w:r>
      <w:r>
        <w:rPr>
          <w:rFonts w:hint="eastAsia" w:ascii="仿宋_GB2312" w:hAnsi="宋体" w:eastAsia="仿宋_GB2312" w:cs="宋体"/>
          <w:sz w:val="32"/>
          <w:szCs w:val="32"/>
        </w:rPr>
        <w:t>提出，直属党支部、二级学院核实处理后将材料报至党委教师工作部。</w:t>
      </w:r>
    </w:p>
    <w:p>
      <w:pPr>
        <w:pStyle w:val="7"/>
        <w:pageBreakBefore w:val="0"/>
        <w:kinsoku/>
        <w:wordWrap/>
        <w:overflowPunct/>
        <w:topLinePunct w:val="0"/>
        <w:autoSpaceDE/>
        <w:autoSpaceDN/>
        <w:bidi w:val="0"/>
        <w:spacing w:line="596" w:lineRule="exact"/>
        <w:ind w:firstLine="480" w:firstLineChars="150"/>
        <w:outlineLvl w:val="9"/>
        <w:rPr>
          <w:rFonts w:hint="eastAsia" w:ascii="仿宋_GB2312" w:hAnsi="宋体" w:eastAsia="仿宋_GB2312" w:cs="宋体"/>
          <w:sz w:val="32"/>
          <w:szCs w:val="32"/>
        </w:rPr>
      </w:pPr>
      <w:r>
        <w:rPr>
          <w:rFonts w:hint="eastAsia" w:ascii="仿宋_GB2312" w:hAnsi="宋体" w:eastAsia="仿宋_GB2312" w:cs="宋体"/>
          <w:sz w:val="32"/>
          <w:szCs w:val="32"/>
        </w:rPr>
        <w:t>（三）学校师德建设工作委员会审议各直属党支部、二级学院报来的师德考核材料，提出师德考核结果建议。</w:t>
      </w:r>
    </w:p>
    <w:p>
      <w:pPr>
        <w:pStyle w:val="7"/>
        <w:pageBreakBefore w:val="0"/>
        <w:kinsoku/>
        <w:wordWrap/>
        <w:overflowPunct/>
        <w:topLinePunct w:val="0"/>
        <w:autoSpaceDE/>
        <w:autoSpaceDN/>
        <w:bidi w:val="0"/>
        <w:spacing w:line="596" w:lineRule="exact"/>
        <w:ind w:firstLine="480" w:firstLineChars="150"/>
        <w:outlineLvl w:val="9"/>
        <w:rPr>
          <w:rFonts w:hint="eastAsia" w:ascii="仿宋_GB2312" w:hAnsi="宋体" w:eastAsia="仿宋_GB2312" w:cs="宋体"/>
          <w:sz w:val="32"/>
          <w:szCs w:val="32"/>
        </w:rPr>
      </w:pPr>
      <w:r>
        <w:rPr>
          <w:rFonts w:hint="eastAsia" w:ascii="仿宋_GB2312" w:hAnsi="宋体" w:eastAsia="仿宋_GB2312" w:cs="宋体"/>
          <w:sz w:val="32"/>
          <w:szCs w:val="32"/>
        </w:rPr>
        <w:t>（四）学校师德建设工作领导小组研究并确定考核结果。</w:t>
      </w:r>
    </w:p>
    <w:p>
      <w:pPr>
        <w:pStyle w:val="7"/>
        <w:pageBreakBefore w:val="0"/>
        <w:kinsoku/>
        <w:wordWrap/>
        <w:overflowPunct/>
        <w:topLinePunct w:val="0"/>
        <w:autoSpaceDE/>
        <w:autoSpaceDN/>
        <w:bidi w:val="0"/>
        <w:spacing w:line="596" w:lineRule="exact"/>
        <w:ind w:firstLine="480" w:firstLineChars="150"/>
        <w:outlineLvl w:val="9"/>
        <w:rPr>
          <w:rFonts w:hint="eastAsia" w:ascii="仿宋_GB2312" w:hAnsi="宋体" w:eastAsia="仿宋_GB2312" w:cs="宋体"/>
          <w:sz w:val="32"/>
          <w:szCs w:val="32"/>
        </w:rPr>
      </w:pPr>
      <w:r>
        <w:rPr>
          <w:rFonts w:hint="eastAsia" w:ascii="仿宋_GB2312" w:hAnsi="宋体" w:eastAsia="仿宋_GB2312" w:cs="宋体"/>
          <w:sz w:val="32"/>
          <w:szCs w:val="32"/>
        </w:rPr>
        <w:t>（五）公示。公示时间为5个工作日。公示结果无异议的，考核结果经教师签字确认后，存入教师个人人事档案。公示结果有异议的，向学校师德建设工作委员会提出复核。经学校师德建设工作委员会复核仍有异议的，可依规向上一级主管单位人事机构提出申诉。</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七、考核结果运用</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（一）师德考核结果与年度考核、年度绩效考核挂钩，直接作为年度考核、年度绩效考核中师德师风考评的结果。</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（二）师德考核结果运用于教师管理和职业发展全过程，作为岗位聘用、职称评定、职务晋升、工资晋级、干部选任、人才计划申报、教科研项目申报、继续教育、评奖评优等工作的重要依据。</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（三）凡在师德考核确定为优秀或合格等级的教师，按照有关政策规定晋升薪级档次和享受各种待遇；在有关奖励或荣誉称号评选时，优先考虑师德考核为优秀等级的教师。</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（四）经学校认定师德考核不合格的教师，年度考核评定为不合格。取消职务（职称）评聘、岗位聘用、评优奖励、教师资格定期注册等资格，连续2年师德考核“不合格” 者，予以解聘。</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（五）对有严重师德失范行为、影响恶劣者，按有关规定予以党纪处分、行政处分、撤销教师资格、解聘等处理，涉及违法犯罪的及时移交司法部门处理。</w:t>
      </w:r>
    </w:p>
    <w:p>
      <w:pPr>
        <w:pageBreakBefore w:val="0"/>
        <w:kinsoku/>
        <w:wordWrap/>
        <w:overflowPunct/>
        <w:topLinePunct w:val="0"/>
        <w:autoSpaceDE/>
        <w:autoSpaceDN/>
        <w:bidi w:val="0"/>
        <w:spacing w:line="596" w:lineRule="exact"/>
        <w:ind w:left="-80"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六）在师德考核中，对拟评定为不合格等级的教师，所在直属党支部、二级学院师德考核小组应当在向学校提交评议结果前告知当事人作出评定的事实及依据，听取教师本人意见。对考核结果有异议的教师，可依据相关规定向学校师德建设工作委员会申请复核。对复核结果再有异议的，可依规向上一级主管单位人事机构提出申诉。</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八、考核监督机制</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（一）学校师德建设工作委员会以年度师德报告、抽查等方式定期排查各职能部门、二级学院教师师德状况，及时发现不良倾向与问题，及时处置。</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（二）党委宣传部、党委教师工作部密切关注师德网络舆情，对重大师德网络事件，迅速展开调查，及时回应并报学校主管部门。</w:t>
      </w:r>
    </w:p>
    <w:p>
      <w:pPr>
        <w:pageBreakBefore w:val="0"/>
        <w:kinsoku/>
        <w:wordWrap/>
        <w:overflowPunct/>
        <w:topLinePunct w:val="0"/>
        <w:autoSpaceDE/>
        <w:autoSpaceDN/>
        <w:bidi w:val="0"/>
        <w:spacing w:line="596" w:lineRule="exact"/>
        <w:ind w:firstLine="640" w:firstLineChars="200"/>
        <w:jc w:val="left"/>
        <w:outlineLvl w:val="9"/>
        <w:rPr>
          <w:rFonts w:hint="eastAsia" w:ascii="仿宋_GB2312" w:hAnsi="宋体" w:eastAsia="仿宋_GB2312" w:cs="宋体"/>
          <w:sz w:val="32"/>
          <w:szCs w:val="32"/>
        </w:rPr>
      </w:pPr>
      <w:r>
        <w:rPr>
          <w:rFonts w:hint="eastAsia" w:ascii="仿宋_GB2312" w:hAnsi="宋体" w:eastAsia="仿宋_GB2312" w:cs="宋体"/>
          <w:sz w:val="32"/>
          <w:szCs w:val="32"/>
        </w:rPr>
        <w:t>（三）对严重违反师德师风行为监管不力、拒不查处、拖延处理或推诿隐瞒，造成不良影响或严重后果的，学校将追究有关部门主要领导、直接责任人的责任。</w:t>
      </w:r>
    </w:p>
    <w:p>
      <w:pPr>
        <w:pageBreakBefore w:val="0"/>
        <w:widowControl/>
        <w:kinsoku/>
        <w:wordWrap/>
        <w:overflowPunct/>
        <w:topLinePunct w:val="0"/>
        <w:autoSpaceDE/>
        <w:autoSpaceDN/>
        <w:bidi w:val="0"/>
        <w:spacing w:line="596" w:lineRule="exact"/>
        <w:ind w:firstLine="640" w:firstLineChars="200"/>
        <w:jc w:val="left"/>
        <w:outlineLvl w:val="9"/>
        <w:rPr>
          <w:rFonts w:ascii="仿宋_GB2312" w:hAnsi="宋体" w:eastAsia="仿宋_GB2312" w:cs="宋体"/>
          <w:sz w:val="32"/>
          <w:szCs w:val="32"/>
        </w:rPr>
      </w:pPr>
      <w:r>
        <w:rPr>
          <w:rFonts w:hint="eastAsia" w:ascii="仿宋_GB2312" w:hAnsi="宋体" w:eastAsia="仿宋_GB2312" w:cs="宋体"/>
          <w:sz w:val="32"/>
          <w:szCs w:val="32"/>
        </w:rPr>
        <w:t>（四）学校纪委办公室（监察处）、党委教师工作部受理师德考核工作的投诉举报。纪委办公室（监察室）举报电话：0772-3156006，举报邮箱：lzzyjwdd@163.com；党委教师工作部联系电话：0772-3156293。</w:t>
      </w:r>
    </w:p>
    <w:p>
      <w:pPr>
        <w:pStyle w:val="7"/>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sz w:val="32"/>
          <w:szCs w:val="32"/>
        </w:rPr>
      </w:pPr>
      <w:r>
        <w:rPr>
          <w:rFonts w:hint="eastAsia" w:ascii="黑体" w:hAnsi="黑体" w:eastAsia="黑体" w:cs="宋体"/>
          <w:b/>
          <w:sz w:val="32"/>
          <w:szCs w:val="32"/>
        </w:rPr>
        <w:t>九、其它</w:t>
      </w:r>
    </w:p>
    <w:p>
      <w:pPr>
        <w:pStyle w:val="7"/>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宋体"/>
          <w:sz w:val="32"/>
          <w:szCs w:val="32"/>
        </w:rPr>
      </w:pPr>
      <w:r>
        <w:rPr>
          <w:rFonts w:hint="eastAsia" w:ascii="仿宋_GB2312" w:hAnsi="宋体" w:eastAsia="仿宋_GB2312" w:cs="宋体"/>
          <w:sz w:val="32"/>
          <w:szCs w:val="32"/>
        </w:rPr>
        <w:t>挂职锻炼、外出学习培训人员，由所在直属党支部、二级学院参考其挂职锻炼、学习培训单位提供的有关情况进行师德考核评价并确定等级。</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cs="宋体"/>
          <w:b/>
          <w:bCs/>
          <w:sz w:val="32"/>
          <w:szCs w:val="32"/>
        </w:rPr>
      </w:pPr>
      <w:r>
        <w:rPr>
          <w:rFonts w:hint="eastAsia" w:ascii="黑体" w:hAnsi="黑体" w:eastAsia="黑体" w:cs="宋体"/>
          <w:b/>
          <w:bCs/>
          <w:sz w:val="32"/>
          <w:szCs w:val="32"/>
        </w:rPr>
        <w:t>十、附则</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Courier New"/>
          <w:sz w:val="32"/>
          <w:szCs w:val="32"/>
        </w:rPr>
      </w:pPr>
      <w:r>
        <w:rPr>
          <w:rFonts w:ascii="仿宋_GB2312" w:hAnsi="宋体" w:eastAsia="仿宋_GB2312" w:cs="Courier New"/>
          <w:sz w:val="32"/>
          <w:szCs w:val="32"/>
        </w:rPr>
        <w:t>本办法自</w:t>
      </w:r>
      <w:r>
        <w:rPr>
          <w:rFonts w:ascii="仿宋_GB2312" w:hAnsi="Courier New" w:eastAsia="仿宋_GB2312" w:cs="Courier New"/>
          <w:sz w:val="32"/>
          <w:szCs w:val="32"/>
        </w:rPr>
        <w:t>发</w:t>
      </w:r>
      <w:r>
        <w:rPr>
          <w:rFonts w:ascii="仿宋_GB2312" w:hAnsi="宋体" w:eastAsia="仿宋_GB2312" w:cs="Courier New"/>
          <w:sz w:val="32"/>
          <w:szCs w:val="32"/>
        </w:rPr>
        <w:t>布</w:t>
      </w:r>
      <w:r>
        <w:rPr>
          <w:rFonts w:ascii="仿宋_GB2312" w:hAnsi="Courier New" w:eastAsia="仿宋_GB2312" w:cs="Courier New"/>
          <w:sz w:val="32"/>
          <w:szCs w:val="32"/>
        </w:rPr>
        <w:t>之</w:t>
      </w:r>
      <w:r>
        <w:rPr>
          <w:rFonts w:ascii="仿宋_GB2312" w:hAnsi="宋体" w:eastAsia="仿宋_GB2312" w:cs="Courier New"/>
          <w:sz w:val="32"/>
          <w:szCs w:val="32"/>
        </w:rPr>
        <w:t>日起</w:t>
      </w:r>
      <w:r>
        <w:rPr>
          <w:rFonts w:hint="eastAsia" w:ascii="仿宋_GB2312" w:hAnsi="Courier New" w:eastAsia="仿宋_GB2312" w:cs="Courier New"/>
          <w:sz w:val="32"/>
          <w:szCs w:val="32"/>
        </w:rPr>
        <w:t>实施</w:t>
      </w:r>
      <w:r>
        <w:rPr>
          <w:rFonts w:hint="eastAsia" w:ascii="仿宋_GB2312" w:hAnsi="宋体" w:eastAsia="仿宋_GB2312" w:cs="Courier New"/>
          <w:sz w:val="32"/>
          <w:szCs w:val="32"/>
        </w:rPr>
        <w:t>，</w:t>
      </w:r>
      <w:r>
        <w:rPr>
          <w:rFonts w:ascii="仿宋_GB2312" w:hAnsi="宋体" w:eastAsia="仿宋_GB2312" w:cs="Courier New"/>
          <w:sz w:val="32"/>
          <w:szCs w:val="32"/>
        </w:rPr>
        <w:t>由</w:t>
      </w:r>
      <w:r>
        <w:rPr>
          <w:rFonts w:hint="eastAsia" w:ascii="仿宋_GB2312" w:hAnsi="宋体" w:eastAsia="仿宋_GB2312" w:cs="Courier New"/>
          <w:sz w:val="32"/>
          <w:szCs w:val="32"/>
        </w:rPr>
        <w:t>党委教师工作部</w:t>
      </w:r>
      <w:r>
        <w:rPr>
          <w:rFonts w:ascii="仿宋_GB2312" w:hAnsi="宋体" w:eastAsia="仿宋_GB2312" w:cs="Courier New"/>
          <w:sz w:val="32"/>
          <w:szCs w:val="32"/>
        </w:rPr>
        <w:t>负责解释。</w:t>
      </w:r>
      <w:r>
        <w:rPr>
          <w:rFonts w:hint="eastAsia" w:ascii="仿宋_GB2312" w:hAnsi="宋体" w:eastAsia="仿宋_GB2312" w:cs="Courier New"/>
          <w:sz w:val="32"/>
          <w:szCs w:val="32"/>
        </w:rPr>
        <w:t>《柳州职业技术学院师德考评办法（试行）》（柳职院党字</w:t>
      </w:r>
      <w:r>
        <w:rPr>
          <w:rFonts w:hint="eastAsia" w:ascii="仿宋_GB2312" w:eastAsia="仿宋_GB2312"/>
          <w:sz w:val="32"/>
          <w:szCs w:val="32"/>
        </w:rPr>
        <w:t>〔2019〕</w:t>
      </w:r>
      <w:r>
        <w:rPr>
          <w:rFonts w:hint="eastAsia" w:ascii="仿宋_GB2312" w:hAnsi="宋体" w:eastAsia="仿宋_GB2312" w:cs="Courier New"/>
          <w:sz w:val="32"/>
          <w:szCs w:val="32"/>
        </w:rPr>
        <w:t>20号）同时废止。</w:t>
      </w: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Courier New"/>
          <w:sz w:val="32"/>
          <w:szCs w:val="32"/>
        </w:rPr>
      </w:pPr>
    </w:p>
    <w:p>
      <w:pPr>
        <w:pageBreakBefore w:val="0"/>
        <w:kinsoku/>
        <w:wordWrap/>
        <w:overflowPunct/>
        <w:topLinePunct w:val="0"/>
        <w:autoSpaceDE/>
        <w:autoSpaceDN/>
        <w:bidi w:val="0"/>
        <w:spacing w:line="596" w:lineRule="exact"/>
        <w:ind w:firstLine="640" w:firstLineChars="200"/>
        <w:outlineLvl w:val="9"/>
        <w:rPr>
          <w:rFonts w:hint="eastAsia" w:ascii="仿宋_GB2312" w:hAnsi="宋体" w:eastAsia="仿宋_GB2312" w:cs="Courier New"/>
          <w:sz w:val="32"/>
          <w:szCs w:val="32"/>
        </w:rPr>
      </w:pPr>
      <w:r>
        <w:rPr>
          <w:rFonts w:hint="eastAsia" w:ascii="仿宋_GB2312" w:hAnsi="宋体" w:eastAsia="仿宋_GB2312" w:cs="Courier New"/>
          <w:sz w:val="32"/>
          <w:szCs w:val="32"/>
        </w:rPr>
        <w:t>附表：1.柳州职业技术学院教师职业道德考核内容</w:t>
      </w:r>
    </w:p>
    <w:p>
      <w:pPr>
        <w:pageBreakBefore w:val="0"/>
        <w:kinsoku/>
        <w:wordWrap/>
        <w:overflowPunct/>
        <w:topLinePunct w:val="0"/>
        <w:autoSpaceDE/>
        <w:autoSpaceDN/>
        <w:bidi w:val="0"/>
        <w:spacing w:line="596" w:lineRule="exact"/>
        <w:ind w:firstLine="1600" w:firstLineChars="500"/>
        <w:outlineLvl w:val="9"/>
        <w:rPr>
          <w:rFonts w:hint="eastAsia" w:ascii="仿宋_GB2312" w:hAnsi="宋体" w:eastAsia="仿宋_GB2312" w:cs="Courier New"/>
          <w:sz w:val="32"/>
          <w:szCs w:val="32"/>
        </w:rPr>
      </w:pPr>
      <w:r>
        <w:rPr>
          <w:rFonts w:hint="eastAsia" w:ascii="仿宋_GB2312" w:hAnsi="宋体" w:eastAsia="仿宋_GB2312" w:cs="Courier New"/>
          <w:sz w:val="32"/>
          <w:szCs w:val="32"/>
        </w:rPr>
        <w:t>2.柳州职业技术学院XX年度教师职业道德考核表</w:t>
      </w:r>
    </w:p>
    <w:p>
      <w:pPr>
        <w:pageBreakBefore w:val="0"/>
        <w:kinsoku/>
        <w:wordWrap/>
        <w:overflowPunct/>
        <w:topLinePunct w:val="0"/>
        <w:autoSpaceDE/>
        <w:autoSpaceDN/>
        <w:bidi w:val="0"/>
        <w:outlineLvl w:val="9"/>
        <w:rPr>
          <w:rFonts w:hint="eastAsia" w:ascii="黑体" w:eastAsia="黑体"/>
          <w:sz w:val="32"/>
          <w:szCs w:val="32"/>
        </w:rPr>
      </w:pPr>
      <w:r>
        <w:rPr>
          <w:rFonts w:hint="eastAsia" w:ascii="黑体" w:eastAsia="黑体"/>
          <w:sz w:val="32"/>
          <w:szCs w:val="32"/>
        </w:rPr>
        <w:br w:type="page"/>
      </w:r>
    </w:p>
    <w:p>
      <w:pPr>
        <w:pageBreakBefore w:val="0"/>
        <w:kinsoku/>
        <w:wordWrap/>
        <w:overflowPunct/>
        <w:topLinePunct w:val="0"/>
        <w:autoSpaceDE/>
        <w:autoSpaceDN/>
        <w:bidi w:val="0"/>
        <w:spacing w:line="596" w:lineRule="exact"/>
        <w:jc w:val="left"/>
        <w:outlineLvl w:val="9"/>
        <w:rPr>
          <w:rFonts w:hint="eastAsia" w:ascii="仿宋_GB2312" w:hAnsi="仿宋" w:eastAsia="黑体" w:cs="华文仿宋"/>
          <w:bCs/>
          <w:sz w:val="32"/>
          <w:szCs w:val="32"/>
        </w:rPr>
      </w:pPr>
      <w:r>
        <w:rPr>
          <w:rFonts w:hint="eastAsia" w:ascii="黑体" w:eastAsia="黑体"/>
          <w:sz w:val="32"/>
          <w:szCs w:val="32"/>
        </w:rPr>
        <w:t>附表1：</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柳州职业技术学院教师职业道德考核内容</w:t>
      </w:r>
    </w:p>
    <w:tbl>
      <w:tblPr>
        <w:tblStyle w:val="17"/>
        <w:tblW w:w="8974" w:type="dxa"/>
        <w:tblInd w:w="0" w:type="dxa"/>
        <w:tblLayout w:type="fixed"/>
        <w:tblCellMar>
          <w:top w:w="0" w:type="dxa"/>
          <w:left w:w="108" w:type="dxa"/>
          <w:bottom w:w="0" w:type="dxa"/>
          <w:right w:w="108" w:type="dxa"/>
        </w:tblCellMar>
      </w:tblPr>
      <w:tblGrid>
        <w:gridCol w:w="698"/>
        <w:gridCol w:w="1271"/>
        <w:gridCol w:w="7005"/>
      </w:tblGrid>
      <w:tr>
        <w:tblPrEx>
          <w:tblLayout w:type="fixed"/>
          <w:tblCellMar>
            <w:top w:w="0" w:type="dxa"/>
            <w:left w:w="108" w:type="dxa"/>
            <w:bottom w:w="0" w:type="dxa"/>
            <w:right w:w="108" w:type="dxa"/>
          </w:tblCellMar>
        </w:tblPrEx>
        <w:trPr>
          <w:trHeight w:val="380" w:hRule="atLeast"/>
          <w:tblHeader/>
        </w:trPr>
        <w:tc>
          <w:tcPr>
            <w:tcW w:w="698" w:type="dxa"/>
            <w:tcBorders>
              <w:top w:val="single" w:color="000000" w:sz="4" w:space="0"/>
              <w:left w:val="single" w:color="000000" w:sz="4" w:space="0"/>
              <w:bottom w:val="nil"/>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271" w:type="dxa"/>
            <w:tcBorders>
              <w:top w:val="single" w:color="000000" w:sz="4" w:space="0"/>
              <w:left w:val="single" w:color="000000" w:sz="4" w:space="0"/>
              <w:bottom w:val="nil"/>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考核内容</w:t>
            </w:r>
          </w:p>
        </w:tc>
        <w:tc>
          <w:tcPr>
            <w:tcW w:w="7005"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基本要求</w:t>
            </w:r>
          </w:p>
        </w:tc>
      </w:tr>
      <w:tr>
        <w:tblPrEx>
          <w:tblLayout w:type="fixed"/>
          <w:tblCellMar>
            <w:top w:w="0" w:type="dxa"/>
            <w:left w:w="108" w:type="dxa"/>
            <w:bottom w:w="0" w:type="dxa"/>
            <w:right w:w="108" w:type="dxa"/>
          </w:tblCellMar>
        </w:tblPrEx>
        <w:trPr>
          <w:trHeight w:val="885"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一</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坚定政治方向</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坚持以习近平新时代中国特色社会主义思想为指导，拥护中国共产党的领导，贯彻党的教育方针,牢固树立“四个意识”，坚定“四个自信”,坚决做到“两个维护”。</w:t>
            </w:r>
          </w:p>
        </w:tc>
      </w:tr>
      <w:tr>
        <w:tblPrEx>
          <w:tblLayout w:type="fixed"/>
          <w:tblCellMar>
            <w:top w:w="0" w:type="dxa"/>
            <w:left w:w="108" w:type="dxa"/>
            <w:bottom w:w="0" w:type="dxa"/>
            <w:right w:w="108" w:type="dxa"/>
          </w:tblCellMar>
        </w:tblPrEx>
        <w:trPr>
          <w:trHeight w:val="600"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不在教育教学活动中及其他场合有损害党中央权威、违背党的路线方针政策的言行。</w:t>
            </w:r>
          </w:p>
        </w:tc>
      </w:tr>
      <w:tr>
        <w:tblPrEx>
          <w:tblLayout w:type="fixed"/>
          <w:tblCellMar>
            <w:top w:w="0" w:type="dxa"/>
            <w:left w:w="108" w:type="dxa"/>
            <w:bottom w:w="0" w:type="dxa"/>
            <w:right w:w="108" w:type="dxa"/>
          </w:tblCellMar>
        </w:tblPrEx>
        <w:trPr>
          <w:trHeight w:val="570"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自觉爱国守法</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忠于祖国，忠于人民，恪守宪法原则，遵守法律法规，依法履行教师职责，积极参加学校组织的各项活动、学习、会议等。</w:t>
            </w:r>
          </w:p>
        </w:tc>
      </w:tr>
      <w:tr>
        <w:tblPrEx>
          <w:tblLayout w:type="fixed"/>
          <w:tblCellMar>
            <w:top w:w="0" w:type="dxa"/>
            <w:left w:w="108" w:type="dxa"/>
            <w:bottom w:w="0" w:type="dxa"/>
            <w:right w:w="108" w:type="dxa"/>
          </w:tblCellMar>
        </w:tblPrEx>
        <w:trPr>
          <w:trHeight w:val="40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不损害国家利益、社会公共利益，或违背社会公序良俗。</w:t>
            </w:r>
          </w:p>
        </w:tc>
      </w:tr>
      <w:tr>
        <w:tblPrEx>
          <w:tblLayout w:type="fixed"/>
          <w:tblCellMar>
            <w:top w:w="0" w:type="dxa"/>
            <w:left w:w="108" w:type="dxa"/>
            <w:bottom w:w="0" w:type="dxa"/>
            <w:right w:w="108" w:type="dxa"/>
          </w:tblCellMar>
        </w:tblPrEx>
        <w:trPr>
          <w:trHeight w:val="615"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三</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传播优秀文化</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带头践行社会主义核心价值观，弘扬真善美，传递正能量，传播优秀文化，普及科学知识。</w:t>
            </w:r>
          </w:p>
        </w:tc>
      </w:tr>
      <w:tr>
        <w:tblPrEx>
          <w:tblLayout w:type="fixed"/>
          <w:tblCellMar>
            <w:top w:w="0" w:type="dxa"/>
            <w:left w:w="108" w:type="dxa"/>
            <w:bottom w:w="0" w:type="dxa"/>
            <w:right w:w="108" w:type="dxa"/>
          </w:tblCellMar>
        </w:tblPrEx>
        <w:trPr>
          <w:trHeight w:val="64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不通过课堂、论坛、讲座、信息网络及其他渠道发表、转发错误观点，或编造散布虚假信息、不良信息。</w:t>
            </w:r>
          </w:p>
        </w:tc>
      </w:tr>
      <w:tr>
        <w:tblPrEx>
          <w:tblLayout w:type="fixed"/>
          <w:tblCellMar>
            <w:top w:w="0" w:type="dxa"/>
            <w:left w:w="108" w:type="dxa"/>
            <w:bottom w:w="0" w:type="dxa"/>
            <w:right w:w="108" w:type="dxa"/>
          </w:tblCellMar>
        </w:tblPrEx>
        <w:trPr>
          <w:trHeight w:val="645"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四</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潜心教书育人</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落实立德树人根本任务，遵循教育规律和学生成长规律，因材施教，教学相长，完成学校交给的教育教学、科研任务。</w:t>
            </w:r>
          </w:p>
        </w:tc>
      </w:tr>
      <w:tr>
        <w:tblPrEx>
          <w:tblLayout w:type="fixed"/>
          <w:tblCellMar>
            <w:top w:w="0" w:type="dxa"/>
            <w:left w:w="108" w:type="dxa"/>
            <w:bottom w:w="0" w:type="dxa"/>
            <w:right w:w="108" w:type="dxa"/>
          </w:tblCellMar>
        </w:tblPrEx>
        <w:trPr>
          <w:trHeight w:val="55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无违反教学纪律，敷衍教学，或擅自从事影响教育教学本职工作的兼职兼薪行为。</w:t>
            </w:r>
          </w:p>
        </w:tc>
      </w:tr>
      <w:tr>
        <w:tblPrEx>
          <w:tblLayout w:type="fixed"/>
          <w:tblCellMar>
            <w:top w:w="0" w:type="dxa"/>
            <w:left w:w="108" w:type="dxa"/>
            <w:bottom w:w="0" w:type="dxa"/>
            <w:right w:w="108" w:type="dxa"/>
          </w:tblCellMar>
        </w:tblPrEx>
        <w:trPr>
          <w:trHeight w:val="555"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五</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关心爱护学生</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严慈相济，诲人不倦，真心关爱学生，严格要求学生，做学生良师益友。</w:t>
            </w:r>
          </w:p>
        </w:tc>
      </w:tr>
      <w:tr>
        <w:tblPrEx>
          <w:tblLayout w:type="fixed"/>
          <w:tblCellMar>
            <w:top w:w="0" w:type="dxa"/>
            <w:left w:w="108" w:type="dxa"/>
            <w:bottom w:w="0" w:type="dxa"/>
            <w:right w:w="108" w:type="dxa"/>
          </w:tblCellMar>
        </w:tblPrEx>
        <w:trPr>
          <w:trHeight w:val="58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不拒绝学生的合理要求，不要求学生从事与教学、科研、社会服务无关的事宜，不损害学生和学校的合法权益。</w:t>
            </w:r>
          </w:p>
        </w:tc>
      </w:tr>
      <w:tr>
        <w:tblPrEx>
          <w:tblLayout w:type="fixed"/>
          <w:tblCellMar>
            <w:top w:w="0" w:type="dxa"/>
            <w:left w:w="108" w:type="dxa"/>
            <w:bottom w:w="0" w:type="dxa"/>
            <w:right w:w="108" w:type="dxa"/>
          </w:tblCellMar>
        </w:tblPrEx>
        <w:trPr>
          <w:trHeight w:val="390"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六</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坚持言行雅正</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为人师表，以身作则，举止文明，作风正派，自重自爱。</w:t>
            </w:r>
          </w:p>
        </w:tc>
      </w:tr>
      <w:tr>
        <w:tblPrEx>
          <w:tblLayout w:type="fixed"/>
          <w:tblCellMar>
            <w:top w:w="0" w:type="dxa"/>
            <w:left w:w="108" w:type="dxa"/>
            <w:bottom w:w="0" w:type="dxa"/>
            <w:right w:w="108" w:type="dxa"/>
          </w:tblCellMar>
        </w:tblPrEx>
        <w:trPr>
          <w:trHeight w:val="570"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不与学生发生任何不正当关系，不存在任何形式的猥亵、性骚扰行为。</w:t>
            </w:r>
          </w:p>
        </w:tc>
      </w:tr>
      <w:tr>
        <w:tblPrEx>
          <w:tblLayout w:type="fixed"/>
          <w:tblCellMar>
            <w:top w:w="0" w:type="dxa"/>
            <w:left w:w="108" w:type="dxa"/>
            <w:bottom w:w="0" w:type="dxa"/>
            <w:right w:w="108" w:type="dxa"/>
          </w:tblCellMar>
        </w:tblPrEx>
        <w:trPr>
          <w:trHeight w:val="570"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七</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遵守学术规范</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严谨治学，力戒浮躁，潜心问道，勇于探索，弘扬科学精神，坚守学术良知，反对学术不端。</w:t>
            </w:r>
          </w:p>
        </w:tc>
      </w:tr>
      <w:tr>
        <w:tblPrEx>
          <w:tblLayout w:type="fixed"/>
          <w:tblCellMar>
            <w:top w:w="0" w:type="dxa"/>
            <w:left w:w="108" w:type="dxa"/>
            <w:bottom w:w="0" w:type="dxa"/>
            <w:right w:w="108" w:type="dxa"/>
          </w:tblCellMar>
        </w:tblPrEx>
        <w:trPr>
          <w:trHeight w:val="570"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ascii="仿宋_GB2312" w:hAnsi="宋体" w:eastAsia="仿宋_GB2312" w:cs="宋体"/>
                <w:color w:val="000000"/>
                <w:kern w:val="0"/>
                <w:sz w:val="24"/>
                <w:lang w:bidi="ar"/>
              </w:rPr>
              <w:t>不存在抄袭剽窃、篡改侵吞他人学术成果，或滥用学术资源和学术影响的行为，坚决抵制学术失范和学术不端行为。</w:t>
            </w:r>
          </w:p>
        </w:tc>
      </w:tr>
      <w:tr>
        <w:tblPrEx>
          <w:tblLayout w:type="fixed"/>
          <w:tblCellMar>
            <w:top w:w="0" w:type="dxa"/>
            <w:left w:w="108" w:type="dxa"/>
            <w:bottom w:w="0" w:type="dxa"/>
            <w:right w:w="108" w:type="dxa"/>
          </w:tblCellMar>
        </w:tblPrEx>
        <w:trPr>
          <w:trHeight w:val="450"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八</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秉持公平诚信</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坚持原则，处事公道，光明磊落，为人正直。</w:t>
            </w:r>
          </w:p>
        </w:tc>
      </w:tr>
      <w:tr>
        <w:tblPrEx>
          <w:tblLayout w:type="fixed"/>
          <w:tblCellMar>
            <w:top w:w="0" w:type="dxa"/>
            <w:left w:w="108" w:type="dxa"/>
            <w:bottom w:w="0" w:type="dxa"/>
            <w:right w:w="108" w:type="dxa"/>
          </w:tblCellMar>
        </w:tblPrEx>
        <w:trPr>
          <w:trHeight w:val="600"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在招生、考试、推优、专升本、就业及绩效考核、岗位聘用、职称评聘、评优评奖等工作中，不存在徇私舞弊、弄虚作假的行为。</w:t>
            </w:r>
          </w:p>
        </w:tc>
      </w:tr>
      <w:tr>
        <w:tblPrEx>
          <w:tblLayout w:type="fixed"/>
          <w:tblCellMar>
            <w:top w:w="0" w:type="dxa"/>
            <w:left w:w="108" w:type="dxa"/>
            <w:bottom w:w="0" w:type="dxa"/>
            <w:right w:w="108" w:type="dxa"/>
          </w:tblCellMar>
        </w:tblPrEx>
        <w:trPr>
          <w:trHeight w:val="420"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九</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坚守廉洁自律</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严于律己，清廉从教。</w:t>
            </w:r>
          </w:p>
        </w:tc>
      </w:tr>
      <w:tr>
        <w:tblPrEx>
          <w:tblLayout w:type="fixed"/>
          <w:tblCellMar>
            <w:top w:w="0" w:type="dxa"/>
            <w:left w:w="108" w:type="dxa"/>
            <w:bottom w:w="0" w:type="dxa"/>
            <w:right w:w="108" w:type="dxa"/>
          </w:tblCellMar>
        </w:tblPrEx>
        <w:trPr>
          <w:trHeight w:val="58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不存在索要、收受学生及家长财物的行为，未参加由学生及家长付费的宴请、旅游、娱乐休闲等活动，未利用家长资源谋取私利。</w:t>
            </w:r>
          </w:p>
        </w:tc>
      </w:tr>
      <w:tr>
        <w:tblPrEx>
          <w:tblLayout w:type="fixed"/>
          <w:tblCellMar>
            <w:top w:w="0" w:type="dxa"/>
            <w:left w:w="108" w:type="dxa"/>
            <w:bottom w:w="0" w:type="dxa"/>
            <w:right w:w="108" w:type="dxa"/>
          </w:tblCellMar>
        </w:tblPrEx>
        <w:trPr>
          <w:trHeight w:val="435" w:hRule="atLeast"/>
        </w:trPr>
        <w:tc>
          <w:tcPr>
            <w:tcW w:w="698"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十</w:t>
            </w:r>
          </w:p>
        </w:tc>
        <w:tc>
          <w:tcPr>
            <w:tcW w:w="1271" w:type="dxa"/>
            <w:vMerge w:val="restart"/>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积极奉献社会</w:t>
            </w: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履行社会责任，贡献聪明才智，树立正确义利观。</w:t>
            </w:r>
          </w:p>
        </w:tc>
      </w:tr>
      <w:tr>
        <w:tblPrEx>
          <w:tblLayout w:type="fixed"/>
          <w:tblCellMar>
            <w:top w:w="0" w:type="dxa"/>
            <w:left w:w="108" w:type="dxa"/>
            <w:bottom w:w="0" w:type="dxa"/>
            <w:right w:w="108" w:type="dxa"/>
          </w:tblCellMar>
        </w:tblPrEx>
        <w:trPr>
          <w:trHeight w:val="615" w:hRule="atLeast"/>
        </w:trPr>
        <w:tc>
          <w:tcPr>
            <w:tcW w:w="698"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p>
        </w:tc>
        <w:tc>
          <w:tcPr>
            <w:tcW w:w="70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不存在假公济私，擅自利用学校名义或校名、校徽、专利、场所等资源谋取个人利益的行为。</w:t>
            </w:r>
          </w:p>
        </w:tc>
      </w:tr>
    </w:tbl>
    <w:p>
      <w:pPr>
        <w:pageBreakBefore w:val="0"/>
        <w:kinsoku/>
        <w:wordWrap/>
        <w:overflowPunct/>
        <w:topLinePunct w:val="0"/>
        <w:autoSpaceDE/>
        <w:autoSpaceDN/>
        <w:bidi w:val="0"/>
        <w:outlineLvl w:val="9"/>
        <w:rPr>
          <w:rFonts w:hint="eastAsia" w:ascii="黑体" w:eastAsia="黑体"/>
          <w:sz w:val="32"/>
          <w:szCs w:val="32"/>
        </w:rPr>
      </w:pPr>
      <w:r>
        <w:rPr>
          <w:rFonts w:ascii="仿宋_GB2312" w:hAnsi="仿宋" w:eastAsia="仿宋_GB2312" w:cs="华文仿宋"/>
          <w:bCs/>
          <w:sz w:val="32"/>
          <w:szCs w:val="32"/>
        </w:rPr>
        <w:br w:type="page"/>
      </w:r>
      <w:r>
        <w:rPr>
          <w:rFonts w:hint="eastAsia" w:ascii="黑体" w:eastAsia="黑体"/>
          <w:sz w:val="32"/>
          <w:szCs w:val="32"/>
        </w:rPr>
        <w:t>附表2:</w:t>
      </w:r>
    </w:p>
    <w:p>
      <w:pPr>
        <w:pageBreakBefore w:val="0"/>
        <w:kinsoku/>
        <w:wordWrap/>
        <w:overflowPunct/>
        <w:topLinePunct w:val="0"/>
        <w:autoSpaceDE/>
        <w:autoSpaceDN/>
        <w:bidi w:val="0"/>
        <w:spacing w:line="596" w:lineRule="exact"/>
        <w:jc w:val="center"/>
        <w:outlineLvl w:val="9"/>
        <w:rPr>
          <w:rFonts w:hint="eastAsia"/>
          <w:b/>
          <w:color w:val="000000"/>
          <w:sz w:val="36"/>
          <w:szCs w:val="36"/>
        </w:rPr>
      </w:pPr>
      <w:r>
        <w:rPr>
          <w:rFonts w:hint="eastAsia"/>
          <w:b/>
          <w:color w:val="000000"/>
          <w:sz w:val="36"/>
          <w:szCs w:val="36"/>
        </w:rPr>
        <w:t>柳州职业技术学院</w:t>
      </w:r>
      <w:r>
        <w:rPr>
          <w:rFonts w:hint="eastAsia"/>
          <w:b/>
          <w:color w:val="000000"/>
          <w:sz w:val="36"/>
          <w:szCs w:val="36"/>
          <w:u w:val="single"/>
        </w:rPr>
        <w:t xml:space="preserve">     </w:t>
      </w:r>
      <w:r>
        <w:rPr>
          <w:rFonts w:hint="eastAsia"/>
          <w:b/>
          <w:color w:val="000000"/>
          <w:sz w:val="36"/>
          <w:szCs w:val="36"/>
        </w:rPr>
        <w:t>年度教师职业道德考核表</w:t>
      </w:r>
    </w:p>
    <w:p>
      <w:pPr>
        <w:pageBreakBefore w:val="0"/>
        <w:widowControl/>
        <w:kinsoku/>
        <w:wordWrap/>
        <w:overflowPunct/>
        <w:topLinePunct w:val="0"/>
        <w:autoSpaceDE/>
        <w:autoSpaceDN/>
        <w:bidi w:val="0"/>
        <w:spacing w:line="580" w:lineRule="exact"/>
        <w:outlineLvl w:val="9"/>
        <w:rPr>
          <w:rFonts w:hint="eastAsia" w:ascii="方正小标宋简体" w:hAnsi="等线" w:eastAsia="方正小标宋简体" w:cs="等线"/>
          <w:kern w:val="0"/>
          <w:sz w:val="36"/>
          <w:szCs w:val="36"/>
          <w:lang w:bidi="ar"/>
        </w:rPr>
      </w:pPr>
    </w:p>
    <w:p>
      <w:pPr>
        <w:pageBreakBefore w:val="0"/>
        <w:widowControl/>
        <w:kinsoku/>
        <w:wordWrap/>
        <w:overflowPunct/>
        <w:topLinePunct w:val="0"/>
        <w:autoSpaceDE/>
        <w:autoSpaceDN/>
        <w:bidi w:val="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所在部门： </w:t>
      </w:r>
      <w:r>
        <w:rPr>
          <w:rFonts w:hint="eastAsia" w:ascii="仿宋_GB2312" w:hAnsi="宋体" w:eastAsia="仿宋_GB2312" w:cs="宋体"/>
          <w:color w:val="000000"/>
          <w:kern w:val="0"/>
          <w:sz w:val="24"/>
          <w:u w:val="single"/>
          <w:lang w:bidi="ar"/>
        </w:rPr>
        <w:t xml:space="preserve">                     </w:t>
      </w:r>
      <w:r>
        <w:rPr>
          <w:rFonts w:hint="eastAsia" w:ascii="仿宋_GB2312" w:hAnsi="宋体" w:eastAsia="仿宋_GB2312" w:cs="宋体"/>
          <w:color w:val="000000"/>
          <w:kern w:val="0"/>
          <w:sz w:val="24"/>
          <w:lang w:bidi="ar"/>
        </w:rPr>
        <w:t xml:space="preserve">              </w:t>
      </w:r>
    </w:p>
    <w:tbl>
      <w:tblPr>
        <w:tblStyle w:val="17"/>
        <w:tblW w:w="95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149"/>
        <w:gridCol w:w="440"/>
        <w:gridCol w:w="836"/>
        <w:gridCol w:w="567"/>
        <w:gridCol w:w="851"/>
        <w:gridCol w:w="1417"/>
        <w:gridCol w:w="425"/>
        <w:gridCol w:w="709"/>
        <w:gridCol w:w="709"/>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31" w:hRule="atLeast"/>
          <w:jc w:val="center"/>
        </w:trPr>
        <w:tc>
          <w:tcPr>
            <w:tcW w:w="1149"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姓名</w:t>
            </w:r>
          </w:p>
        </w:tc>
        <w:tc>
          <w:tcPr>
            <w:tcW w:w="1276"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567"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性别</w:t>
            </w:r>
          </w:p>
        </w:tc>
        <w:tc>
          <w:tcPr>
            <w:tcW w:w="851"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1417"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出生</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年月</w:t>
            </w:r>
          </w:p>
        </w:tc>
        <w:tc>
          <w:tcPr>
            <w:tcW w:w="1134"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709"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政治</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面貌</w:t>
            </w:r>
          </w:p>
        </w:tc>
        <w:tc>
          <w:tcPr>
            <w:tcW w:w="2410"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05" w:hRule="atLeast"/>
          <w:jc w:val="center"/>
        </w:trPr>
        <w:tc>
          <w:tcPr>
            <w:tcW w:w="1149"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学历/学位</w:t>
            </w:r>
          </w:p>
        </w:tc>
        <w:tc>
          <w:tcPr>
            <w:tcW w:w="1843" w:type="dxa"/>
            <w:gridSpan w:val="3"/>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851"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职称</w:t>
            </w:r>
          </w:p>
        </w:tc>
        <w:tc>
          <w:tcPr>
            <w:tcW w:w="1842"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1418"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现任职务</w:t>
            </w:r>
          </w:p>
        </w:tc>
        <w:tc>
          <w:tcPr>
            <w:tcW w:w="2410" w:type="dxa"/>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41" w:hRule="atLeast"/>
          <w:jc w:val="center"/>
        </w:trPr>
        <w:tc>
          <w:tcPr>
            <w:tcW w:w="9513" w:type="dxa"/>
            <w:gridSpan w:val="10"/>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个人自评（800字）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535" w:hRule="atLeast"/>
          <w:jc w:val="center"/>
        </w:trPr>
        <w:tc>
          <w:tcPr>
            <w:tcW w:w="9513" w:type="dxa"/>
            <w:gridSpan w:val="10"/>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outlineLvl w:val="9"/>
              <w:rPr>
                <w:rFonts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自评等级：________________（优秀、合格、不合格）                                            </w:t>
            </w:r>
          </w:p>
          <w:p>
            <w:pPr>
              <w:pageBreakBefore w:val="0"/>
              <w:widowControl/>
              <w:kinsoku/>
              <w:wordWrap/>
              <w:overflowPunct/>
              <w:topLinePunct w:val="0"/>
              <w:autoSpaceDE/>
              <w:autoSpaceDN/>
              <w:bidi w:val="0"/>
              <w:spacing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签名:</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125" w:hRule="atLeast"/>
          <w:jc w:val="center"/>
        </w:trPr>
        <w:tc>
          <w:tcPr>
            <w:tcW w:w="1589"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学生评价</w:t>
            </w:r>
          </w:p>
        </w:tc>
        <w:tc>
          <w:tcPr>
            <w:tcW w:w="7924" w:type="dxa"/>
            <w:gridSpan w:val="8"/>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w:t>
            </w:r>
            <w:r>
              <w:rPr>
                <w:rFonts w:hint="eastAsia" w:ascii="仿宋_GB2312" w:hAnsi="宋体" w:eastAsia="仿宋_GB2312" w:cs="宋体"/>
                <w:color w:val="000000"/>
                <w:kern w:val="0"/>
                <w:sz w:val="24"/>
                <w:lang w:bidi="ar"/>
              </w:rPr>
              <w:tab/>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评价等级：________________（优秀、良好、中、较差、差）</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盖章：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862" w:hRule="atLeast"/>
          <w:jc w:val="center"/>
        </w:trPr>
        <w:tc>
          <w:tcPr>
            <w:tcW w:w="1589"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教师互评</w:t>
            </w:r>
          </w:p>
        </w:tc>
        <w:tc>
          <w:tcPr>
            <w:tcW w:w="7924" w:type="dxa"/>
            <w:gridSpan w:val="8"/>
            <w:vAlign w:val="center"/>
          </w:tcPr>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互评等级：________________（优秀、合格、不合格）</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负责人签名：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008" w:hRule="atLeast"/>
          <w:jc w:val="center"/>
        </w:trPr>
        <w:tc>
          <w:tcPr>
            <w:tcW w:w="1589" w:type="dxa"/>
            <w:gridSpan w:val="2"/>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直属党支部、二级学院师德考核小组意见</w:t>
            </w:r>
          </w:p>
        </w:tc>
        <w:tc>
          <w:tcPr>
            <w:tcW w:w="7924" w:type="dxa"/>
            <w:gridSpan w:val="8"/>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w:t>
            </w:r>
          </w:p>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考核等级：________________（优秀、合格、不合格）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盖章：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5" w:hRule="atLeast"/>
          <w:jc w:val="center"/>
        </w:trPr>
        <w:tc>
          <w:tcPr>
            <w:tcW w:w="1589" w:type="dxa"/>
            <w:gridSpan w:val="2"/>
            <w:tcBorders>
              <w:right w:val="single" w:color="auto" w:sz="4" w:space="0"/>
            </w:tcBorders>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学校考核意见</w:t>
            </w:r>
          </w:p>
        </w:tc>
        <w:tc>
          <w:tcPr>
            <w:tcW w:w="7924" w:type="dxa"/>
            <w:gridSpan w:val="8"/>
            <w:tcBorders>
              <w:left w:val="single" w:color="auto" w:sz="4" w:space="0"/>
            </w:tcBorders>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考核等级：________________（优秀、合格、不合格）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盖章：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495" w:hRule="atLeast"/>
          <w:jc w:val="center"/>
        </w:trPr>
        <w:tc>
          <w:tcPr>
            <w:tcW w:w="1589" w:type="dxa"/>
            <w:gridSpan w:val="2"/>
            <w:tcBorders>
              <w:right w:val="single" w:color="auto" w:sz="4" w:space="0"/>
            </w:tcBorders>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本人意见</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tc>
        <w:tc>
          <w:tcPr>
            <w:tcW w:w="7924" w:type="dxa"/>
            <w:gridSpan w:val="8"/>
            <w:tcBorders>
              <w:left w:val="single" w:color="auto" w:sz="4" w:space="0"/>
            </w:tcBorders>
            <w:vAlign w:val="center"/>
          </w:tcPr>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w:t>
            </w:r>
          </w:p>
          <w:p>
            <w:pPr>
              <w:pageBreakBefore w:val="0"/>
              <w:widowControl/>
              <w:kinsoku/>
              <w:wordWrap/>
              <w:overflowPunct/>
              <w:topLinePunct w:val="0"/>
              <w:autoSpaceDE/>
              <w:autoSpaceDN/>
              <w:bidi w:val="0"/>
              <w:spacing w:line="400" w:lineRule="exact"/>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签名：  </w:t>
            </w:r>
          </w:p>
          <w:p>
            <w:pPr>
              <w:pageBreakBefore w:val="0"/>
              <w:widowControl/>
              <w:kinsoku/>
              <w:wordWrap/>
              <w:overflowPunct/>
              <w:topLinePunct w:val="0"/>
              <w:autoSpaceDE/>
              <w:autoSpaceDN/>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xml:space="preserve">                                       年     月    日</w:t>
            </w:r>
          </w:p>
        </w:tc>
      </w:tr>
    </w:tbl>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9"/>
        <w:rPr>
          <w:rFonts w:hint="eastAsia" w:asciiTheme="minorEastAsia" w:hAnsiTheme="minorEastAsia" w:eastAsiaTheme="minorEastAsia"/>
          <w:b/>
          <w:bCs/>
          <w:color w:val="000000"/>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lang w:val="en-US" w:eastAsia="zh-CN"/>
        </w:rPr>
      </w:pPr>
      <w:bookmarkStart w:id="381" w:name="_Toc24076"/>
      <w:bookmarkStart w:id="382" w:name="_Toc4028"/>
      <w:bookmarkStart w:id="383" w:name="_Toc12040"/>
      <w:r>
        <w:rPr>
          <w:rFonts w:hint="eastAsia" w:asciiTheme="minorEastAsia" w:hAnsiTheme="minorEastAsia" w:eastAsiaTheme="minorEastAsia"/>
          <w:b/>
          <w:bCs/>
          <w:color w:val="000000"/>
          <w:kern w:val="2"/>
          <w:sz w:val="36"/>
          <w:szCs w:val="36"/>
          <w:lang w:val="en-US"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heme="minorEastAsia" w:hAnsiTheme="minorEastAsia" w:eastAsiaTheme="minorEastAsia"/>
          <w:b/>
          <w:bCs/>
          <w:color w:val="000000"/>
          <w:kern w:val="2"/>
          <w:sz w:val="36"/>
          <w:szCs w:val="36"/>
          <w:lang w:val="en-US" w:eastAsia="zh-CN"/>
        </w:rPr>
        <w:instrText xml:space="preserve">ADDIN CNKISM.UserStyle</w:instrText>
      </w:r>
      <w:r>
        <w:rPr>
          <w:rFonts w:hint="eastAsia" w:asciiTheme="minorEastAsia" w:hAnsiTheme="minorEastAsia" w:eastAsiaTheme="minorEastAsia"/>
          <w:b/>
          <w:bCs/>
          <w:color w:val="000000"/>
          <w:kern w:val="2"/>
          <w:sz w:val="36"/>
          <w:szCs w:val="36"/>
          <w:lang w:val="en-US" w:eastAsia="zh-CN"/>
        </w:rPr>
        <w:fldChar w:fldCharType="separate"/>
      </w:r>
      <w:r>
        <w:rPr>
          <w:rFonts w:hint="eastAsia" w:asciiTheme="minorEastAsia" w:hAnsiTheme="minorEastAsia" w:eastAsiaTheme="minorEastAsia"/>
          <w:b/>
          <w:bCs/>
          <w:color w:val="000000"/>
          <w:kern w:val="2"/>
          <w:sz w:val="36"/>
          <w:szCs w:val="36"/>
          <w:lang w:val="en-US" w:eastAsia="zh-CN"/>
        </w:rPr>
        <w:fldChar w:fldCharType="end"/>
      </w:r>
      <w:r>
        <w:rPr>
          <w:rFonts w:hint="eastAsia" w:asciiTheme="minorEastAsia" w:hAnsiTheme="minorEastAsia" w:eastAsiaTheme="minorEastAsia"/>
          <w:b/>
          <w:bCs/>
          <w:color w:val="000000"/>
          <w:kern w:val="2"/>
          <w:sz w:val="36"/>
          <w:szCs w:val="36"/>
          <w:lang w:val="en-US" w:eastAsia="zh-CN"/>
        </w:rPr>
        <w:t>柳州职业技术学院教师职业道德</w:t>
      </w:r>
      <w:bookmarkEnd w:id="381"/>
      <w:bookmarkEnd w:id="382"/>
      <w:bookmarkEnd w:id="383"/>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lang w:val="en-US" w:eastAsia="zh-CN"/>
        </w:rPr>
      </w:pPr>
      <w:bookmarkStart w:id="384" w:name="_Toc23049"/>
      <w:bookmarkStart w:id="385" w:name="_Toc32500"/>
      <w:bookmarkStart w:id="386" w:name="_Toc19537"/>
      <w:r>
        <w:rPr>
          <w:rFonts w:hint="eastAsia" w:asciiTheme="minorEastAsia" w:hAnsiTheme="minorEastAsia" w:eastAsiaTheme="minorEastAsia"/>
          <w:b/>
          <w:bCs/>
          <w:color w:val="000000"/>
          <w:kern w:val="2"/>
          <w:sz w:val="36"/>
          <w:szCs w:val="36"/>
          <w:lang w:val="en-US" w:eastAsia="zh-CN"/>
        </w:rPr>
        <w:t>负面清单和失范行为处理办法</w:t>
      </w:r>
      <w:bookmarkEnd w:id="384"/>
      <w:bookmarkEnd w:id="385"/>
      <w:bookmarkEnd w:id="386"/>
    </w:p>
    <w:p>
      <w:pPr>
        <w:pageBreakBefore w:val="0"/>
        <w:kinsoku/>
        <w:wordWrap/>
        <w:overflowPunct/>
        <w:topLinePunct w:val="0"/>
        <w:autoSpaceDE/>
        <w:autoSpaceDN/>
        <w:bidi w:val="0"/>
        <w:spacing w:line="590" w:lineRule="exact"/>
        <w:ind w:firstLine="880" w:firstLineChars="200"/>
        <w:outlineLvl w:val="9"/>
        <w:rPr>
          <w:rFonts w:eastAsia="方正小标宋简体"/>
          <w:color w:val="0D0D0D"/>
          <w:sz w:val="44"/>
          <w:szCs w:val="44"/>
        </w:rPr>
      </w:pP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为进一步规范我校教师履职履责行为，落实立德树人根本任务，弘扬新时代高校教师师德风尚，根据《新时代高校教师职业行为十项准则》》（教师〔2018〕16号）、《自治区教育厅关于印发&lt;广西高校教师职业道德考核办法&gt;和&lt;广西高校教师职业道德负面清单和失范行为处理指导意见&gt;的通知》（桂教规范〔2019〕22号）等文件精神，结合学校实际，制定本办法。</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一、教师职业道德负面清单</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（一）在教育教学活动中及其他场合有损害党中央权威、违背党的路线方针政策的言行。</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（二）损害国家利益、民族利益、人民利益、社会公共利益，或违背社会公序良俗。</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（三）通过课堂、论坛、讲座、信息网络及其他渠道发表、转发错误观点，或编造散布虚假信息、不良信息，在校园内进行宗教活动、传播邪教和宣传封建迷信等活动。</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（四）违反教学纪律，敷衍教学，或擅自从事影响教育教学本职工作的兼职兼薪行为。</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（五）要求学生从事与教学、科研、社会服务无关的事项， 侮辱、歧视、威胁、打击报复学生。</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（六）与学生发生不正当关系，存在猥亵、性骚扰等侵害行为。</w:t>
      </w:r>
    </w:p>
    <w:p>
      <w:pPr>
        <w:pStyle w:val="22"/>
        <w:pageBreakBefore w:val="0"/>
        <w:tabs>
          <w:tab w:val="left" w:pos="1582"/>
        </w:tabs>
        <w:kinsoku/>
        <w:wordWrap/>
        <w:overflowPunct/>
        <w:topLinePunct w:val="0"/>
        <w:autoSpaceDE/>
        <w:autoSpaceDN/>
        <w:bidi w:val="0"/>
        <w:spacing w:line="596" w:lineRule="exact"/>
        <w:ind w:firstLine="774" w:firstLineChars="242"/>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（七）违背科研诚信，抄袭剽窃、篡改侵吞他人学术成果，伪造学术经历、不当署名、一稿多投、买卖论文，或滥用学术资源和学术影响等学术不端行为。</w:t>
      </w:r>
    </w:p>
    <w:p>
      <w:pPr>
        <w:pStyle w:val="22"/>
        <w:pageBreakBefore w:val="0"/>
        <w:tabs>
          <w:tab w:val="left" w:pos="1582"/>
        </w:tabs>
        <w:kinsoku/>
        <w:wordWrap/>
        <w:overflowPunct/>
        <w:topLinePunct w:val="0"/>
        <w:autoSpaceDE/>
        <w:autoSpaceDN/>
        <w:bidi w:val="0"/>
        <w:spacing w:line="596" w:lineRule="exact"/>
        <w:ind w:firstLine="774" w:firstLineChars="242"/>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（八）在招生、考试、推优、就业及绩效考核、岗位聘用、职称评聘、项目申报、评优评奖、助学助困等工作中徇私舞弊、弄虚作假。</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九）索要、收受学生、家长及其他利益相关人赠送的礼品、礼金等财物，参加由学生、家长其他利益相关人付费的宴请、旅游、娱乐休闲等活动，或利用家长资源谋取私利，以营利为目的推销、代购未经学校审定的教材或教辅资料，违规使用科研经费，借开会、调研、培训等名义用公款旅游。</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（十）假公济私，擅自利用学校名义或校名、校徽、专利、场所等资源谋取个人利益。</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（十一）其他违反师德的行为。</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二、师德失范行为处理和处分</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教师</w:t>
      </w:r>
      <w:r>
        <w:rPr>
          <w:rFonts w:ascii="Times New Roman" w:hAnsi="Times New Roman" w:eastAsia="仿宋_GB2312" w:cs="Times New Roman"/>
          <w:bCs/>
          <w:sz w:val="32"/>
          <w:szCs w:val="32"/>
          <w:lang w:val="en-US" w:eastAsia="zh-CN" w:bidi="ar-SA"/>
        </w:rPr>
        <w:t>出现违反师德行为的，一经查实，根据情节</w:t>
      </w:r>
      <w:r>
        <w:rPr>
          <w:rFonts w:hint="eastAsia" w:ascii="Times New Roman" w:hAnsi="Times New Roman" w:eastAsia="仿宋_GB2312" w:cs="Times New Roman"/>
          <w:bCs/>
          <w:sz w:val="32"/>
          <w:szCs w:val="32"/>
          <w:lang w:val="en-US" w:eastAsia="zh-CN" w:bidi="ar-SA"/>
        </w:rPr>
        <w:t>轻重，</w:t>
      </w:r>
      <w:r>
        <w:rPr>
          <w:rFonts w:ascii="Times New Roman" w:hAnsi="Times New Roman" w:eastAsia="仿宋_GB2312" w:cs="Times New Roman"/>
          <w:bCs/>
          <w:sz w:val="32"/>
          <w:szCs w:val="32"/>
          <w:lang w:val="en-US" w:eastAsia="zh-CN" w:bidi="ar-SA"/>
        </w:rPr>
        <w:t>给予相应处理或处分：</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 xml:space="preserve">（一）情节较轻的，给予批评教育、诫勉谈话、责令检查、通报批评，调离教学岗位、停止教学活动，以及取消其在岗位聘用、职称评定、职务晋升、工资晋级、干部选任、人才计划申报、科研项目申报、继续教育、评奖评优等方面的资格。以上取消相关资格处理的执行期限不少于24个月。  </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（二）情节较重给予处分的，根据《事业单位工作人员处分暂行规定》给予行政处分，包括警告、记过、降低岗位等级或撤职、开除，需要解除聘用合同的，按照《事业单位人事管理条例》相关规定进行处理。</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（三）情节严重、影响恶劣的，依据《教师资格条例》报请自治区教育厅撤销其教师资格。</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（四）情节严重、影响恶劣的中共党员教师，同时给予党纪处分。</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（五）涉嫌违法犯罪的，及时移送司法机关依法处理。</w:t>
      </w:r>
    </w:p>
    <w:p>
      <w:pPr>
        <w:pStyle w:val="22"/>
        <w:pageBreakBefore w:val="0"/>
        <w:tabs>
          <w:tab w:val="left" w:pos="1582"/>
        </w:tabs>
        <w:kinsoku/>
        <w:wordWrap/>
        <w:overflowPunct/>
        <w:topLinePunct w:val="0"/>
        <w:autoSpaceDE/>
        <w:autoSpaceDN/>
        <w:bidi w:val="0"/>
        <w:spacing w:line="596" w:lineRule="exact"/>
        <w:ind w:firstLine="760"/>
        <w:outlineLvl w:val="9"/>
        <w:rPr>
          <w:rFonts w:hint="eastAsia" w:ascii="仿宋_GB2312" w:hAnsi="Times New Roman" w:eastAsia="仿宋_GB2312" w:cs="Times New Roman"/>
          <w:sz w:val="32"/>
          <w:szCs w:val="32"/>
          <w:lang w:val="en-US" w:eastAsia="zh-CN" w:bidi="ar-SA"/>
        </w:rPr>
      </w:pPr>
      <w:r>
        <w:rPr>
          <w:rFonts w:hint="eastAsia" w:ascii="仿宋_GB2312" w:hAnsi="Times New Roman" w:eastAsia="仿宋_GB2312" w:cs="Times New Roman"/>
          <w:sz w:val="32"/>
          <w:szCs w:val="32"/>
          <w:lang w:val="en-US" w:eastAsia="zh-CN" w:bidi="ar-SA"/>
        </w:rPr>
        <w:t>（六）违反师德行为谋取的奖励、荣誉称号，或在奖励、荣誉称号期间违反师德行为，情节严重的按管理权限由相关部门取消其相应的奖励、荣誉称号。违反师德行为获得的经济利益，予以清退或上缴。</w:t>
      </w:r>
    </w:p>
    <w:p>
      <w:pPr>
        <w:pStyle w:val="22"/>
        <w:pageBreakBefore w:val="0"/>
        <w:tabs>
          <w:tab w:val="left" w:pos="1582"/>
        </w:tabs>
        <w:kinsoku/>
        <w:wordWrap/>
        <w:overflowPunct/>
        <w:topLinePunct w:val="0"/>
        <w:autoSpaceDE/>
        <w:autoSpaceDN/>
        <w:bidi w:val="0"/>
        <w:spacing w:line="596" w:lineRule="exact"/>
        <w:ind w:firstLine="643" w:firstLineChars="200"/>
        <w:outlineLvl w:val="9"/>
        <w:rPr>
          <w:rFonts w:hint="eastAsia" w:ascii="黑体" w:hAnsi="黑体" w:eastAsia="黑体" w:cs="Times New Roman"/>
          <w:b/>
          <w:sz w:val="32"/>
          <w:szCs w:val="32"/>
          <w:lang w:val="en-US" w:eastAsia="zh-CN" w:bidi="ar-SA"/>
        </w:rPr>
      </w:pPr>
      <w:r>
        <w:rPr>
          <w:rFonts w:hint="eastAsia" w:ascii="黑体" w:hAnsi="黑体" w:eastAsia="黑体" w:cs="Times New Roman"/>
          <w:b/>
          <w:sz w:val="32"/>
          <w:szCs w:val="32"/>
          <w:lang w:val="en-US" w:eastAsia="zh-CN" w:bidi="ar-SA"/>
        </w:rPr>
        <w:t>三、师德失范行为处理程序</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ascii="Times New Roman" w:hAnsi="Times New Roman" w:eastAsia="仿宋_GB2312" w:cs="Times New Roman"/>
          <w:bCs/>
          <w:sz w:val="32"/>
          <w:szCs w:val="32"/>
          <w:lang w:val="en-US" w:eastAsia="zh-CN" w:bidi="ar-SA"/>
        </w:rPr>
        <w:t>对师德失范行为的处理</w:t>
      </w:r>
      <w:r>
        <w:rPr>
          <w:rFonts w:hint="eastAsia" w:ascii="Times New Roman" w:hAnsi="Times New Roman" w:eastAsia="仿宋_GB2312" w:cs="Times New Roman"/>
          <w:bCs/>
          <w:sz w:val="32"/>
          <w:szCs w:val="32"/>
          <w:lang w:val="en-US" w:eastAsia="zh-CN" w:bidi="ar-SA"/>
        </w:rPr>
        <w:t>，</w:t>
      </w:r>
      <w:r>
        <w:rPr>
          <w:rFonts w:ascii="Times New Roman" w:hAnsi="Times New Roman" w:eastAsia="仿宋_GB2312" w:cs="Times New Roman"/>
          <w:bCs/>
          <w:sz w:val="32"/>
          <w:szCs w:val="32"/>
          <w:lang w:val="en-US" w:eastAsia="zh-CN" w:bidi="ar-SA"/>
        </w:rPr>
        <w:t>坚持</w:t>
      </w:r>
      <w:r>
        <w:rPr>
          <w:rFonts w:hint="eastAsia" w:ascii="Times New Roman" w:hAnsi="Times New Roman" w:eastAsia="仿宋_GB2312" w:cs="Times New Roman"/>
          <w:bCs/>
          <w:sz w:val="32"/>
          <w:szCs w:val="32"/>
          <w:lang w:val="en-US" w:eastAsia="zh-CN" w:bidi="ar-SA"/>
        </w:rPr>
        <w:t>公开</w:t>
      </w:r>
      <w:r>
        <w:rPr>
          <w:rFonts w:ascii="Times New Roman" w:hAnsi="Times New Roman" w:eastAsia="仿宋_GB2312" w:cs="Times New Roman"/>
          <w:bCs/>
          <w:sz w:val="32"/>
          <w:szCs w:val="32"/>
          <w:lang w:val="en-US" w:eastAsia="zh-CN" w:bidi="ar-SA"/>
        </w:rPr>
        <w:t>公平公正、教育与惩处相结合的原则，做到事实清楚、证据确凿、定性准确、</w:t>
      </w:r>
      <w:r>
        <w:rPr>
          <w:rFonts w:hint="eastAsia" w:ascii="Times New Roman" w:hAnsi="Times New Roman" w:eastAsia="仿宋_GB2312" w:cs="Times New Roman"/>
          <w:bCs/>
          <w:sz w:val="32"/>
          <w:szCs w:val="32"/>
          <w:lang w:val="en-US" w:eastAsia="zh-CN" w:bidi="ar-SA"/>
        </w:rPr>
        <w:t>处理适当、</w:t>
      </w:r>
      <w:r>
        <w:rPr>
          <w:rFonts w:ascii="Times New Roman" w:hAnsi="Times New Roman" w:eastAsia="仿宋_GB2312" w:cs="Times New Roman"/>
          <w:bCs/>
          <w:sz w:val="32"/>
          <w:szCs w:val="32"/>
          <w:lang w:val="en-US" w:eastAsia="zh-CN" w:bidi="ar-SA"/>
        </w:rPr>
        <w:t>程序合法、手续完备。</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具体</w:t>
      </w:r>
      <w:r>
        <w:rPr>
          <w:rFonts w:ascii="Times New Roman" w:hAnsi="Times New Roman" w:eastAsia="仿宋_GB2312" w:cs="Times New Roman"/>
          <w:bCs/>
          <w:sz w:val="32"/>
          <w:szCs w:val="32"/>
          <w:lang w:val="en-US" w:eastAsia="zh-CN" w:bidi="ar-SA"/>
        </w:rPr>
        <w:t>按照以下程序</w:t>
      </w:r>
      <w:r>
        <w:rPr>
          <w:rFonts w:hint="eastAsia" w:ascii="Times New Roman" w:hAnsi="Times New Roman" w:eastAsia="仿宋_GB2312" w:cs="Times New Roman"/>
          <w:bCs/>
          <w:sz w:val="32"/>
          <w:szCs w:val="32"/>
          <w:lang w:val="en-US" w:eastAsia="zh-CN" w:bidi="ar-SA"/>
        </w:rPr>
        <w:t>处理</w:t>
      </w:r>
      <w:r>
        <w:rPr>
          <w:rFonts w:ascii="Times New Roman" w:hAnsi="Times New Roman" w:eastAsia="仿宋_GB2312" w:cs="Times New Roman"/>
          <w:bCs/>
          <w:sz w:val="32"/>
          <w:szCs w:val="32"/>
          <w:lang w:val="en-US" w:eastAsia="zh-CN" w:bidi="ar-SA"/>
        </w:rPr>
        <w:t>：</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接到上级移交线索、群众举报或自行发现线索后，统一报学校纪委办公室（监察室），学校纪委办公室（监察室）根据问题线索的性质组织相关部门</w:t>
      </w:r>
      <w:r>
        <w:rPr>
          <w:rFonts w:ascii="Times New Roman" w:hAnsi="Times New Roman" w:eastAsia="仿宋_GB2312" w:cs="Times New Roman"/>
          <w:bCs/>
          <w:sz w:val="32"/>
          <w:szCs w:val="32"/>
          <w:lang w:val="en-US" w:eastAsia="zh-CN" w:bidi="ar-SA"/>
        </w:rPr>
        <w:t>进行初步调查</w:t>
      </w:r>
      <w:r>
        <w:rPr>
          <w:rFonts w:hint="eastAsia" w:ascii="Times New Roman" w:hAnsi="Times New Roman" w:eastAsia="仿宋_GB2312" w:cs="Times New Roman"/>
          <w:bCs/>
          <w:sz w:val="32"/>
          <w:szCs w:val="32"/>
          <w:lang w:val="en-US" w:eastAsia="zh-CN" w:bidi="ar-SA"/>
        </w:rPr>
        <w:t>。各相关部门在调查基础上</w:t>
      </w:r>
      <w:r>
        <w:rPr>
          <w:rFonts w:ascii="Times New Roman" w:hAnsi="Times New Roman" w:eastAsia="仿宋_GB2312" w:cs="Times New Roman"/>
          <w:bCs/>
          <w:sz w:val="32"/>
          <w:szCs w:val="32"/>
          <w:lang w:val="en-US" w:eastAsia="zh-CN" w:bidi="ar-SA"/>
        </w:rPr>
        <w:t>形成有关证据材料，</w:t>
      </w:r>
      <w:r>
        <w:rPr>
          <w:rFonts w:hint="eastAsia" w:ascii="Times New Roman" w:hAnsi="Times New Roman" w:eastAsia="仿宋_GB2312" w:cs="Times New Roman"/>
          <w:bCs/>
          <w:sz w:val="32"/>
          <w:szCs w:val="32"/>
          <w:lang w:val="en-US" w:eastAsia="zh-CN" w:bidi="ar-SA"/>
        </w:rPr>
        <w:t>进行事实认定，</w:t>
      </w:r>
      <w:r>
        <w:rPr>
          <w:rFonts w:ascii="Times New Roman" w:hAnsi="Times New Roman" w:eastAsia="仿宋_GB2312" w:cs="Times New Roman"/>
          <w:bCs/>
          <w:sz w:val="32"/>
          <w:szCs w:val="32"/>
          <w:lang w:val="en-US" w:eastAsia="zh-CN" w:bidi="ar-SA"/>
        </w:rPr>
        <w:t>提出初步处理</w:t>
      </w:r>
      <w:r>
        <w:rPr>
          <w:rFonts w:hint="eastAsia" w:ascii="Times New Roman" w:hAnsi="Times New Roman" w:eastAsia="仿宋_GB2312" w:cs="Times New Roman"/>
          <w:bCs/>
          <w:sz w:val="32"/>
          <w:szCs w:val="32"/>
          <w:lang w:val="en-US" w:eastAsia="zh-CN" w:bidi="ar-SA"/>
        </w:rPr>
        <w:t>意见</w:t>
      </w:r>
      <w:r>
        <w:rPr>
          <w:rFonts w:ascii="Times New Roman" w:hAnsi="Times New Roman" w:eastAsia="仿宋_GB2312" w:cs="Times New Roman"/>
          <w:bCs/>
          <w:sz w:val="32"/>
          <w:szCs w:val="32"/>
          <w:lang w:val="en-US" w:eastAsia="zh-CN" w:bidi="ar-SA"/>
        </w:rPr>
        <w:t>，形成书面报告</w:t>
      </w:r>
      <w:r>
        <w:rPr>
          <w:rFonts w:hint="eastAsia" w:ascii="Times New Roman" w:hAnsi="Times New Roman" w:eastAsia="仿宋_GB2312" w:cs="Times New Roman"/>
          <w:bCs/>
          <w:sz w:val="32"/>
          <w:szCs w:val="32"/>
          <w:lang w:val="en-US" w:eastAsia="zh-CN" w:bidi="ar-SA"/>
        </w:rPr>
        <w:t>，</w:t>
      </w:r>
      <w:r>
        <w:rPr>
          <w:rFonts w:ascii="Times New Roman" w:hAnsi="Times New Roman" w:eastAsia="仿宋_GB2312" w:cs="Times New Roman"/>
          <w:bCs/>
          <w:sz w:val="32"/>
          <w:szCs w:val="32"/>
          <w:lang w:val="en-US" w:eastAsia="zh-CN" w:bidi="ar-SA"/>
        </w:rPr>
        <w:t>报</w:t>
      </w:r>
      <w:r>
        <w:rPr>
          <w:rFonts w:hint="eastAsia" w:ascii="Times New Roman" w:hAnsi="Times New Roman" w:eastAsia="仿宋_GB2312" w:cs="Times New Roman"/>
          <w:bCs/>
          <w:sz w:val="32"/>
          <w:szCs w:val="32"/>
          <w:lang w:val="en-US" w:eastAsia="zh-CN" w:bidi="ar-SA"/>
        </w:rPr>
        <w:t>学校纪委办公室（监察室）或审计处（督导室）</w:t>
      </w:r>
      <w:r>
        <w:rPr>
          <w:rFonts w:ascii="Times New Roman" w:hAnsi="Times New Roman" w:eastAsia="仿宋_GB2312" w:cs="Times New Roman"/>
          <w:bCs/>
          <w:sz w:val="32"/>
          <w:szCs w:val="32"/>
          <w:lang w:val="en-US" w:eastAsia="zh-CN" w:bidi="ar-SA"/>
        </w:rPr>
        <w:t>。</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学校纪委办公室（监察室）或审计处（督导室）</w:t>
      </w:r>
      <w:r>
        <w:rPr>
          <w:rFonts w:ascii="Times New Roman" w:hAnsi="Times New Roman" w:eastAsia="仿宋_GB2312" w:cs="Times New Roman"/>
          <w:bCs/>
          <w:sz w:val="32"/>
          <w:szCs w:val="32"/>
          <w:lang w:val="en-US" w:eastAsia="zh-CN" w:bidi="ar-SA"/>
        </w:rPr>
        <w:t>收到书面</w:t>
      </w:r>
      <w:r>
        <w:rPr>
          <w:rFonts w:hint="eastAsia" w:ascii="Times New Roman" w:hAnsi="Times New Roman" w:eastAsia="仿宋_GB2312" w:cs="Times New Roman"/>
          <w:bCs/>
          <w:sz w:val="32"/>
          <w:szCs w:val="32"/>
          <w:lang w:val="en-US" w:eastAsia="zh-CN" w:bidi="ar-SA"/>
        </w:rPr>
        <w:t>报告</w:t>
      </w:r>
      <w:r>
        <w:rPr>
          <w:rFonts w:ascii="Times New Roman" w:hAnsi="Times New Roman" w:eastAsia="仿宋_GB2312" w:cs="Times New Roman"/>
          <w:bCs/>
          <w:sz w:val="32"/>
          <w:szCs w:val="32"/>
          <w:lang w:val="en-US" w:eastAsia="zh-CN" w:bidi="ar-SA"/>
        </w:rPr>
        <w:t>后，会同相关部门对有关情况进行核查。涉及干部</w:t>
      </w:r>
      <w:r>
        <w:rPr>
          <w:rFonts w:hint="eastAsia" w:ascii="Times New Roman" w:hAnsi="Times New Roman" w:eastAsia="仿宋_GB2312" w:cs="Times New Roman"/>
          <w:bCs/>
          <w:sz w:val="32"/>
          <w:szCs w:val="32"/>
          <w:lang w:val="en-US" w:eastAsia="zh-CN" w:bidi="ar-SA"/>
        </w:rPr>
        <w:t>选拔任用</w:t>
      </w:r>
      <w:r>
        <w:rPr>
          <w:rFonts w:ascii="Times New Roman" w:hAnsi="Times New Roman" w:eastAsia="仿宋_GB2312" w:cs="Times New Roman"/>
          <w:bCs/>
          <w:sz w:val="32"/>
          <w:szCs w:val="32"/>
          <w:lang w:val="en-US" w:eastAsia="zh-CN" w:bidi="ar-SA"/>
        </w:rPr>
        <w:t>的，由</w:t>
      </w:r>
      <w:r>
        <w:rPr>
          <w:rFonts w:hint="eastAsia" w:ascii="Times New Roman" w:hAnsi="Times New Roman" w:eastAsia="仿宋_GB2312" w:cs="Times New Roman"/>
          <w:bCs/>
          <w:sz w:val="32"/>
          <w:szCs w:val="32"/>
          <w:lang w:val="en-US" w:eastAsia="zh-CN" w:bidi="ar-SA"/>
        </w:rPr>
        <w:t>党委</w:t>
      </w:r>
      <w:r>
        <w:rPr>
          <w:rFonts w:ascii="Times New Roman" w:hAnsi="Times New Roman" w:eastAsia="仿宋_GB2312" w:cs="Times New Roman"/>
          <w:bCs/>
          <w:sz w:val="32"/>
          <w:szCs w:val="32"/>
          <w:lang w:val="en-US" w:eastAsia="zh-CN" w:bidi="ar-SA"/>
        </w:rPr>
        <w:t>组织部按相关规定程序处理；涉及意识形态的，由党委宣传部按相关规定程序处理；涉及民族宗教问题的，由党委统战部按相关规定程序处理；涉及教学工作的，由教务</w:t>
      </w:r>
      <w:r>
        <w:rPr>
          <w:rFonts w:hint="eastAsia" w:ascii="Times New Roman" w:hAnsi="Times New Roman" w:eastAsia="仿宋_GB2312" w:cs="Times New Roman"/>
          <w:bCs/>
          <w:sz w:val="32"/>
          <w:szCs w:val="32"/>
          <w:lang w:val="en-US" w:eastAsia="zh-CN" w:bidi="ar-SA"/>
        </w:rPr>
        <w:t>与实训管理</w:t>
      </w:r>
      <w:r>
        <w:rPr>
          <w:rFonts w:ascii="Times New Roman" w:hAnsi="Times New Roman" w:eastAsia="仿宋_GB2312" w:cs="Times New Roman"/>
          <w:bCs/>
          <w:sz w:val="32"/>
          <w:szCs w:val="32"/>
          <w:lang w:val="en-US" w:eastAsia="zh-CN" w:bidi="ar-SA"/>
        </w:rPr>
        <w:t>处按相关规定程序处理；涉及学术道德的，由科技</w:t>
      </w:r>
      <w:r>
        <w:rPr>
          <w:rFonts w:hint="eastAsia" w:ascii="Times New Roman" w:hAnsi="Times New Roman" w:eastAsia="仿宋_GB2312" w:cs="Times New Roman"/>
          <w:bCs/>
          <w:sz w:val="32"/>
          <w:szCs w:val="32"/>
          <w:lang w:val="en-US" w:eastAsia="zh-CN" w:bidi="ar-SA"/>
        </w:rPr>
        <w:t>开发与校企合作</w:t>
      </w:r>
      <w:r>
        <w:rPr>
          <w:rFonts w:ascii="Times New Roman" w:hAnsi="Times New Roman" w:eastAsia="仿宋_GB2312" w:cs="Times New Roman"/>
          <w:bCs/>
          <w:sz w:val="32"/>
          <w:szCs w:val="32"/>
          <w:lang w:val="en-US" w:eastAsia="zh-CN" w:bidi="ar-SA"/>
        </w:rPr>
        <w:t>处按相关规定程序处理；涉及</w:t>
      </w:r>
      <w:r>
        <w:rPr>
          <w:rFonts w:hint="eastAsia" w:ascii="Times New Roman" w:hAnsi="Times New Roman" w:eastAsia="仿宋_GB2312" w:cs="Times New Roman"/>
          <w:bCs/>
          <w:sz w:val="32"/>
          <w:szCs w:val="32"/>
          <w:lang w:val="en-US" w:eastAsia="zh-CN" w:bidi="ar-SA"/>
        </w:rPr>
        <w:t>人事</w:t>
      </w:r>
      <w:r>
        <w:rPr>
          <w:rFonts w:ascii="Times New Roman" w:hAnsi="Times New Roman" w:eastAsia="仿宋_GB2312" w:cs="Times New Roman"/>
          <w:bCs/>
          <w:sz w:val="32"/>
          <w:szCs w:val="32"/>
          <w:lang w:val="en-US" w:eastAsia="zh-CN" w:bidi="ar-SA"/>
        </w:rPr>
        <w:t>问题的，由</w:t>
      </w:r>
      <w:r>
        <w:rPr>
          <w:rFonts w:hint="eastAsia" w:ascii="Times New Roman" w:hAnsi="Times New Roman" w:eastAsia="仿宋_GB2312" w:cs="Times New Roman"/>
          <w:bCs/>
          <w:sz w:val="32"/>
          <w:szCs w:val="32"/>
          <w:lang w:val="en-US" w:eastAsia="zh-CN" w:bidi="ar-SA"/>
        </w:rPr>
        <w:t>人事处</w:t>
      </w:r>
      <w:r>
        <w:rPr>
          <w:rFonts w:ascii="Times New Roman" w:hAnsi="Times New Roman" w:eastAsia="仿宋_GB2312" w:cs="Times New Roman"/>
          <w:bCs/>
          <w:sz w:val="32"/>
          <w:szCs w:val="32"/>
          <w:lang w:val="en-US" w:eastAsia="zh-CN" w:bidi="ar-SA"/>
        </w:rPr>
        <w:t>按相关规定程序处理</w:t>
      </w:r>
      <w:r>
        <w:rPr>
          <w:rFonts w:hint="eastAsia" w:ascii="Times New Roman" w:hAnsi="Times New Roman" w:eastAsia="仿宋_GB2312" w:cs="Times New Roman"/>
          <w:bCs/>
          <w:sz w:val="32"/>
          <w:szCs w:val="32"/>
          <w:lang w:val="en-US" w:eastAsia="zh-CN" w:bidi="ar-SA"/>
        </w:rPr>
        <w:t>，等等</w:t>
      </w:r>
      <w:r>
        <w:rPr>
          <w:rFonts w:ascii="Times New Roman" w:hAnsi="Times New Roman" w:eastAsia="仿宋_GB2312" w:cs="Times New Roman"/>
          <w:bCs/>
          <w:sz w:val="32"/>
          <w:szCs w:val="32"/>
          <w:lang w:val="en-US" w:eastAsia="zh-CN" w:bidi="ar-SA"/>
        </w:rPr>
        <w:t>。</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ascii="Times New Roman" w:hAnsi="Times New Roman" w:eastAsia="仿宋_GB2312" w:cs="Times New Roman"/>
          <w:bCs/>
          <w:sz w:val="32"/>
          <w:szCs w:val="32"/>
          <w:lang w:val="en-US" w:eastAsia="zh-CN" w:bidi="ar-SA"/>
        </w:rPr>
        <w:t>核查应听取</w:t>
      </w:r>
      <w:r>
        <w:rPr>
          <w:rFonts w:hint="eastAsia" w:ascii="Times New Roman" w:hAnsi="Times New Roman" w:eastAsia="仿宋_GB2312" w:cs="Times New Roman"/>
          <w:bCs/>
          <w:sz w:val="32"/>
          <w:szCs w:val="32"/>
          <w:lang w:val="en-US" w:eastAsia="zh-CN" w:bidi="ar-SA"/>
        </w:rPr>
        <w:t>教职工</w:t>
      </w:r>
      <w:r>
        <w:rPr>
          <w:rFonts w:ascii="Times New Roman" w:hAnsi="Times New Roman" w:eastAsia="仿宋_GB2312" w:cs="Times New Roman"/>
          <w:bCs/>
          <w:sz w:val="32"/>
          <w:szCs w:val="32"/>
          <w:lang w:val="en-US" w:eastAsia="zh-CN" w:bidi="ar-SA"/>
        </w:rPr>
        <w:t>本人陈述和申辩，并对其提出的事实、理由和证据进行复核，记录在案。</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学校纪委办公室（监察室）或审计处（督导室）将核查报告提交学校师德建设委员会审议，提出</w:t>
      </w:r>
      <w:r>
        <w:rPr>
          <w:rFonts w:ascii="Times New Roman" w:hAnsi="Times New Roman" w:eastAsia="仿宋_GB2312" w:cs="Times New Roman"/>
          <w:bCs/>
          <w:sz w:val="32"/>
          <w:szCs w:val="32"/>
          <w:lang w:val="en-US" w:eastAsia="zh-CN" w:bidi="ar-SA"/>
        </w:rPr>
        <w:t>拟处理</w:t>
      </w:r>
      <w:r>
        <w:rPr>
          <w:rFonts w:hint="eastAsia" w:ascii="Times New Roman" w:hAnsi="Times New Roman" w:eastAsia="仿宋_GB2312" w:cs="Times New Roman"/>
          <w:bCs/>
          <w:sz w:val="32"/>
          <w:szCs w:val="32"/>
          <w:lang w:val="en-US" w:eastAsia="zh-CN" w:bidi="ar-SA"/>
        </w:rPr>
        <w:t>建议。</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学校师德建设工作领导小组研究决定。</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各相关部门执行处理决定。</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教职工</w:t>
      </w:r>
      <w:r>
        <w:rPr>
          <w:rFonts w:ascii="Times New Roman" w:hAnsi="Times New Roman" w:eastAsia="仿宋_GB2312" w:cs="Times New Roman"/>
          <w:bCs/>
          <w:sz w:val="32"/>
          <w:szCs w:val="32"/>
          <w:lang w:val="en-US" w:eastAsia="zh-CN" w:bidi="ar-SA"/>
        </w:rPr>
        <w:t>对处理决定不服的，自处理决定送达之日起</w:t>
      </w:r>
      <w:r>
        <w:rPr>
          <w:rFonts w:hint="eastAsia" w:ascii="Times New Roman" w:hAnsi="Times New Roman" w:eastAsia="仿宋_GB2312" w:cs="Times New Roman"/>
          <w:bCs/>
          <w:sz w:val="32"/>
          <w:szCs w:val="32"/>
          <w:lang w:val="en-US" w:eastAsia="zh-CN" w:bidi="ar-SA"/>
        </w:rPr>
        <w:t>十个工作日</w:t>
      </w:r>
      <w:r>
        <w:rPr>
          <w:rFonts w:ascii="Times New Roman" w:hAnsi="Times New Roman" w:eastAsia="仿宋_GB2312" w:cs="Times New Roman"/>
          <w:bCs/>
          <w:sz w:val="32"/>
          <w:szCs w:val="32"/>
          <w:lang w:val="en-US" w:eastAsia="zh-CN" w:bidi="ar-SA"/>
        </w:rPr>
        <w:t>内，可向</w:t>
      </w:r>
      <w:r>
        <w:rPr>
          <w:rFonts w:hint="eastAsia" w:ascii="Times New Roman" w:hAnsi="Times New Roman" w:eastAsia="仿宋_GB2312" w:cs="Times New Roman"/>
          <w:bCs/>
          <w:sz w:val="32"/>
          <w:szCs w:val="32"/>
          <w:lang w:val="en-US" w:eastAsia="zh-CN" w:bidi="ar-SA"/>
        </w:rPr>
        <w:t>学校纪委办公室（监察室）</w:t>
      </w:r>
      <w:r>
        <w:rPr>
          <w:rFonts w:ascii="Times New Roman" w:hAnsi="Times New Roman" w:eastAsia="仿宋_GB2312" w:cs="Times New Roman"/>
          <w:bCs/>
          <w:sz w:val="32"/>
          <w:szCs w:val="32"/>
          <w:lang w:val="en-US" w:eastAsia="zh-CN" w:bidi="ar-SA"/>
        </w:rPr>
        <w:t>递交书面申诉材料，提供新证据，申请复</w:t>
      </w:r>
      <w:r>
        <w:rPr>
          <w:rFonts w:hint="eastAsia" w:ascii="Times New Roman" w:hAnsi="Times New Roman" w:eastAsia="仿宋_GB2312" w:cs="Times New Roman"/>
          <w:bCs/>
          <w:sz w:val="32"/>
          <w:szCs w:val="32"/>
          <w:lang w:val="en-US" w:eastAsia="zh-CN" w:bidi="ar-SA"/>
        </w:rPr>
        <w:t>核。学校纪委办公室（监察室）在三十个工作日内复核、作出复核结果。教师对复核结果不服的，可以自接到复核决定之日起三十个工作日内，向上级教育行政主管部门进行申诉。</w:t>
      </w:r>
      <w:r>
        <w:rPr>
          <w:rFonts w:ascii="Times New Roman" w:hAnsi="Times New Roman" w:eastAsia="仿宋_GB2312" w:cs="Times New Roman"/>
          <w:bCs/>
          <w:sz w:val="32"/>
          <w:szCs w:val="32"/>
          <w:lang w:val="en-US" w:eastAsia="zh-CN" w:bidi="ar-SA"/>
        </w:rPr>
        <w:t>申诉、复</w:t>
      </w:r>
      <w:r>
        <w:rPr>
          <w:rFonts w:hint="eastAsia" w:ascii="Times New Roman" w:hAnsi="Times New Roman" w:eastAsia="仿宋_GB2312" w:cs="Times New Roman"/>
          <w:bCs/>
          <w:sz w:val="32"/>
          <w:szCs w:val="32"/>
          <w:lang w:val="en-US" w:eastAsia="zh-CN" w:bidi="ar-SA"/>
        </w:rPr>
        <w:t>核</w:t>
      </w:r>
      <w:r>
        <w:rPr>
          <w:rFonts w:ascii="Times New Roman" w:hAnsi="Times New Roman" w:eastAsia="仿宋_GB2312" w:cs="Times New Roman"/>
          <w:bCs/>
          <w:sz w:val="32"/>
          <w:szCs w:val="32"/>
          <w:lang w:val="en-US" w:eastAsia="zh-CN" w:bidi="ar-SA"/>
        </w:rPr>
        <w:t>期间不停止处理决定的执行。</w:t>
      </w:r>
    </w:p>
    <w:p>
      <w:pPr>
        <w:pStyle w:val="22"/>
        <w:pageBreakBefore w:val="0"/>
        <w:numPr>
          <w:ilvl w:val="0"/>
          <w:numId w:val="7"/>
        </w:numPr>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ascii="Times New Roman" w:hAnsi="Times New Roman" w:eastAsia="仿宋_GB2312" w:cs="Times New Roman"/>
          <w:bCs/>
          <w:sz w:val="32"/>
          <w:szCs w:val="32"/>
          <w:lang w:val="en-US" w:eastAsia="zh-CN" w:bidi="ar-SA"/>
        </w:rPr>
        <w:t>未经允许，当事各方均不得公开调查相关内容。在处理期满后，根据悔改表现予以延期或解除，将处理决定和处理解除决定完整存入个人</w:t>
      </w:r>
      <w:r>
        <w:rPr>
          <w:rFonts w:hint="eastAsia" w:ascii="Times New Roman" w:hAnsi="Times New Roman" w:eastAsia="仿宋_GB2312" w:cs="Times New Roman"/>
          <w:bCs/>
          <w:sz w:val="32"/>
          <w:szCs w:val="32"/>
          <w:lang w:val="en-US" w:eastAsia="zh-CN" w:bidi="ar-SA"/>
        </w:rPr>
        <w:t>人事</w:t>
      </w:r>
      <w:r>
        <w:rPr>
          <w:rFonts w:ascii="Times New Roman" w:hAnsi="Times New Roman" w:eastAsia="仿宋_GB2312" w:cs="Times New Roman"/>
          <w:bCs/>
          <w:sz w:val="32"/>
          <w:szCs w:val="32"/>
          <w:lang w:val="en-US" w:eastAsia="zh-CN" w:bidi="ar-SA"/>
        </w:rPr>
        <w:t>档案。</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四、实行师德建设主体责任制和问责制</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（一）学校党委书记和校长是学校师德建设第一责任人。各职能部门和二级学院是师德建设的主体责任部门，部门党政主要负责人是本部门师德建设第一责任人。</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（二）学校将师德师风建设纳入各职能部门和二级学院工作考核内容，按照“权责对等、分级负责、层层落实、失责必问、问责必严”的基本原则，对各部门和责任人不履行或不正确履行职责，</w:t>
      </w:r>
      <w:r>
        <w:rPr>
          <w:rFonts w:ascii="Times New Roman" w:hAnsi="Times New Roman" w:eastAsia="仿宋_GB2312" w:cs="Times New Roman"/>
          <w:bCs/>
          <w:sz w:val="32"/>
          <w:szCs w:val="32"/>
          <w:lang w:val="en-US" w:eastAsia="zh-CN" w:bidi="ar-SA"/>
        </w:rPr>
        <w:t xml:space="preserve">有下列情形之一的，根据职责权限和责任划分进行问责： </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1.</w:t>
      </w:r>
      <w:r>
        <w:rPr>
          <w:rFonts w:ascii="Times New Roman" w:hAnsi="Times New Roman" w:eastAsia="仿宋_GB2312" w:cs="Times New Roman"/>
          <w:bCs/>
          <w:sz w:val="32"/>
          <w:szCs w:val="32"/>
          <w:lang w:val="en-US" w:eastAsia="zh-CN" w:bidi="ar-SA"/>
        </w:rPr>
        <w:t>师德</w:t>
      </w:r>
      <w:r>
        <w:rPr>
          <w:rFonts w:hint="eastAsia" w:ascii="Times New Roman" w:hAnsi="Times New Roman" w:eastAsia="仿宋_GB2312" w:cs="Times New Roman"/>
          <w:bCs/>
          <w:sz w:val="32"/>
          <w:szCs w:val="32"/>
          <w:lang w:val="en-US" w:eastAsia="zh-CN" w:bidi="ar-SA"/>
        </w:rPr>
        <w:t>师风制度建设、日常教育监督、舆论宣传、预防工作不到位</w:t>
      </w:r>
      <w:r>
        <w:rPr>
          <w:rFonts w:ascii="Times New Roman" w:hAnsi="Times New Roman" w:eastAsia="仿宋_GB2312" w:cs="Times New Roman"/>
          <w:bCs/>
          <w:sz w:val="32"/>
          <w:szCs w:val="32"/>
          <w:lang w:val="en-US" w:eastAsia="zh-CN" w:bidi="ar-SA"/>
        </w:rPr>
        <w:t>；</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2.</w:t>
      </w:r>
      <w:r>
        <w:rPr>
          <w:rFonts w:ascii="Times New Roman" w:hAnsi="Times New Roman" w:eastAsia="仿宋_GB2312" w:cs="Times New Roman"/>
          <w:bCs/>
          <w:sz w:val="32"/>
          <w:szCs w:val="32"/>
          <w:lang w:val="en-US" w:eastAsia="zh-CN" w:bidi="ar-SA"/>
        </w:rPr>
        <w:t>师德失范问题排查发现不及时；</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3.</w:t>
      </w:r>
      <w:r>
        <w:rPr>
          <w:rFonts w:ascii="Times New Roman" w:hAnsi="Times New Roman" w:eastAsia="仿宋_GB2312" w:cs="Times New Roman"/>
          <w:bCs/>
          <w:sz w:val="32"/>
          <w:szCs w:val="32"/>
          <w:lang w:val="en-US" w:eastAsia="zh-CN" w:bidi="ar-SA"/>
        </w:rPr>
        <w:t>对已发现的师德失范行为处置不力、方式不当；</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4.</w:t>
      </w:r>
      <w:r>
        <w:rPr>
          <w:rFonts w:ascii="Times New Roman" w:hAnsi="Times New Roman" w:eastAsia="仿宋_GB2312" w:cs="Times New Roman"/>
          <w:bCs/>
          <w:sz w:val="32"/>
          <w:szCs w:val="32"/>
          <w:lang w:val="en-US" w:eastAsia="zh-CN" w:bidi="ar-SA"/>
        </w:rPr>
        <w:t>已作出的师德失范行为处理决定落实不到位、</w:t>
      </w:r>
      <w:r>
        <w:rPr>
          <w:rFonts w:hint="eastAsia" w:ascii="Times New Roman" w:hAnsi="Times New Roman" w:eastAsia="仿宋_GB2312" w:cs="Times New Roman"/>
          <w:bCs/>
          <w:sz w:val="32"/>
          <w:szCs w:val="32"/>
          <w:lang w:val="en-US" w:eastAsia="zh-CN" w:bidi="ar-SA"/>
        </w:rPr>
        <w:t>师德</w:t>
      </w:r>
      <w:r>
        <w:rPr>
          <w:rFonts w:ascii="Times New Roman" w:hAnsi="Times New Roman" w:eastAsia="仿宋_GB2312" w:cs="Times New Roman"/>
          <w:bCs/>
          <w:sz w:val="32"/>
          <w:szCs w:val="32"/>
          <w:lang w:val="en-US" w:eastAsia="zh-CN" w:bidi="ar-SA"/>
        </w:rPr>
        <w:t>失范行为整改不彻底；</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5.</w:t>
      </w:r>
      <w:r>
        <w:rPr>
          <w:rFonts w:ascii="Times New Roman" w:hAnsi="Times New Roman" w:eastAsia="仿宋_GB2312" w:cs="Times New Roman"/>
          <w:bCs/>
          <w:sz w:val="32"/>
          <w:szCs w:val="32"/>
          <w:lang w:val="en-US" w:eastAsia="zh-CN" w:bidi="ar-SA"/>
        </w:rPr>
        <w:t>多次出现师德失范问题或因师德失范行为引起不良社会影响；</w:t>
      </w:r>
    </w:p>
    <w:p>
      <w:pPr>
        <w:pStyle w:val="22"/>
        <w:pageBreakBefore w:val="0"/>
        <w:tabs>
          <w:tab w:val="left" w:pos="1582"/>
        </w:tabs>
        <w:kinsoku/>
        <w:wordWrap/>
        <w:overflowPunct/>
        <w:topLinePunct w:val="0"/>
        <w:autoSpaceDE/>
        <w:autoSpaceDN/>
        <w:bidi w:val="0"/>
        <w:spacing w:line="596" w:lineRule="exact"/>
        <w:ind w:firstLine="760"/>
        <w:outlineLvl w:val="9"/>
        <w:rPr>
          <w:rFonts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6.</w:t>
      </w:r>
      <w:r>
        <w:rPr>
          <w:rFonts w:ascii="Times New Roman" w:hAnsi="Times New Roman" w:eastAsia="仿宋_GB2312" w:cs="Times New Roman"/>
          <w:bCs/>
          <w:sz w:val="32"/>
          <w:szCs w:val="32"/>
          <w:lang w:val="en-US" w:eastAsia="zh-CN" w:bidi="ar-SA"/>
        </w:rPr>
        <w:t>其他问责的失职失责情形。</w:t>
      </w:r>
    </w:p>
    <w:p>
      <w:pPr>
        <w:pStyle w:val="22"/>
        <w:pageBreakBefore w:val="0"/>
        <w:tabs>
          <w:tab w:val="left" w:pos="1582"/>
        </w:tabs>
        <w:kinsoku/>
        <w:wordWrap/>
        <w:overflowPunct/>
        <w:topLinePunct w:val="0"/>
        <w:autoSpaceDE/>
        <w:autoSpaceDN/>
        <w:bidi w:val="0"/>
        <w:spacing w:line="596" w:lineRule="exact"/>
        <w:ind w:firstLine="640" w:firstLineChars="200"/>
        <w:outlineLvl w:val="9"/>
        <w:rPr>
          <w:rFonts w:hint="eastAsia" w:ascii="Times New Roman" w:hAnsi="Times New Roman" w:eastAsia="仿宋_GB2312" w:cs="Times New Roman"/>
          <w:bCs/>
          <w:sz w:val="32"/>
          <w:szCs w:val="32"/>
          <w:lang w:val="en-US" w:eastAsia="zh-CN" w:bidi="ar-SA"/>
        </w:rPr>
      </w:pPr>
      <w:r>
        <w:rPr>
          <w:rFonts w:hint="eastAsia" w:ascii="Times New Roman" w:hAnsi="Times New Roman" w:eastAsia="仿宋_GB2312" w:cs="Times New Roman"/>
          <w:bCs/>
          <w:sz w:val="32"/>
          <w:szCs w:val="32"/>
          <w:lang w:val="en-US" w:eastAsia="zh-CN" w:bidi="ar-SA"/>
        </w:rPr>
        <w:t>（三）教师出现师德失范问题，所在部门党政主要负责人需分别向学校做出检讨，由学校依据有关规定视情节轻重采取约谈、诫勉谈话、通报批评、组织处理和纪律处分等方式进行问责。</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五、本办法适用于学校全体教职工。</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六、对师德失范行为的处理，上级另有明确规定的，按照上级规定执行。</w:t>
      </w:r>
    </w:p>
    <w:p>
      <w:pPr>
        <w:pageBreakBefore w:val="0"/>
        <w:kinsoku/>
        <w:wordWrap/>
        <w:overflowPunct/>
        <w:topLinePunct w:val="0"/>
        <w:autoSpaceDE/>
        <w:autoSpaceDN/>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七、本办法自印发之日起施行，由党委教师工作部负责解释。</w:t>
      </w:r>
    </w:p>
    <w:p>
      <w:pPr>
        <w:pageBreakBefore w:val="0"/>
        <w:widowControl/>
        <w:kinsoku/>
        <w:wordWrap/>
        <w:overflowPunct/>
        <w:topLinePunct w:val="0"/>
        <w:autoSpaceDE/>
        <w:autoSpaceDN/>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autoSpaceDN/>
        <w:bidi w:val="0"/>
        <w:adjustRightInd/>
        <w:snapToGrid/>
        <w:spacing w:before="0" w:after="0" w:line="600" w:lineRule="exact"/>
        <w:jc w:val="center"/>
        <w:textAlignment w:val="auto"/>
        <w:outlineLvl w:val="0"/>
        <w:rPr>
          <w:rFonts w:hint="eastAsia" w:asciiTheme="minorEastAsia" w:hAnsiTheme="minorEastAsia" w:eastAsiaTheme="minorEastAsia"/>
          <w:b/>
          <w:bCs/>
          <w:color w:val="000000"/>
          <w:kern w:val="2"/>
          <w:sz w:val="36"/>
          <w:szCs w:val="36"/>
          <w:lang w:val="en-US" w:eastAsia="zh-CN"/>
        </w:rPr>
      </w:pPr>
      <w:bookmarkStart w:id="387" w:name="_Toc534379500"/>
      <w:bookmarkStart w:id="388" w:name="_Toc24537"/>
      <w:bookmarkStart w:id="389" w:name="_Toc13956"/>
      <w:bookmarkStart w:id="390" w:name="_Toc25857"/>
      <w:r>
        <w:rPr>
          <w:rFonts w:hint="eastAsia" w:asciiTheme="minorEastAsia" w:hAnsiTheme="minorEastAsia" w:eastAsiaTheme="minorEastAsia"/>
          <w:b/>
          <w:bCs/>
          <w:color w:val="000000"/>
          <w:kern w:val="2"/>
          <w:sz w:val="36"/>
          <w:szCs w:val="36"/>
          <w:lang w:val="en-US" w:eastAsia="zh-CN"/>
        </w:rPr>
        <w:t>柳州职业技术学院专业技术岗位聘任补充规定</w:t>
      </w:r>
      <w:bookmarkEnd w:id="387"/>
      <w:bookmarkEnd w:id="388"/>
      <w:bookmarkEnd w:id="389"/>
      <w:bookmarkEnd w:id="390"/>
    </w:p>
    <w:p>
      <w:pPr>
        <w:pStyle w:val="14"/>
        <w:pageBreakBefore w:val="0"/>
        <w:kinsoku/>
        <w:wordWrap/>
        <w:overflowPunct/>
        <w:topLinePunct w:val="0"/>
        <w:autoSpaceDE/>
        <w:autoSpaceDN/>
        <w:bidi w:val="0"/>
        <w:spacing w:before="0" w:beforeAutospacing="0" w:after="0" w:afterAutospacing="0" w:line="580" w:lineRule="exact"/>
        <w:jc w:val="center"/>
        <w:outlineLvl w:val="9"/>
        <w:rPr>
          <w:rFonts w:hint="eastAsia" w:ascii="仿宋_GB2312" w:hAnsi="黑体" w:eastAsia="仿宋_GB2312" w:cs="黑体"/>
          <w:sz w:val="32"/>
          <w:szCs w:val="32"/>
        </w:rPr>
      </w:pPr>
      <w:r>
        <w:rPr>
          <w:rFonts w:hint="eastAsia" w:ascii="仿宋_GB2312" w:hAnsi="黑体" w:eastAsia="仿宋_GB2312" w:cs="黑体"/>
          <w:sz w:val="32"/>
          <w:szCs w:val="32"/>
        </w:rPr>
        <w:t>（柳职院字〔2018〕58号）</w:t>
      </w:r>
    </w:p>
    <w:p>
      <w:pPr>
        <w:pageBreakBefore w:val="0"/>
        <w:kinsoku/>
        <w:wordWrap/>
        <w:overflowPunct/>
        <w:topLinePunct w:val="0"/>
        <w:autoSpaceDE/>
        <w:autoSpaceDN/>
        <w:bidi w:val="0"/>
        <w:adjustRightInd w:val="0"/>
        <w:snapToGrid w:val="0"/>
        <w:spacing w:line="596" w:lineRule="exact"/>
        <w:ind w:firstLine="640" w:firstLineChars="200"/>
        <w:outlineLvl w:val="9"/>
        <w:rPr>
          <w:rFonts w:hint="eastAsia" w:ascii="仿宋_GB2312" w:hAnsi="宋体" w:eastAsia="仿宋_GB2312"/>
          <w:sz w:val="32"/>
          <w:szCs w:val="32"/>
        </w:rPr>
      </w:pPr>
    </w:p>
    <w:p>
      <w:pPr>
        <w:pageBreakBefore w:val="0"/>
        <w:kinsoku/>
        <w:wordWrap/>
        <w:overflowPunct/>
        <w:topLinePunct w:val="0"/>
        <w:autoSpaceDE/>
        <w:autoSpaceDN/>
        <w:bidi w:val="0"/>
        <w:adjustRightInd w:val="0"/>
        <w:snapToGrid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为进一步规范专业技术岗位聘任管理，现就专业技术岗位聘任工作补充规定如下：</w:t>
      </w:r>
    </w:p>
    <w:p>
      <w:pPr>
        <w:pageBreakBefore w:val="0"/>
        <w:kinsoku/>
        <w:wordWrap/>
        <w:overflowPunct/>
        <w:topLinePunct w:val="0"/>
        <w:autoSpaceDE/>
        <w:autoSpaceDN/>
        <w:bidi w:val="0"/>
        <w:adjustRightInd w:val="0"/>
        <w:snapToGrid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1.教职工新获得职称后，学校根据专业技术岗位空缺情况，组织开展专业技术岗位聘任工作，教职工申请聘任相关专业技术岗位时，本人具有的职称系列应与专业技术岗位的性质一致。因学校工作需要调整工作岗位的专业技术人员，获得原专业技术职称后，可以申请聘任到原专业技术岗位。</w:t>
      </w:r>
    </w:p>
    <w:p>
      <w:pPr>
        <w:pageBreakBefore w:val="0"/>
        <w:kinsoku/>
        <w:wordWrap/>
        <w:overflowPunct/>
        <w:topLinePunct w:val="0"/>
        <w:autoSpaceDE/>
        <w:autoSpaceDN/>
        <w:bidi w:val="0"/>
        <w:adjustRightInd w:val="0"/>
        <w:snapToGrid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2.主要从事行政、教学管理和服务的人员，根据本人当前工作岗位性质和工作涉及的专业技术，获得相应职称后可以申请聘任到相应系列的专业技术岗位。</w:t>
      </w:r>
    </w:p>
    <w:p>
      <w:pPr>
        <w:pageBreakBefore w:val="0"/>
        <w:kinsoku/>
        <w:wordWrap/>
        <w:overflowPunct/>
        <w:topLinePunct w:val="0"/>
        <w:autoSpaceDE/>
        <w:autoSpaceDN/>
        <w:bidi w:val="0"/>
        <w:adjustRightInd w:val="0"/>
        <w:snapToGrid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3.教职工申请聘任专业技术岗位的具体要求，按当年、当次专业技术岗位聘任方案进行。</w:t>
      </w:r>
    </w:p>
    <w:p>
      <w:pPr>
        <w:pageBreakBefore w:val="0"/>
        <w:kinsoku/>
        <w:wordWrap/>
        <w:overflowPunct/>
        <w:topLinePunct w:val="0"/>
        <w:autoSpaceDE/>
        <w:autoSpaceDN/>
        <w:bidi w:val="0"/>
        <w:adjustRightInd w:val="0"/>
        <w:snapToGrid w:val="0"/>
        <w:spacing w:line="596" w:lineRule="exact"/>
        <w:ind w:firstLine="640" w:firstLineChars="200"/>
        <w:outlineLvl w:val="9"/>
        <w:rPr>
          <w:rFonts w:ascii="仿宋_GB2312" w:hAnsi="宋体" w:eastAsia="仿宋_GB2312"/>
          <w:sz w:val="32"/>
          <w:szCs w:val="32"/>
        </w:rPr>
      </w:pPr>
      <w:r>
        <w:rPr>
          <w:rFonts w:hint="eastAsia" w:ascii="仿宋_GB2312" w:hAnsi="宋体" w:eastAsia="仿宋_GB2312"/>
          <w:sz w:val="32"/>
          <w:szCs w:val="32"/>
        </w:rPr>
        <w:t>此暂行规定由学校人事处负责解释，未尽事宜由柳州职业技术学院岗位设置管理工作领导小组讨论决定。</w:t>
      </w:r>
    </w:p>
    <w:p>
      <w:pPr>
        <w:pageBreakBefore w:val="0"/>
        <w:kinsoku/>
        <w:wordWrap/>
        <w:overflowPunct/>
        <w:topLinePunct w:val="0"/>
        <w:autoSpaceDE/>
        <w:autoSpaceDN/>
        <w:bidi w:val="0"/>
        <w:adjustRightInd w:val="0"/>
        <w:snapToGrid w:val="0"/>
        <w:spacing w:line="596" w:lineRule="exact"/>
        <w:ind w:firstLine="640" w:firstLineChars="200"/>
        <w:outlineLvl w:val="9"/>
        <w:rPr>
          <w:rFonts w:hint="eastAsia" w:ascii="仿宋_GB2312" w:hAnsi="宋体" w:eastAsia="仿宋_GB2312"/>
          <w:sz w:val="32"/>
          <w:szCs w:val="32"/>
        </w:rPr>
      </w:pPr>
    </w:p>
    <w:p>
      <w:pPr>
        <w:pageBreakBefore w:val="0"/>
        <w:kinsoku/>
        <w:wordWrap/>
        <w:overflowPunct/>
        <w:topLinePunct w:val="0"/>
        <w:autoSpaceDE/>
        <w:autoSpaceDN/>
        <w:bidi w:val="0"/>
        <w:spacing w:before="0" w:after="0" w:line="600" w:lineRule="exact"/>
        <w:jc w:val="center"/>
        <w:outlineLvl w:val="9"/>
        <w:rPr>
          <w:rFonts w:hint="eastAsia" w:asciiTheme="minorEastAsia" w:hAnsiTheme="minorEastAsia" w:eastAsiaTheme="minorEastAsia"/>
          <w:b/>
          <w:bCs/>
          <w:color w:val="000000"/>
          <w:kern w:val="2"/>
          <w:sz w:val="36"/>
          <w:szCs w:val="36"/>
          <w:lang w:val="en-US" w:eastAsia="zh-CN"/>
        </w:rPr>
      </w:pPr>
      <w:r>
        <w:rPr>
          <w:rFonts w:ascii="仿宋_GB2312" w:hAnsi="仿宋_GB2312" w:eastAsia="仿宋_GB2312" w:cs="仿宋_GB2312"/>
          <w:kern w:val="0"/>
          <w:sz w:val="32"/>
          <w:szCs w:val="32"/>
          <w:lang w:bidi="ar"/>
        </w:rPr>
        <w:br w:type="page"/>
      </w:r>
      <w:bookmarkStart w:id="391" w:name="_Toc534377747"/>
      <w:r>
        <w:rPr>
          <w:rFonts w:hint="eastAsia" w:asciiTheme="minorEastAsia" w:hAnsiTheme="minorEastAsia" w:eastAsiaTheme="minorEastAsia"/>
          <w:b/>
          <w:bCs/>
          <w:color w:val="000000"/>
          <w:kern w:val="2"/>
          <w:sz w:val="36"/>
          <w:szCs w:val="36"/>
          <w:lang w:val="en-US" w:eastAsia="zh-CN"/>
        </w:rPr>
        <w:t>柳州职业技术学院教职工行为规范（试行）</w:t>
      </w:r>
      <w:bookmarkEnd w:id="391"/>
    </w:p>
    <w:p>
      <w:pPr>
        <w:pStyle w:val="14"/>
        <w:pageBreakBefore w:val="0"/>
        <w:kinsoku/>
        <w:wordWrap/>
        <w:overflowPunct/>
        <w:topLinePunct w:val="0"/>
        <w:autoSpaceDE/>
        <w:autoSpaceDN/>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（柳职院字〔2016〕37号）</w:t>
      </w: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r>
        <w:rPr>
          <w:rFonts w:hint="eastAsia" w:ascii="仿宋_GB2312" w:eastAsia="仿宋_GB2312"/>
          <w:b/>
          <w:sz w:val="32"/>
          <w:szCs w:val="32"/>
        </w:rPr>
        <w:t>第一章  总 则</w:t>
      </w:r>
    </w:p>
    <w:p>
      <w:pPr>
        <w:pageBreakBefore w:val="0"/>
        <w:kinsoku/>
        <w:wordWrap/>
        <w:overflowPunct/>
        <w:topLinePunct w:val="0"/>
        <w:autoSpaceDE/>
        <w:autoSpaceDN/>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为加强我校师德师风建设，打造一支高素质、高水平的教师队伍，提高我校的教育教学水平，建设全国一流、特色鲜明的高职院校，根据《中华人民共和国教师法》，特制定本行为规范。本规范适用于学校全体教职工。 </w:t>
      </w: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r>
        <w:rPr>
          <w:rFonts w:hint="eastAsia" w:ascii="仿宋_GB2312" w:eastAsia="仿宋_GB2312"/>
          <w:b/>
          <w:sz w:val="32"/>
          <w:szCs w:val="32"/>
        </w:rPr>
        <w:t>第二章  思想政治行为规范</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 xml:space="preserve">（一）热爱祖国，拥护中国共产党的领导，遵守中华人民共和国宪法和法律，认真贯彻、执行党的教育方针。 </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二）学习宣传马列主义、毛泽东思想、邓小平理论、“三个代表”重要思想、科学发展观和习近平总书记系列重要讲话，树立正确的世界观、人生观和价值观，树立科学发展观，自觉践行社会主义核心价值观，坚决抵制错误思潮和腐朽思想文化的影响，坚决抵制伪科学和邪教组织对校园的侵蚀和渗透。</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 xml:space="preserve">（三）忠诚党的教育事业，发扬奉献精神。自觉遵循教育、教学规律，教书育人，言传身教，以良好的道德、品质和人格引领学生。 </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 xml:space="preserve">（四）自觉坚守“踏踏实实做人，认认真真做事”的学院精神，自觉践行“乐教善导，德技并进”的教风，自觉维护学校声誉，维护学校安全稳定。 </w:t>
      </w: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r>
        <w:rPr>
          <w:rFonts w:hint="eastAsia" w:ascii="仿宋_GB2312" w:eastAsia="仿宋_GB2312"/>
          <w:b/>
          <w:sz w:val="32"/>
          <w:szCs w:val="32"/>
        </w:rPr>
        <w:t>第三章  工作行为规范</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 xml:space="preserve">（五）爱岗敬业，严格履职。服从学校工作安排，认真履行岗位职责。教师要教书育人，以育人为本，敬业乐教；行政和教辅人员要管理育人、服务育人。老教师要做好教育、教学工作的传、帮、带；青年教师要勤奋好学，潜心钻研，大胆创新。 </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六）钻研业务，精心教学。认真研究教学规律，创新教学内容和方法，精心备课，写好教案；科学讲授，耐心疏导，认真批改作业，因材施教；从严执教，诲人不倦，做到思想教育与专业教育有机结合。考试命题不泄密，监考不循私，阅卷公平、公正，严格评分。</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七）遵规守纪，爱护学生。严格执行学校各项规章制度，自觉维护正常的教学秩序，保障教学安全：不迟到、不提前下课，有事请假，不擅自调课、缺课，不私自找人代课，上课时间不接打电话，不会客。爱护、关心学生，不体罚、歧视学生，对学生教育要循循善诱，诚恳守信，与学生建立平等的师生关系。</w:t>
      </w: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r>
        <w:rPr>
          <w:rFonts w:hint="eastAsia" w:ascii="仿宋_GB2312" w:eastAsia="仿宋_GB2312"/>
          <w:b/>
          <w:sz w:val="32"/>
          <w:szCs w:val="32"/>
        </w:rPr>
        <w:t>第四章  生活行为规范</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八）遵纪守德，为人师表。遵守社会公德，讲文明礼貌，谈吐文雅，语言规范健康，穿着整洁、朴素、大方，举止得体，彬彬有礼；不随地乱丢、乱吐杂物果皮，不在公共场所抽烟；爱护校园绿化、美化和公共财物，勤俭节约，为建设节能型、节约型校园率先垂范。</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（九）讲诚信，讲团结。同事之间要谦恭礼让，团结友爱，不拉帮结派；要互相理解支持，取长补短，建立宽松、和谐的人际关系；注重家庭和睦、赡养老人、子女教育、邻里融洽。</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（十）讲程序，讲规矩。按组织程序办事，通过正常渠道反映意见和建议，不发生过激行为，不背后议论、散布流言蜚语。</w:t>
      </w:r>
    </w:p>
    <w:p>
      <w:pPr>
        <w:pageBreakBefore w:val="0"/>
        <w:kinsoku/>
        <w:wordWrap/>
        <w:overflowPunct/>
        <w:topLinePunct w:val="0"/>
        <w:autoSpaceDE/>
        <w:autoSpaceDN/>
        <w:bidi w:val="0"/>
        <w:spacing w:line="596" w:lineRule="exact"/>
        <w:jc w:val="center"/>
        <w:outlineLvl w:val="9"/>
        <w:rPr>
          <w:rFonts w:ascii="仿宋_GB2312" w:eastAsia="仿宋_GB2312"/>
          <w:b/>
          <w:sz w:val="32"/>
          <w:szCs w:val="32"/>
        </w:rPr>
      </w:pPr>
      <w:r>
        <w:rPr>
          <w:rFonts w:hint="eastAsia" w:ascii="仿宋_GB2312" w:eastAsia="仿宋_GB2312"/>
          <w:b/>
          <w:sz w:val="32"/>
          <w:szCs w:val="32"/>
        </w:rPr>
        <w:t>第五章  附  则</w:t>
      </w:r>
    </w:p>
    <w:p>
      <w:pPr>
        <w:pageBreakBefore w:val="0"/>
        <w:kinsoku/>
        <w:wordWrap/>
        <w:overflowPunct/>
        <w:topLinePunct w:val="0"/>
        <w:autoSpaceDE/>
        <w:autoSpaceDN/>
        <w:bidi w:val="0"/>
        <w:spacing w:line="596" w:lineRule="exact"/>
        <w:ind w:firstLine="480" w:firstLineChars="150"/>
        <w:outlineLvl w:val="9"/>
        <w:rPr>
          <w:rFonts w:ascii="仿宋_GB2312" w:eastAsia="仿宋_GB2312"/>
          <w:sz w:val="32"/>
          <w:szCs w:val="32"/>
        </w:rPr>
      </w:pPr>
      <w:r>
        <w:rPr>
          <w:rFonts w:hint="eastAsia" w:ascii="仿宋_GB2312" w:eastAsia="仿宋_GB2312"/>
          <w:sz w:val="32"/>
          <w:szCs w:val="32"/>
        </w:rPr>
        <w:t>（十一）本办法由学校人事处负责解释，自发布之日起施行。</w:t>
      </w:r>
    </w:p>
    <w:p>
      <w:pPr>
        <w:pageBreakBefore w:val="0"/>
        <w:kinsoku/>
        <w:wordWrap/>
        <w:overflowPunct/>
        <w:topLinePunct w:val="0"/>
        <w:autoSpaceDE/>
        <w:autoSpaceDN/>
        <w:bidi w:val="0"/>
        <w:spacing w:line="596" w:lineRule="exact"/>
        <w:outlineLvl w:val="9"/>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392" w:name="_Toc1353"/>
      <w:bookmarkStart w:id="393" w:name="_Toc29038"/>
      <w:bookmarkStart w:id="394" w:name="_Toc15077"/>
      <w:bookmarkStart w:id="395" w:name="_Toc11438"/>
      <w:r>
        <w:rPr>
          <w:rFonts w:hint="eastAsia"/>
          <w:b/>
          <w:color w:val="000000"/>
          <w:sz w:val="36"/>
          <w:szCs w:val="36"/>
        </w:rPr>
        <w:t>柳州职业技术学院导师制实施办法（暂行）</w:t>
      </w:r>
      <w:bookmarkEnd w:id="392"/>
      <w:bookmarkEnd w:id="393"/>
      <w:bookmarkEnd w:id="394"/>
      <w:bookmarkEnd w:id="395"/>
    </w:p>
    <w:p>
      <w:pPr>
        <w:spacing w:line="596" w:lineRule="exact"/>
        <w:jc w:val="center"/>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rPr>
        <w:t>柳职院字〔2019〕38 号</w:t>
      </w:r>
      <w:r>
        <w:rPr>
          <w:rFonts w:hint="eastAsia" w:ascii="仿宋_GB2312" w:eastAsia="仿宋_GB2312"/>
          <w:sz w:val="32"/>
          <w:szCs w:val="32"/>
          <w:lang w:eastAsia="zh-CN"/>
        </w:rPr>
        <w:t>）</w:t>
      </w:r>
    </w:p>
    <w:p>
      <w:pPr>
        <w:spacing w:line="596" w:lineRule="exact"/>
        <w:jc w:val="center"/>
        <w:rPr>
          <w:rFonts w:hint="eastAsia" w:ascii="仿宋_GB2312" w:eastAsia="仿宋_GB2312"/>
          <w:sz w:val="32"/>
          <w:szCs w:val="32"/>
          <w:lang w:eastAsia="zh-CN"/>
        </w:rPr>
      </w:pP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为充分发挥优秀教师的传、帮、带作用，有效促进教师的成长发展，学校决定深入推进导师制度，通过“导师带徒”，进一步提高教师培养工作的针对性和有效性。为确保指导、学习工作有效开展工作，特制定本办法。</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本办法中的教师为在教学科研岗位、辅导员岗位、管理岗位上的工作人员，其中辅导员为一线带班人员。</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一、指导对象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 xml:space="preserve"> 1.新入校的各类专任教师，新入职辅导员，从入校起必须全部与优秀教师或优秀辅导员结对；</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2.其它教师根据需要与优秀教师结对。</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二、指导内容</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指导内容包括教育教学工作指导、科研工作指导、辅导员工作指导、管理工作指导等。</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新入校的专任教师自入校起，原则上需接受1年以上教育教学工作指导。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新入职辅导员自入校起，原则上需接受1年以上辅导员工作指导。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其他教师根据需要确定指导内容。</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三、指导周期</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教育教学工作指导周期一般为1-2年，科研工作指导周期一般为2-4年，管理工作指导周期一般为1-2年，具体根据需要确定；辅导员指导周期一般为1年。一个指导周期结束后，可根据需要继续结对或重新结对，开展新一个周期的指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原则上，在一个指导周期内，每个受导教师与1-2名导师结对，每位导师一个周期内指导的人数一般在2名以内。</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四、导师的选聘</w:t>
      </w:r>
    </w:p>
    <w:p>
      <w:pPr>
        <w:spacing w:line="596" w:lineRule="exact"/>
        <w:ind w:firstLine="643" w:firstLineChars="200"/>
        <w:rPr>
          <w:rFonts w:hint="eastAsia" w:ascii="楷体_GB2312" w:eastAsia="楷体_GB2312" w:cs="仿宋_GB2312"/>
          <w:b/>
          <w:sz w:val="32"/>
          <w:szCs w:val="32"/>
        </w:rPr>
      </w:pPr>
      <w:r>
        <w:rPr>
          <w:rFonts w:hint="eastAsia" w:ascii="楷体_GB2312" w:eastAsia="楷体_GB2312" w:cs="仿宋_GB2312"/>
          <w:b/>
          <w:sz w:val="32"/>
          <w:szCs w:val="32"/>
        </w:rPr>
        <w:t>（一）导师类型</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根据指导内容，导师可分为教学导师、科研导师、教学科研导师、辅导员导师、管理导师。</w:t>
      </w:r>
    </w:p>
    <w:p>
      <w:pPr>
        <w:spacing w:line="596" w:lineRule="exact"/>
        <w:ind w:firstLine="643" w:firstLineChars="200"/>
        <w:rPr>
          <w:rFonts w:hint="eastAsia" w:ascii="楷体_GB2312" w:eastAsia="楷体_GB2312" w:cs="仿宋_GB2312"/>
          <w:b/>
          <w:sz w:val="32"/>
          <w:szCs w:val="32"/>
        </w:rPr>
      </w:pPr>
      <w:r>
        <w:rPr>
          <w:rFonts w:hint="eastAsia" w:ascii="楷体_GB2312" w:eastAsia="楷体_GB2312" w:cs="仿宋_GB2312"/>
          <w:b/>
          <w:sz w:val="32"/>
          <w:szCs w:val="32"/>
        </w:rPr>
        <w:t>（二）导师应具备的条件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各类导师都应具有高尚的职业道德，有强烈的事业心和责任感，关心教师成长发展，有较强的指导能力；</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1.教学导师应具备下列条件：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（1）在校从事教育教学工作5年以上，具有中级及以上专业技术职务资格；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（2）有改革创新精神，有丰富的教学经验，教学效果好，在教育教学改革方面取得一定的成绩，原则上近五年有课程评为过学校精品课；</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（3）原则上应为二级学院教师，与所指导教师同在一个专业群或教学团队。</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2.科研导师应具备下列条件：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（1）有明确研究方向，有较强的科学研究和技术创新能力；</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（2）近五年有主持完成的市厅级以上科研课题（项目）或教改课题，或授权的专利。</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3.教学科研导师应兼有教学导师和科研导师所规定的条件。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4.辅导员导师应具备下列条件：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（1）具有丰富的学生管理经验，在我校从事辅导员工作5年以上，具有中级以上专业技术资格；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（2）具有改革创新精神，业务水平高，在辅导员岗位上取得一定的成绩。所带班级获得过市级以上先进集体荣誉，或本人获省级以上辅导员素质能力大赛奖励。</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5.管理导师应具备下列条件：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（1）在管理岗位工作5年以上，具有丰富的管理工作经验，业务水平高；</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（2）熟悉岗位业务及业务流程，不断优化业务流程；</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（3）策划组织过岗位专项业务活动，效果好。</w:t>
      </w:r>
    </w:p>
    <w:p>
      <w:pPr>
        <w:spacing w:line="596" w:lineRule="exact"/>
        <w:ind w:firstLine="643" w:firstLineChars="200"/>
        <w:rPr>
          <w:rFonts w:hint="eastAsia" w:ascii="楷体_GB2312" w:eastAsia="楷体_GB2312" w:cs="仿宋_GB2312"/>
          <w:b/>
          <w:sz w:val="32"/>
          <w:szCs w:val="32"/>
        </w:rPr>
      </w:pPr>
      <w:r>
        <w:rPr>
          <w:rFonts w:hint="eastAsia" w:ascii="楷体_GB2312" w:eastAsia="楷体_GB2312" w:cs="仿宋_GB2312"/>
          <w:b/>
          <w:sz w:val="32"/>
          <w:szCs w:val="32"/>
        </w:rPr>
        <w:t>（三）导师的选聘程序</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1.教师根据发展需要，提出导师人选意向、或二级学院、职能部门根据教师发展需要，提出配备导师建议，填写《柳州职业技术学院 “导师带徒”申报表》；</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2.各二级学院负责审核确定本院教师的“导师带徒”材料；</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各行政职能部门教师如与管理导师结对，由所在部门审核确定；如与教学导师或科研导师结对，由教职工发展中心审核确定。</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3.各二级学院、各行政职能部门审核确定的“导师带徒”申报表报教职工发展中心本案；辅导员的“导师带徒”申报表报同时报教职工发展中心备案。</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4.学校发放导师聘书。</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五、指导目标和主要任务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受导教师经过导师指导树立崇高的职业理想信念，养成良好的职业道德和职业素养，教师教育教学能力、科研能力、学生教育、管理能力和工作水平在原有的基础上有明显提高。</w:t>
      </w:r>
    </w:p>
    <w:p>
      <w:pPr>
        <w:spacing w:line="596" w:lineRule="exact"/>
        <w:ind w:firstLine="643" w:firstLineChars="200"/>
        <w:rPr>
          <w:rFonts w:hint="eastAsia" w:ascii="楷体_GB2312" w:eastAsia="楷体_GB2312" w:cs="仿宋_GB2312"/>
          <w:b/>
          <w:sz w:val="32"/>
          <w:szCs w:val="32"/>
        </w:rPr>
      </w:pPr>
      <w:r>
        <w:rPr>
          <w:rFonts w:hint="eastAsia" w:ascii="楷体_GB2312" w:eastAsia="楷体_GB2312" w:cs="仿宋_GB2312"/>
          <w:b/>
          <w:sz w:val="32"/>
          <w:szCs w:val="32"/>
        </w:rPr>
        <w:t>（一）受导教师的任务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类受导教师在下列任务基础上，根据发展需要和工作需要，提出明确具体学习目标任务，制定学习计划，填写《柳州职业技术学院“导师带徒”学习计划表》，经导师签字同意、二级学院及部门审核后执行，报教职工发展中心备案，辅导员的学习计划表同时报学生工作处备案。</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1.接受教学工作指导的主要任务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 xml:space="preserve">（1）指导周期内，随堂听导师及其它优秀教师讲授的课程，新入校专任教师听课不少于10次、总计不少于30节，其它教师听课不少于6次，总计不少于15节，且应分散在指导周期内各学期进行，做好听课笔记，填写教务与实训管理处印制的《柳州职业技术学院课堂教学质量评价表（听课用表）》，课后及时向任课教师请教； </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在导师指导下，按学校要求开展课堂教学各项工作。其中，新入校专任教师在第一个指导周期结束后，达到“8个1”合格（说课、教学进度表、教案、课件、考核方案、课堂教学实施、课程总结及考核分析表、教学反思等）；</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其它受导教师课堂教学质量水平在原有基础上明显提高，所授课程评为优质课或精品课。</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（3）在导师指导下，参加专业建设、课程建设、教学改革等活动，本人获教学竞赛奖、技能竞赛奖或指导学生竞赛获奖2项以上。新入校专任教师此项不做规定。</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（4）参加学校和二级学院组织的各项学习培训活动，完成学校和导师指定的其它学习任务，学习培训活动能有效促进教学能力提高；</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（5）填写《柳州职业技术学院“导师带徒”学习活动记录表》，每学期至少1份（不含听课记录）。</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2.接受科研工作指导的主要任务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（1）在导师指导下开展研究工作，在一个指导周期内主持完成一项科研课题（项目）或教改课题，或1项受理专利，或1项物化成果等；</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（2）积极参加提高科研能力的学习培训、学术交流和社会实践活动；</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（3）填写《柳州职业技术学院“导师带徒”学习活动记录表》，每学期不少于2份。</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3.接受教学科研工作指导的，需同时完成上述2、3提出的主要任务。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4.接受辅导员工作指导的主要任务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指导周期内，随堂听导师或其他优秀辅导员讲授的课程（主题班会课），听课不少于6节，且分散在指导周期内各学期进行。要做好听课笔记，填写学生工作处印制的《柳州职业技术学院辅导员听课记录表（主题班会）》。</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（2）指导周期内，随堂听导师与学生谈心谈话，次数不少于6次，填写学生工作处印制的《柳州职业技术学院受导辅导员谈心谈话记录表》；</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（3）指导周期内，在导师的指导下，与导师一起处理突发事件，次数不少于2次，填写学生工作处印制的《柳州职业技术学院受导辅导员突发事件处理记录表》 ；</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（4）在导师的指导下，按学校要求完成辅导员素质能力提升“五个一”工程，即主讲一门课程、参加一次及以上业务培训、参加一次素质能力大赛、发布一篇学术论文、参加一项课题研究。</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（5）参加学校和二级学院组织的各项学习培训活动，完成导师制定的其它学习任务，填写《柳州职业技术学院“导师带徒”学习活动记录表》，每学期至少1份。</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5.接受管理工作指导的主要任务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（1）围绕本岗位业务工作内容及要求，确定不少于5项工作内容（如，文书写作，办公软件操作，岗位业务活动策划、组织实施、总结分析，工作流程编写等等）</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指导期内，在导师指导下，取得不少于5项具体成果。如，能熟练运用办公软件开展工作、能策划一个以上业务活动并制定工作方案并有效组织实施、撰写一份工作计划、总结、申报书、调研报告、按要求编写本岗位工作流程等等，相应的文字材料符合公文规范。</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（4）参加学校和二级学院组织的各项学习培训活动，完成导师制定的其它学习任务，每学期学习活动记录不少于2份。</w:t>
      </w:r>
    </w:p>
    <w:p>
      <w:pPr>
        <w:spacing w:line="596" w:lineRule="exact"/>
        <w:ind w:firstLine="643" w:firstLineChars="200"/>
        <w:rPr>
          <w:rFonts w:hint="eastAsia" w:ascii="楷体_GB2312" w:eastAsia="楷体_GB2312" w:cs="仿宋_GB2312"/>
          <w:b/>
          <w:sz w:val="32"/>
          <w:szCs w:val="32"/>
        </w:rPr>
      </w:pPr>
      <w:r>
        <w:rPr>
          <w:rFonts w:hint="eastAsia" w:ascii="楷体_GB2312" w:eastAsia="楷体_GB2312" w:cs="仿宋_GB2312"/>
          <w:b/>
          <w:sz w:val="32"/>
          <w:szCs w:val="32"/>
        </w:rPr>
        <w:t>（二）导师的主要任务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类导师根据受导教师发展需要制定指导工作计划，提出指导目标和措施，填写《柳州职业技术学院“导师带徒”指导工作计划表》，在与受导教师沟通的基础上交二级学院、相关部门审核后执行，报教职工发展中心备案；辅导员的指导计划表同时报学生工作处备案。</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1.教学导师主要任务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教学导师向受导教师传授教育教学经验、指导受导教师教学工作各环节的工作。指导周期内，听受导教师讲课6-10节，其中听新入校专任教师讲课不少于10节，填写教务与实训管理处印制的《柳州职业技术学院课堂教学质量评价表（听课用表）》，及时对受导教师的课堂教学进行点评，带领受导教师开展专业建设、课程建设和教学改革活动等，定期或不定期与受导教师交流沟通，指导受导教师完成学习任务。填写《柳州职业技术学院“导师带徒”指导工作记录表》，指导周期内，每学期至少1份。</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2.科研导师主要任务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科研导师带领受导教师开展1项以上科学或技术研究课题（项目）或教改课题，在课题（项目）申报、实施、研究成果总结、申请专利、发表论文、技术服务等方面给予受导教师具体指导帮助，定期或不定期与受导教师交流沟通，指导受导教师完成学习任务。填写《柳州职业技术学院“导师带徒”指导工作记录表》，指导周期内，每学期至少1份。</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3.教学科研导师主要任务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教学科研导师需完成教学导师、科研导师的指导任务。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4.辅导员导师主要任务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指导周期内，辅导员导师向受导辅导员传授学生工作经验，指导受导辅导员工作。随堂听受导辅导员主题班会课6节，及时对受导辅导员的主题班会课进行点评；指导受导辅导员与学生谈心谈话，不少于6次；指导受导辅导员处理突发事件，不少于2次；定期或不定期与受导辅导员交流沟通，指导受导辅导员完成能力素质“五个一”工程规定的任务。填写《柳州职业技术学院“导师带徒”指导工作记录表》，每学期至少1份。</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5.管理导师主要任务</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指导周期内，管理导师向受导教师传授管理工作经验，根据受导教师的岗位业务工作要求及学习任务，定期不定期与受导教师交流沟通、指导受导教师完成学习任务，填写《柳州职业技术学院“导师带徒”指导工作记录表》，每学期至少1份。</w:t>
      </w:r>
    </w:p>
    <w:p>
      <w:pPr>
        <w:spacing w:line="596" w:lineRule="exact"/>
        <w:ind w:firstLine="643" w:firstLineChars="200"/>
        <w:rPr>
          <w:rFonts w:hint="eastAsia" w:ascii="黑体" w:hAnsi="黑体" w:eastAsia="黑体" w:cs="仿宋_GB2312"/>
          <w:b/>
          <w:sz w:val="32"/>
          <w:szCs w:val="32"/>
        </w:rPr>
      </w:pPr>
      <w:r>
        <w:rPr>
          <w:rFonts w:hint="eastAsia" w:ascii="黑体" w:hAnsi="黑体" w:eastAsia="黑体" w:cs="仿宋_GB2312"/>
          <w:b/>
          <w:sz w:val="32"/>
          <w:szCs w:val="32"/>
        </w:rPr>
        <w:t>六、管理与考核</w:t>
      </w:r>
    </w:p>
    <w:p>
      <w:pPr>
        <w:spacing w:line="596" w:lineRule="exact"/>
        <w:ind w:firstLine="420" w:firstLineChars="200"/>
        <w:rPr>
          <w:rFonts w:hint="eastAsia" w:ascii="仿宋_GB2312" w:eastAsia="仿宋_GB2312" w:cs="仿宋_GB2312"/>
          <w:sz w:val="32"/>
          <w:szCs w:val="32"/>
        </w:rPr>
      </w:pPr>
      <w:r>
        <w:rPr>
          <w:rFonts w:hint="eastAsia" w:cs="仿宋_GB2312"/>
          <w:bCs/>
        </w:rPr>
        <w:t>（一）</w:t>
      </w:r>
      <w:r>
        <w:rPr>
          <w:rFonts w:hint="eastAsia" w:ascii="仿宋_GB2312" w:eastAsia="仿宋_GB2312" w:cs="仿宋_GB2312"/>
          <w:sz w:val="32"/>
          <w:szCs w:val="32"/>
        </w:rPr>
        <w:t>导师制是学校教师队伍建设的重要手段，由教职工发展中心统筹管理，二级学院及各部门组织实施。“导师带徒”工作实行动态管理。各二级学院要将“导师带徒”工作纳入师资队伍建设日常工作中，根据学校的有关规定，结合实际制定本院“导师带徒”的具体办法，提出具体要求，负责日常组织管理，切实发挥“导师带徒”在受导教师成长发展中的作用；各相关部门要根据学校统一要求，提出本部门具体要求。</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（二）指导期满，开展“导师带徒”工作情况考核。</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各二级学院负责对本部门教师与各类导师结对工作开展情况进行考核；</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各职能部门负责对本部门教师与管理导师结对工作开展情况进行考核；</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教职工发展中心负责对职能部门教师与教学导师、科研导师、教学科研导师结对工作情况进行考核。</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考核内容紧密围绕导师指导计划和受导教师的学习计划中提出的目标任务进行，要有量化的学习成果指标，组织导师和受导教师填写《柳州职业技术学院“导师带徒”指导工作总结考核表》、《柳州职业技术学院“导师带徒”学习总结考核表》、，各二级学院（部门）可根据实际需要完善表格相关内容；通过查阅资料、实地考察、听取意见方式开展。</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考核结果报教职工发展中心备案。</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（三）考核结果及应用</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考核结果分为合格与不合格。按要求完成“导师带徒”各项学习、指导工作任务为合格，未按要求完成任务的为不合格。</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“导师带徒”工作列入继续教育学分登记范围；担任与本人专业技术方向一致或相关的指导工作，作为职称申报的依据。</w:t>
      </w:r>
    </w:p>
    <w:p>
      <w:pPr>
        <w:spacing w:line="596"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考核不合格的导师，两年内不能再聘为导师，考核不合格的受导教师，视为没有完成年度学习进修任务，列入绩效考核范围。</w:t>
      </w:r>
    </w:p>
    <w:p>
      <w:pPr>
        <w:spacing w:line="596" w:lineRule="exact"/>
        <w:ind w:firstLine="643" w:firstLineChars="200"/>
        <w:rPr>
          <w:rFonts w:hint="eastAsia" w:ascii="仿宋_GB2312" w:eastAsia="仿宋_GB2312" w:cs="仿宋_GB2312"/>
          <w:sz w:val="32"/>
          <w:szCs w:val="32"/>
        </w:rPr>
      </w:pPr>
      <w:r>
        <w:rPr>
          <w:rFonts w:hint="eastAsia" w:ascii="黑体" w:hAnsi="黑体" w:eastAsia="黑体" w:cs="仿宋_GB2312"/>
          <w:b/>
          <w:sz w:val="32"/>
          <w:szCs w:val="32"/>
        </w:rPr>
        <w:t>七、</w:t>
      </w:r>
      <w:r>
        <w:rPr>
          <w:rFonts w:hint="eastAsia" w:ascii="仿宋_GB2312" w:eastAsia="仿宋_GB2312" w:cs="仿宋_GB2312"/>
          <w:sz w:val="32"/>
          <w:szCs w:val="32"/>
        </w:rPr>
        <w:t>本办法由教职工发展中心负责解释，自发文之日起正式实施，原《教学导师制实施办法》废止。</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附件：</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1.《柳州职业技术学院“导师带徒”申报表》（师徒用）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2.《柳州职业技术学院“导师带徒”学习计划表》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（受导教师用）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3.《柳州职业技术学院“导师带徒”学习活动记录表》（受导教师用）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4.《柳州职业技术学院“导师带徒”学习总结考核表》（受导教师用）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5.《柳州职业技术学院“导师带徒”指导工作计划表》（导师用）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6.《柳州职业技术学院“导师带徒”指导工作记录表》（导师用）</w:t>
      </w:r>
    </w:p>
    <w:p>
      <w:pPr>
        <w:spacing w:line="596" w:lineRule="exact"/>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7.《柳州职业技术学院“导师带徒”指导工作总结考核表》（导师用）</w:t>
      </w:r>
    </w:p>
    <w:p>
      <w:pPr>
        <w:spacing w:line="596" w:lineRule="exact"/>
        <w:ind w:firstLine="640" w:firstLineChars="200"/>
        <w:jc w:val="left"/>
        <w:rPr>
          <w:rFonts w:hint="eastAsia" w:ascii="仿宋_GB2312" w:eastAsia="仿宋_GB2312" w:cs="仿宋_GB2312"/>
          <w:sz w:val="32"/>
          <w:szCs w:val="32"/>
        </w:rPr>
      </w:pPr>
    </w:p>
    <w:p>
      <w:pPr>
        <w:spacing w:line="596" w:lineRule="exact"/>
        <w:rPr>
          <w:rFonts w:hint="eastAsia" w:ascii="仿宋_GB2312" w:eastAsia="仿宋_GB2312" w:cs="仿宋_GB2312"/>
          <w:sz w:val="32"/>
          <w:szCs w:val="32"/>
        </w:rPr>
      </w:pPr>
    </w:p>
    <w:p>
      <w:pPr>
        <w:pStyle w:val="3"/>
        <w:rPr>
          <w:rFonts w:hint="eastAsia"/>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附件1：</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柳州职业技术学院教师“师徒结对”表（师徒用）</w:t>
      </w:r>
    </w:p>
    <w:tbl>
      <w:tblPr>
        <w:tblStyle w:val="17"/>
        <w:tblW w:w="92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375"/>
        <w:gridCol w:w="783"/>
        <w:gridCol w:w="709"/>
        <w:gridCol w:w="793"/>
        <w:gridCol w:w="1192"/>
        <w:gridCol w:w="1134"/>
        <w:gridCol w:w="651"/>
        <w:gridCol w:w="726"/>
        <w:gridCol w:w="709"/>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受导教师姓名</w:t>
            </w:r>
          </w:p>
        </w:tc>
        <w:tc>
          <w:tcPr>
            <w:tcW w:w="1158" w:type="dxa"/>
            <w:gridSpan w:val="2"/>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w:t>
            </w:r>
          </w:p>
        </w:tc>
        <w:tc>
          <w:tcPr>
            <w:tcW w:w="1985" w:type="dxa"/>
            <w:gridSpan w:val="2"/>
            <w:noWrap w:val="0"/>
            <w:vAlign w:val="center"/>
          </w:tcPr>
          <w:p>
            <w:pPr>
              <w:spacing w:line="300" w:lineRule="exact"/>
              <w:jc w:val="center"/>
              <w:rPr>
                <w:rFonts w:hint="eastAsia" w:ascii="仿宋_GB2312" w:eastAsia="仿宋_GB2312"/>
                <w:sz w:val="21"/>
                <w:szCs w:val="21"/>
              </w:rPr>
            </w:pPr>
          </w:p>
        </w:tc>
        <w:tc>
          <w:tcPr>
            <w:tcW w:w="1134"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1377" w:type="dxa"/>
            <w:gridSpan w:val="2"/>
            <w:noWrap w:val="0"/>
            <w:vAlign w:val="center"/>
          </w:tcPr>
          <w:p>
            <w:pPr>
              <w:spacing w:line="300" w:lineRule="exact"/>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电话</w:t>
            </w:r>
          </w:p>
        </w:tc>
        <w:tc>
          <w:tcPr>
            <w:tcW w:w="1209"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导师</w:t>
            </w:r>
          </w:p>
          <w:p>
            <w:pPr>
              <w:spacing w:line="300" w:lineRule="exact"/>
              <w:jc w:val="center"/>
              <w:rPr>
                <w:rFonts w:hint="eastAsia" w:ascii="仿宋_GB2312" w:eastAsia="仿宋_GB2312"/>
                <w:sz w:val="21"/>
                <w:szCs w:val="21"/>
              </w:rPr>
            </w:pPr>
            <w:r>
              <w:rPr>
                <w:rFonts w:hint="eastAsia" w:ascii="仿宋_GB2312" w:eastAsia="仿宋_GB2312"/>
                <w:sz w:val="21"/>
                <w:szCs w:val="21"/>
              </w:rPr>
              <w:t>姓名</w:t>
            </w:r>
          </w:p>
        </w:tc>
        <w:tc>
          <w:tcPr>
            <w:tcW w:w="1158" w:type="dxa"/>
            <w:gridSpan w:val="2"/>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w:t>
            </w:r>
          </w:p>
        </w:tc>
        <w:tc>
          <w:tcPr>
            <w:tcW w:w="793" w:type="dxa"/>
            <w:noWrap w:val="0"/>
            <w:vAlign w:val="center"/>
          </w:tcPr>
          <w:p>
            <w:pPr>
              <w:spacing w:line="300" w:lineRule="exact"/>
              <w:jc w:val="center"/>
              <w:rPr>
                <w:rFonts w:hint="eastAsia" w:ascii="仿宋_GB2312" w:eastAsia="仿宋_GB2312"/>
                <w:sz w:val="21"/>
                <w:szCs w:val="21"/>
              </w:rPr>
            </w:pPr>
          </w:p>
        </w:tc>
        <w:tc>
          <w:tcPr>
            <w:tcW w:w="119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1134" w:type="dxa"/>
            <w:noWrap w:val="0"/>
            <w:vAlign w:val="center"/>
          </w:tcPr>
          <w:p>
            <w:pPr>
              <w:spacing w:line="300" w:lineRule="exact"/>
              <w:jc w:val="center"/>
              <w:rPr>
                <w:rFonts w:hint="eastAsia" w:ascii="仿宋_GB2312" w:eastAsia="仿宋_GB2312"/>
                <w:sz w:val="21"/>
                <w:szCs w:val="21"/>
              </w:rPr>
            </w:pPr>
          </w:p>
        </w:tc>
        <w:tc>
          <w:tcPr>
            <w:tcW w:w="651"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导师类型</w:t>
            </w:r>
          </w:p>
        </w:tc>
        <w:tc>
          <w:tcPr>
            <w:tcW w:w="726" w:type="dxa"/>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电话</w:t>
            </w:r>
          </w:p>
        </w:tc>
        <w:tc>
          <w:tcPr>
            <w:tcW w:w="1209"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结对时间</w:t>
            </w:r>
          </w:p>
        </w:tc>
        <w:tc>
          <w:tcPr>
            <w:tcW w:w="7906" w:type="dxa"/>
            <w:gridSpan w:val="9"/>
            <w:noWrap w:val="0"/>
            <w:vAlign w:val="center"/>
          </w:tcPr>
          <w:p>
            <w:pPr>
              <w:jc w:val="center"/>
              <w:rPr>
                <w:rFonts w:hint="eastAsia" w:ascii="仿宋_GB2312" w:eastAsia="仿宋_GB2312"/>
                <w:sz w:val="21"/>
                <w:szCs w:val="21"/>
              </w:rPr>
            </w:pPr>
            <w:r>
              <w:rPr>
                <w:rFonts w:hint="eastAsia" w:ascii="仿宋_GB2312" w:eastAsia="仿宋_GB2312"/>
                <w:sz w:val="21"/>
                <w:szCs w:val="21"/>
              </w:rPr>
              <w:t>年     月        ——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受导教师发展需要、目标成果</w:t>
            </w:r>
          </w:p>
        </w:tc>
        <w:tc>
          <w:tcPr>
            <w:tcW w:w="7906" w:type="dxa"/>
            <w:gridSpan w:val="9"/>
            <w:noWrap w:val="0"/>
            <w:vAlign w:val="center"/>
          </w:tcPr>
          <w:p>
            <w:pPr>
              <w:rPr>
                <w:rFonts w:hint="eastAsia" w:ascii="仿宋_GB2312" w:eastAsia="仿宋_GB2312"/>
                <w:sz w:val="21"/>
                <w:szCs w:val="21"/>
              </w:rPr>
            </w:pPr>
            <w:r>
              <w:rPr>
                <w:rFonts w:hint="eastAsia" w:ascii="仿宋_GB2312" w:eastAsia="仿宋_GB2312"/>
                <w:sz w:val="21"/>
                <w:szCs w:val="21"/>
              </w:rPr>
              <w:t>现有工作业绩成果——</w:t>
            </w:r>
          </w:p>
          <w:p>
            <w:pPr>
              <w:rPr>
                <w:rFonts w:hint="eastAsia" w:ascii="仿宋_GB2312" w:eastAsia="仿宋_GB2312"/>
                <w:sz w:val="21"/>
                <w:szCs w:val="21"/>
              </w:rPr>
            </w:pPr>
          </w:p>
          <w:p>
            <w:pPr>
              <w:rPr>
                <w:rFonts w:hint="eastAsia" w:ascii="仿宋_GB2312" w:eastAsia="仿宋_GB2312"/>
                <w:sz w:val="21"/>
                <w:szCs w:val="21"/>
              </w:rPr>
            </w:pPr>
            <w:r>
              <w:rPr>
                <w:rFonts w:hint="eastAsia" w:ascii="仿宋_GB2312" w:eastAsia="仿宋_GB2312"/>
                <w:sz w:val="21"/>
                <w:szCs w:val="21"/>
              </w:rPr>
              <w:t>成长发展需要及受导后目标成果——</w:t>
            </w:r>
          </w:p>
          <w:p>
            <w:pPr>
              <w:ind w:left="5050" w:leftChars="2108" w:hanging="623" w:hangingChars="297"/>
              <w:rPr>
                <w:rFonts w:hint="eastAsia" w:ascii="仿宋_GB2312" w:eastAsia="仿宋_GB2312"/>
                <w:sz w:val="21"/>
                <w:szCs w:val="21"/>
              </w:rPr>
            </w:pPr>
            <w:r>
              <w:rPr>
                <w:rFonts w:hint="eastAsia" w:ascii="仿宋_GB2312" w:eastAsia="仿宋_GB2312"/>
                <w:sz w:val="21"/>
                <w:szCs w:val="21"/>
              </w:rPr>
              <w:t xml:space="preserve">                                                  </w:t>
            </w:r>
          </w:p>
          <w:p>
            <w:pPr>
              <w:ind w:firstLine="5460" w:firstLineChars="2600"/>
              <w:rPr>
                <w:rFonts w:hint="eastAsia" w:ascii="仿宋_GB2312" w:eastAsia="仿宋_GB2312"/>
                <w:sz w:val="21"/>
                <w:szCs w:val="21"/>
              </w:rPr>
            </w:pPr>
            <w:r>
              <w:rPr>
                <w:rFonts w:hint="eastAsia" w:ascii="仿宋_GB2312" w:eastAsia="仿宋_GB2312"/>
                <w:sz w:val="21"/>
                <w:szCs w:val="21"/>
              </w:rPr>
              <w:t>受导教师签名：</w:t>
            </w:r>
          </w:p>
          <w:p>
            <w:pPr>
              <w:ind w:firstLine="5460" w:firstLineChars="2600"/>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导师的专业特长及主要业绩成果</w:t>
            </w:r>
          </w:p>
        </w:tc>
        <w:tc>
          <w:tcPr>
            <w:tcW w:w="7906" w:type="dxa"/>
            <w:gridSpan w:val="9"/>
            <w:noWrap w:val="0"/>
            <w:vAlign w:val="center"/>
          </w:tcPr>
          <w:p>
            <w:pPr>
              <w:rPr>
                <w:rFonts w:hint="eastAsia" w:ascii="仿宋_GB2312" w:eastAsia="仿宋_GB2312"/>
                <w:sz w:val="21"/>
                <w:szCs w:val="21"/>
              </w:rPr>
            </w:pPr>
            <w:r>
              <w:rPr>
                <w:rFonts w:hint="eastAsia" w:ascii="仿宋_GB2312" w:eastAsia="仿宋_GB2312"/>
                <w:sz w:val="21"/>
                <w:szCs w:val="21"/>
              </w:rPr>
              <w:t>专业特长——</w:t>
            </w:r>
          </w:p>
          <w:p>
            <w:pPr>
              <w:rPr>
                <w:rFonts w:hint="eastAsia" w:ascii="仿宋_GB2312" w:eastAsia="仿宋_GB2312"/>
                <w:sz w:val="21"/>
                <w:szCs w:val="21"/>
              </w:rPr>
            </w:pPr>
          </w:p>
          <w:p>
            <w:pPr>
              <w:rPr>
                <w:rFonts w:hint="eastAsia" w:ascii="仿宋_GB2312" w:eastAsia="仿宋_GB2312"/>
                <w:sz w:val="21"/>
                <w:szCs w:val="21"/>
              </w:rPr>
            </w:pPr>
            <w:r>
              <w:rPr>
                <w:rFonts w:hint="eastAsia" w:ascii="仿宋_GB2312" w:eastAsia="仿宋_GB2312"/>
                <w:sz w:val="21"/>
                <w:szCs w:val="21"/>
              </w:rPr>
              <w:t>教学、科研等标志性业绩成果（与导师工作相关）——</w:t>
            </w:r>
          </w:p>
          <w:p>
            <w:pPr>
              <w:jc w:val="center"/>
              <w:rPr>
                <w:rFonts w:hint="eastAsia" w:ascii="仿宋_GB2312" w:eastAsia="仿宋_GB2312"/>
                <w:sz w:val="21"/>
                <w:szCs w:val="21"/>
              </w:rPr>
            </w:pPr>
          </w:p>
          <w:p>
            <w:pPr>
              <w:ind w:left="5050" w:leftChars="2108" w:hanging="623" w:hangingChars="297"/>
              <w:rPr>
                <w:rFonts w:hint="eastAsia" w:ascii="仿宋_GB2312" w:eastAsia="仿宋_GB2312"/>
                <w:sz w:val="21"/>
                <w:szCs w:val="21"/>
              </w:rPr>
            </w:pPr>
            <w:r>
              <w:rPr>
                <w:rFonts w:hint="eastAsia" w:ascii="仿宋_GB2312" w:eastAsia="仿宋_GB2312"/>
                <w:sz w:val="21"/>
                <w:szCs w:val="21"/>
              </w:rPr>
              <w:t>导师签名：</w:t>
            </w:r>
          </w:p>
          <w:p>
            <w:pPr>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二级学院（部门）意见</w:t>
            </w:r>
          </w:p>
        </w:tc>
        <w:tc>
          <w:tcPr>
            <w:tcW w:w="7906" w:type="dxa"/>
            <w:gridSpan w:val="9"/>
            <w:noWrap w:val="0"/>
            <w:vAlign w:val="center"/>
          </w:tcPr>
          <w:p>
            <w:pPr>
              <w:jc w:val="center"/>
              <w:rPr>
                <w:rFonts w:hint="eastAsia" w:ascii="仿宋_GB2312" w:eastAsia="仿宋_GB2312"/>
                <w:sz w:val="21"/>
                <w:szCs w:val="21"/>
              </w:rPr>
            </w:pPr>
          </w:p>
          <w:p>
            <w:pPr>
              <w:jc w:val="center"/>
              <w:rPr>
                <w:rFonts w:hint="eastAsia" w:ascii="仿宋_GB2312" w:eastAsia="仿宋_GB2312"/>
                <w:sz w:val="21"/>
                <w:szCs w:val="21"/>
              </w:rPr>
            </w:pPr>
          </w:p>
          <w:p>
            <w:pPr>
              <w:jc w:val="center"/>
              <w:rPr>
                <w:rFonts w:hint="eastAsia" w:ascii="仿宋_GB2312" w:eastAsia="仿宋_GB2312"/>
                <w:sz w:val="21"/>
                <w:szCs w:val="21"/>
              </w:rPr>
            </w:pPr>
            <w:r>
              <w:rPr>
                <w:rFonts w:hint="eastAsia" w:ascii="仿宋_GB2312" w:eastAsia="仿宋_GB2312"/>
                <w:sz w:val="21"/>
                <w:szCs w:val="21"/>
              </w:rPr>
              <w:t xml:space="preserve">                               二级学院（部门签字）（盖章）：</w:t>
            </w:r>
          </w:p>
          <w:p>
            <w:pPr>
              <w:jc w:val="center"/>
              <w:rPr>
                <w:rFonts w:hint="eastAsia" w:ascii="仿宋_GB2312" w:eastAsia="仿宋_GB2312"/>
                <w:sz w:val="21"/>
                <w:szCs w:val="21"/>
              </w:rPr>
            </w:pPr>
            <w:r>
              <w:rPr>
                <w:rFonts w:hint="eastAsia" w:ascii="仿宋_GB2312" w:eastAsia="仿宋_GB2312"/>
                <w:sz w:val="21"/>
                <w:szCs w:val="21"/>
              </w:rPr>
              <w:t xml:space="preserve">                                                            年   月   日</w:t>
            </w:r>
          </w:p>
        </w:tc>
      </w:tr>
    </w:tbl>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附件2：</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柳州职业技术学院“师徒结对”学习计划表（受导教师用）</w:t>
      </w:r>
    </w:p>
    <w:tbl>
      <w:tblPr>
        <w:tblStyle w:val="17"/>
        <w:tblW w:w="92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35"/>
        <w:gridCol w:w="709"/>
        <w:gridCol w:w="1445"/>
        <w:gridCol w:w="1674"/>
        <w:gridCol w:w="1594"/>
        <w:gridCol w:w="709"/>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0"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受导教师姓名</w:t>
            </w:r>
          </w:p>
        </w:tc>
        <w:tc>
          <w:tcPr>
            <w:tcW w:w="1035" w:type="dxa"/>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w:t>
            </w:r>
          </w:p>
        </w:tc>
        <w:tc>
          <w:tcPr>
            <w:tcW w:w="1445" w:type="dxa"/>
            <w:noWrap w:val="0"/>
            <w:vAlign w:val="center"/>
          </w:tcPr>
          <w:p>
            <w:pPr>
              <w:spacing w:line="300" w:lineRule="exact"/>
              <w:jc w:val="center"/>
              <w:rPr>
                <w:rFonts w:hint="eastAsia" w:ascii="仿宋_GB2312" w:eastAsia="仿宋_GB2312"/>
                <w:sz w:val="21"/>
                <w:szCs w:val="21"/>
              </w:rPr>
            </w:pPr>
          </w:p>
        </w:tc>
        <w:tc>
          <w:tcPr>
            <w:tcW w:w="1674"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1594" w:type="dxa"/>
            <w:noWrap w:val="0"/>
            <w:vAlign w:val="center"/>
          </w:tcPr>
          <w:p>
            <w:pPr>
              <w:spacing w:line="300" w:lineRule="exact"/>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电话</w:t>
            </w:r>
          </w:p>
        </w:tc>
        <w:tc>
          <w:tcPr>
            <w:tcW w:w="993"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0"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学习时间</w:t>
            </w:r>
          </w:p>
        </w:tc>
        <w:tc>
          <w:tcPr>
            <w:tcW w:w="8159" w:type="dxa"/>
            <w:gridSpan w:val="7"/>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9" w:hRule="atLeast"/>
          <w:jc w:val="center"/>
        </w:trPr>
        <w:tc>
          <w:tcPr>
            <w:tcW w:w="1110"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学习目标（需进行量化）</w:t>
            </w:r>
          </w:p>
        </w:tc>
        <w:tc>
          <w:tcPr>
            <w:tcW w:w="8159" w:type="dxa"/>
            <w:gridSpan w:val="7"/>
            <w:noWrap w:val="0"/>
            <w:vAlign w:val="center"/>
          </w:tcPr>
          <w:p>
            <w:pPr>
              <w:spacing w:line="300" w:lineRule="exact"/>
              <w:jc w:val="cente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0"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学习内容、方法途径等</w:t>
            </w:r>
          </w:p>
        </w:tc>
        <w:tc>
          <w:tcPr>
            <w:tcW w:w="8159" w:type="dxa"/>
            <w:gridSpan w:val="7"/>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r>
              <w:rPr>
                <w:rFonts w:hint="eastAsia" w:ascii="仿宋_GB2312" w:eastAsia="仿宋_GB2312"/>
                <w:sz w:val="21"/>
                <w:szCs w:val="21"/>
              </w:rPr>
              <w:t xml:space="preserve">                                                  教师签名：</w:t>
            </w:r>
          </w:p>
          <w:p>
            <w:pPr>
              <w:spacing w:line="300" w:lineRule="exact"/>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0"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导师意见</w:t>
            </w:r>
          </w:p>
        </w:tc>
        <w:tc>
          <w:tcPr>
            <w:tcW w:w="8159" w:type="dxa"/>
            <w:gridSpan w:val="7"/>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r>
              <w:rPr>
                <w:rFonts w:hint="eastAsia" w:ascii="仿宋_GB2312" w:eastAsia="仿宋_GB2312"/>
                <w:sz w:val="21"/>
                <w:szCs w:val="21"/>
              </w:rPr>
              <w:t xml:space="preserve">                                              导师签字（盖章）：</w:t>
            </w:r>
          </w:p>
          <w:p>
            <w:pPr>
              <w:spacing w:line="300" w:lineRule="exact"/>
              <w:ind w:firstLine="6300" w:firstLineChars="3000"/>
              <w:rPr>
                <w:rFonts w:hint="eastAsia" w:ascii="仿宋_GB2312" w:eastAsia="仿宋_GB2312"/>
                <w:sz w:val="21"/>
                <w:szCs w:val="21"/>
              </w:rPr>
            </w:pPr>
            <w:r>
              <w:rPr>
                <w:rFonts w:hint="eastAsia" w:ascii="仿宋_GB2312" w:eastAsia="仿宋_GB2312"/>
                <w:sz w:val="21"/>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10"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二级学院（部门）意见</w:t>
            </w:r>
          </w:p>
        </w:tc>
        <w:tc>
          <w:tcPr>
            <w:tcW w:w="8159" w:type="dxa"/>
            <w:gridSpan w:val="7"/>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firstLine="3150" w:firstLineChars="1500"/>
              <w:rPr>
                <w:rFonts w:hint="eastAsia" w:ascii="仿宋_GB2312" w:eastAsia="仿宋_GB2312"/>
                <w:sz w:val="21"/>
                <w:szCs w:val="21"/>
              </w:rPr>
            </w:pPr>
            <w:r>
              <w:rPr>
                <w:rFonts w:hint="eastAsia" w:ascii="仿宋_GB2312" w:eastAsia="仿宋_GB2312"/>
                <w:sz w:val="21"/>
                <w:szCs w:val="21"/>
              </w:rPr>
              <w:t>二级学院（部门）签字（盖章）：</w:t>
            </w:r>
          </w:p>
          <w:p>
            <w:pPr>
              <w:spacing w:line="300" w:lineRule="exact"/>
              <w:ind w:firstLine="6300" w:firstLineChars="3000"/>
              <w:rPr>
                <w:rFonts w:hint="eastAsia" w:ascii="仿宋_GB2312" w:eastAsia="仿宋_GB2312"/>
                <w:sz w:val="21"/>
                <w:szCs w:val="21"/>
              </w:rPr>
            </w:pPr>
            <w:r>
              <w:rPr>
                <w:rFonts w:hint="eastAsia" w:ascii="仿宋_GB2312" w:eastAsia="仿宋_GB2312"/>
                <w:sz w:val="21"/>
                <w:szCs w:val="21"/>
              </w:rPr>
              <w:t>年   月   日</w:t>
            </w:r>
          </w:p>
        </w:tc>
      </w:tr>
    </w:tbl>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附件3：</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柳州职业技术学院“师徒结对”学习活动记录表（受导教师用）</w:t>
      </w:r>
    </w:p>
    <w:tbl>
      <w:tblPr>
        <w:tblStyle w:val="17"/>
        <w:tblW w:w="9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55"/>
        <w:gridCol w:w="2070"/>
        <w:gridCol w:w="1082"/>
        <w:gridCol w:w="142"/>
        <w:gridCol w:w="1148"/>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58"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受导教师姓名</w:t>
            </w:r>
          </w:p>
        </w:tc>
        <w:tc>
          <w:tcPr>
            <w:tcW w:w="1555" w:type="dxa"/>
            <w:noWrap w:val="0"/>
            <w:vAlign w:val="center"/>
          </w:tcPr>
          <w:p>
            <w:pPr>
              <w:spacing w:line="300" w:lineRule="exact"/>
              <w:jc w:val="center"/>
              <w:rPr>
                <w:rFonts w:hint="eastAsia" w:ascii="仿宋_GB2312" w:eastAsia="仿宋_GB2312"/>
                <w:sz w:val="21"/>
                <w:szCs w:val="21"/>
              </w:rPr>
            </w:pPr>
          </w:p>
        </w:tc>
        <w:tc>
          <w:tcPr>
            <w:tcW w:w="2070"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活动时间</w:t>
            </w:r>
          </w:p>
        </w:tc>
        <w:tc>
          <w:tcPr>
            <w:tcW w:w="1082" w:type="dxa"/>
            <w:noWrap w:val="0"/>
            <w:vAlign w:val="center"/>
          </w:tcPr>
          <w:p>
            <w:pPr>
              <w:spacing w:line="300" w:lineRule="exact"/>
              <w:jc w:val="center"/>
              <w:rPr>
                <w:rFonts w:hint="eastAsia" w:ascii="仿宋_GB2312" w:eastAsia="仿宋_GB2312"/>
                <w:sz w:val="21"/>
                <w:szCs w:val="21"/>
              </w:rPr>
            </w:pPr>
          </w:p>
        </w:tc>
        <w:tc>
          <w:tcPr>
            <w:tcW w:w="1290" w:type="dxa"/>
            <w:gridSpan w:val="2"/>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活动地点</w:t>
            </w:r>
          </w:p>
        </w:tc>
        <w:tc>
          <w:tcPr>
            <w:tcW w:w="1900"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258"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活动主题</w:t>
            </w:r>
          </w:p>
        </w:tc>
        <w:tc>
          <w:tcPr>
            <w:tcW w:w="7897" w:type="dxa"/>
            <w:gridSpan w:val="6"/>
            <w:noWrap w:val="0"/>
            <w:vAlign w:val="center"/>
          </w:tcPr>
          <w:p>
            <w:pPr>
              <w:spacing w:line="300" w:lineRule="exact"/>
              <w:jc w:val="lef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6107" w:type="dxa"/>
            <w:gridSpan w:val="5"/>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活动过程及内容</w:t>
            </w:r>
          </w:p>
        </w:tc>
        <w:tc>
          <w:tcPr>
            <w:tcW w:w="3048" w:type="dxa"/>
            <w:gridSpan w:val="2"/>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收获与体会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2" w:hRule="atLeast"/>
          <w:jc w:val="center"/>
        </w:trPr>
        <w:tc>
          <w:tcPr>
            <w:tcW w:w="6107" w:type="dxa"/>
            <w:gridSpan w:val="5"/>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tc>
        <w:tc>
          <w:tcPr>
            <w:tcW w:w="3048" w:type="dxa"/>
            <w:gridSpan w:val="2"/>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r>
              <w:rPr>
                <w:rFonts w:hint="eastAsia" w:ascii="仿宋_GB2312" w:eastAsia="仿宋_GB2312"/>
                <w:sz w:val="21"/>
                <w:szCs w:val="21"/>
              </w:rPr>
              <w:t xml:space="preserve">  </w:t>
            </w:r>
          </w:p>
          <w:p>
            <w:pPr>
              <w:spacing w:line="300" w:lineRule="exact"/>
              <w:rPr>
                <w:rFonts w:hint="eastAsia" w:ascii="仿宋_GB2312" w:eastAsia="仿宋_GB2312"/>
                <w:sz w:val="21"/>
                <w:szCs w:val="21"/>
              </w:rPr>
            </w:pPr>
            <w:r>
              <w:rPr>
                <w:rFonts w:hint="eastAsia" w:ascii="仿宋_GB2312" w:eastAsia="仿宋_GB2312"/>
                <w:sz w:val="21"/>
                <w:szCs w:val="21"/>
              </w:rPr>
              <w:t xml:space="preserve">                                                                </w:t>
            </w:r>
          </w:p>
        </w:tc>
      </w:tr>
    </w:tbl>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附件4：</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柳州职业技术学院“师徒结对”学习总结考核表（受导教师用）</w:t>
      </w:r>
    </w:p>
    <w:tbl>
      <w:tblPr>
        <w:tblStyle w:val="17"/>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080"/>
        <w:gridCol w:w="1590"/>
        <w:gridCol w:w="1326"/>
        <w:gridCol w:w="1134"/>
        <w:gridCol w:w="851"/>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受导教师姓名</w:t>
            </w:r>
          </w:p>
        </w:tc>
        <w:tc>
          <w:tcPr>
            <w:tcW w:w="1080"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1590" w:type="dxa"/>
            <w:noWrap w:val="0"/>
            <w:vAlign w:val="center"/>
          </w:tcPr>
          <w:p>
            <w:pPr>
              <w:spacing w:line="300" w:lineRule="exact"/>
              <w:jc w:val="center"/>
              <w:rPr>
                <w:rFonts w:hint="eastAsia" w:ascii="仿宋_GB2312" w:eastAsia="仿宋_GB2312"/>
                <w:sz w:val="21"/>
                <w:szCs w:val="21"/>
              </w:rPr>
            </w:pPr>
          </w:p>
        </w:tc>
        <w:tc>
          <w:tcPr>
            <w:tcW w:w="1326"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职称/职务</w:t>
            </w:r>
          </w:p>
        </w:tc>
        <w:tc>
          <w:tcPr>
            <w:tcW w:w="1134" w:type="dxa"/>
            <w:noWrap w:val="0"/>
            <w:vAlign w:val="center"/>
          </w:tcPr>
          <w:p>
            <w:pPr>
              <w:spacing w:line="300" w:lineRule="exact"/>
              <w:jc w:val="center"/>
              <w:rPr>
                <w:rFonts w:hint="eastAsia" w:ascii="仿宋_GB2312" w:eastAsia="仿宋_GB2312"/>
                <w:sz w:val="21"/>
                <w:szCs w:val="21"/>
              </w:rPr>
            </w:pPr>
          </w:p>
        </w:tc>
        <w:tc>
          <w:tcPr>
            <w:tcW w:w="851"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电话</w:t>
            </w:r>
          </w:p>
        </w:tc>
        <w:tc>
          <w:tcPr>
            <w:tcW w:w="1957"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2" w:type="dxa"/>
            <w:noWrap w:val="0"/>
            <w:vAlign w:val="center"/>
          </w:tcPr>
          <w:p>
            <w:pPr>
              <w:spacing w:line="300" w:lineRule="exact"/>
              <w:ind w:firstLine="102" w:firstLineChars="49"/>
              <w:rPr>
                <w:rFonts w:hint="eastAsia" w:ascii="仿宋_GB2312" w:eastAsia="仿宋_GB2312"/>
                <w:sz w:val="21"/>
                <w:szCs w:val="21"/>
              </w:rPr>
            </w:pPr>
            <w:r>
              <w:rPr>
                <w:rFonts w:hint="eastAsia" w:ascii="仿宋_GB2312" w:eastAsia="仿宋_GB2312"/>
                <w:sz w:val="21"/>
                <w:szCs w:val="21"/>
              </w:rPr>
              <w:t>结对时间</w:t>
            </w:r>
          </w:p>
        </w:tc>
        <w:tc>
          <w:tcPr>
            <w:tcW w:w="7938" w:type="dxa"/>
            <w:gridSpan w:val="6"/>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9" w:hRule="atLeast"/>
          <w:jc w:val="center"/>
        </w:trPr>
        <w:tc>
          <w:tcPr>
            <w:tcW w:w="1162"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学习总结</w:t>
            </w:r>
          </w:p>
          <w:p>
            <w:pPr>
              <w:spacing w:line="300" w:lineRule="exact"/>
              <w:rPr>
                <w:rFonts w:hint="eastAsia" w:ascii="仿宋_GB2312" w:eastAsia="仿宋_GB2312"/>
                <w:sz w:val="21"/>
                <w:szCs w:val="21"/>
              </w:rPr>
            </w:pPr>
            <w:r>
              <w:rPr>
                <w:rFonts w:hint="eastAsia" w:ascii="仿宋_GB2312" w:eastAsia="仿宋_GB2312"/>
                <w:sz w:val="21"/>
                <w:szCs w:val="21"/>
              </w:rPr>
              <w:t>（不少于1500字）</w:t>
            </w:r>
          </w:p>
        </w:tc>
        <w:tc>
          <w:tcPr>
            <w:tcW w:w="7938" w:type="dxa"/>
            <w:gridSpan w:val="6"/>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（目标完成情况、收获、体会、存在问题、改进措施等）</w:t>
            </w: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p>
          <w:p>
            <w:pPr>
              <w:spacing w:line="300" w:lineRule="exact"/>
              <w:ind w:left="309" w:hanging="308" w:hangingChars="147"/>
              <w:rPr>
                <w:rFonts w:hint="eastAsia" w:ascii="仿宋_GB2312" w:eastAsia="仿宋_GB2312"/>
                <w:sz w:val="21"/>
                <w:szCs w:val="21"/>
              </w:rPr>
            </w:pPr>
            <w:r>
              <w:rPr>
                <w:rFonts w:hint="eastAsia" w:ascii="仿宋_GB2312" w:eastAsia="仿宋_GB2312"/>
                <w:sz w:val="21"/>
                <w:szCs w:val="21"/>
              </w:rPr>
              <w:t xml:space="preserve">                                                受导教师签名：</w:t>
            </w:r>
          </w:p>
          <w:p>
            <w:pPr>
              <w:spacing w:line="300" w:lineRule="exact"/>
              <w:ind w:left="309" w:hanging="308" w:hangingChars="147"/>
              <w:rPr>
                <w:rFonts w:hint="eastAsia" w:ascii="仿宋_GB2312" w:eastAsia="仿宋_GB2312"/>
                <w:sz w:val="21"/>
                <w:szCs w:val="21"/>
              </w:rPr>
            </w:pPr>
          </w:p>
          <w:p>
            <w:pPr>
              <w:spacing w:line="300" w:lineRule="exact"/>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2" w:hRule="atLeast"/>
          <w:jc w:val="center"/>
        </w:trPr>
        <w:tc>
          <w:tcPr>
            <w:tcW w:w="1162"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导师意见与建议</w:t>
            </w:r>
          </w:p>
        </w:tc>
        <w:tc>
          <w:tcPr>
            <w:tcW w:w="7938" w:type="dxa"/>
            <w:gridSpan w:val="6"/>
            <w:noWrap w:val="0"/>
            <w:vAlign w:val="center"/>
          </w:tcPr>
          <w:p>
            <w:pPr>
              <w:spacing w:line="300" w:lineRule="exact"/>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firstLine="5166" w:firstLineChars="2460"/>
              <w:rPr>
                <w:rFonts w:hint="eastAsia" w:ascii="仿宋_GB2312" w:eastAsia="仿宋_GB2312"/>
                <w:sz w:val="21"/>
                <w:szCs w:val="21"/>
              </w:rPr>
            </w:pPr>
          </w:p>
          <w:p>
            <w:pPr>
              <w:spacing w:line="300" w:lineRule="exact"/>
              <w:ind w:left="210" w:leftChars="100" w:firstLine="4725" w:firstLineChars="2250"/>
              <w:rPr>
                <w:rFonts w:hint="eastAsia" w:ascii="仿宋_GB2312" w:eastAsia="仿宋_GB2312"/>
                <w:sz w:val="21"/>
                <w:szCs w:val="21"/>
              </w:rPr>
            </w:pPr>
            <w:r>
              <w:rPr>
                <w:rFonts w:hint="eastAsia" w:ascii="仿宋_GB2312" w:eastAsia="仿宋_GB2312"/>
                <w:sz w:val="21"/>
                <w:szCs w:val="21"/>
              </w:rPr>
              <w:t>导师签名：</w:t>
            </w:r>
          </w:p>
          <w:p>
            <w:pPr>
              <w:spacing w:line="300" w:lineRule="exact"/>
              <w:ind w:left="420" w:hanging="420" w:hangingChars="200"/>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7" w:hRule="atLeast"/>
          <w:jc w:val="center"/>
        </w:trPr>
        <w:tc>
          <w:tcPr>
            <w:tcW w:w="1162"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二级学院（部门）意见</w:t>
            </w:r>
          </w:p>
        </w:tc>
        <w:tc>
          <w:tcPr>
            <w:tcW w:w="7938" w:type="dxa"/>
            <w:gridSpan w:val="6"/>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firstLine="525" w:firstLineChars="250"/>
              <w:rPr>
                <w:rFonts w:hint="eastAsia" w:ascii="仿宋_GB2312" w:eastAsia="仿宋_GB2312"/>
                <w:sz w:val="21"/>
                <w:szCs w:val="21"/>
                <w:u w:val="single"/>
              </w:rPr>
            </w:pPr>
            <w:r>
              <w:rPr>
                <w:rFonts w:hint="eastAsia" w:ascii="仿宋_GB2312" w:eastAsia="仿宋_GB2312"/>
                <w:sz w:val="21"/>
                <w:szCs w:val="21"/>
              </w:rPr>
              <w:t>考核结果（合格、不合格）</w:t>
            </w:r>
            <w:r>
              <w:rPr>
                <w:rFonts w:hint="eastAsia" w:ascii="仿宋_GB2312" w:eastAsia="仿宋_GB2312"/>
                <w:sz w:val="21"/>
                <w:szCs w:val="21"/>
                <w:u w:val="single"/>
              </w:rPr>
              <w:t xml:space="preserve">              </w:t>
            </w:r>
          </w:p>
          <w:p>
            <w:pPr>
              <w:spacing w:line="300" w:lineRule="exact"/>
              <w:ind w:firstLine="5264" w:firstLineChars="2507"/>
              <w:rPr>
                <w:rFonts w:hint="eastAsia" w:ascii="仿宋_GB2312" w:eastAsia="仿宋_GB2312"/>
                <w:sz w:val="21"/>
                <w:szCs w:val="21"/>
              </w:rPr>
            </w:pPr>
          </w:p>
          <w:p>
            <w:pPr>
              <w:spacing w:line="300" w:lineRule="exact"/>
              <w:ind w:firstLine="2940" w:firstLineChars="1400"/>
              <w:rPr>
                <w:rFonts w:hint="eastAsia" w:ascii="仿宋_GB2312" w:eastAsia="仿宋_GB2312"/>
                <w:sz w:val="21"/>
                <w:szCs w:val="21"/>
              </w:rPr>
            </w:pPr>
            <w:r>
              <w:rPr>
                <w:rFonts w:hint="eastAsia" w:ascii="仿宋_GB2312" w:eastAsia="仿宋_GB2312"/>
                <w:sz w:val="21"/>
                <w:szCs w:val="21"/>
              </w:rPr>
              <w:t>二级学院（部门）签字（盖章）：</w:t>
            </w:r>
          </w:p>
          <w:p>
            <w:pPr>
              <w:spacing w:line="300" w:lineRule="exact"/>
              <w:rPr>
                <w:rFonts w:hint="eastAsia" w:ascii="仿宋_GB2312" w:eastAsia="仿宋_GB2312"/>
                <w:sz w:val="21"/>
                <w:szCs w:val="21"/>
              </w:rPr>
            </w:pPr>
            <w:r>
              <w:rPr>
                <w:rFonts w:hint="eastAsia" w:ascii="仿宋_GB2312" w:eastAsia="仿宋_GB2312"/>
                <w:sz w:val="21"/>
                <w:szCs w:val="21"/>
              </w:rPr>
              <w:t xml:space="preserve">                                                  </w:t>
            </w:r>
          </w:p>
          <w:p>
            <w:pPr>
              <w:spacing w:line="300" w:lineRule="exact"/>
              <w:rPr>
                <w:rFonts w:hint="eastAsia" w:ascii="仿宋_GB2312" w:eastAsia="仿宋_GB2312"/>
                <w:sz w:val="21"/>
                <w:szCs w:val="21"/>
              </w:rPr>
            </w:pPr>
          </w:p>
          <w:p>
            <w:pPr>
              <w:spacing w:line="300" w:lineRule="exact"/>
              <w:ind w:firstLine="5901" w:firstLineChars="2810"/>
              <w:rPr>
                <w:rFonts w:hint="eastAsia" w:ascii="仿宋_GB2312" w:eastAsia="仿宋_GB2312"/>
                <w:sz w:val="21"/>
                <w:szCs w:val="21"/>
              </w:rPr>
            </w:pPr>
            <w:r>
              <w:rPr>
                <w:rFonts w:hint="eastAsia" w:ascii="仿宋_GB2312" w:eastAsia="仿宋_GB2312"/>
                <w:sz w:val="21"/>
                <w:szCs w:val="21"/>
              </w:rPr>
              <w:t xml:space="preserve"> 年   月   日</w:t>
            </w:r>
          </w:p>
        </w:tc>
      </w:tr>
    </w:tbl>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附件5：</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柳州职业技术学院“导师带徒”指导工作计划表（导师用）</w:t>
      </w:r>
    </w:p>
    <w:tbl>
      <w:tblPr>
        <w:tblStyle w:val="17"/>
        <w:tblW w:w="9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375"/>
        <w:gridCol w:w="783"/>
        <w:gridCol w:w="709"/>
        <w:gridCol w:w="858"/>
        <w:gridCol w:w="1727"/>
        <w:gridCol w:w="1134"/>
        <w:gridCol w:w="1134"/>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教师</w:t>
            </w:r>
          </w:p>
          <w:p>
            <w:pPr>
              <w:spacing w:line="300" w:lineRule="exact"/>
              <w:jc w:val="center"/>
              <w:rPr>
                <w:rFonts w:hint="eastAsia" w:ascii="仿宋_GB2312" w:eastAsia="仿宋_GB2312"/>
                <w:sz w:val="21"/>
                <w:szCs w:val="21"/>
              </w:rPr>
            </w:pPr>
            <w:r>
              <w:rPr>
                <w:rFonts w:hint="eastAsia" w:ascii="仿宋_GB2312" w:eastAsia="仿宋_GB2312"/>
                <w:sz w:val="21"/>
                <w:szCs w:val="21"/>
              </w:rPr>
              <w:t>姓名</w:t>
            </w:r>
          </w:p>
        </w:tc>
        <w:tc>
          <w:tcPr>
            <w:tcW w:w="1158" w:type="dxa"/>
            <w:gridSpan w:val="2"/>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w:t>
            </w:r>
          </w:p>
        </w:tc>
        <w:tc>
          <w:tcPr>
            <w:tcW w:w="858" w:type="dxa"/>
            <w:noWrap w:val="0"/>
            <w:vAlign w:val="center"/>
          </w:tcPr>
          <w:p>
            <w:pPr>
              <w:spacing w:line="300" w:lineRule="exact"/>
              <w:jc w:val="center"/>
              <w:rPr>
                <w:rFonts w:hint="eastAsia" w:ascii="仿宋_GB2312" w:eastAsia="仿宋_GB2312"/>
                <w:sz w:val="21"/>
                <w:szCs w:val="21"/>
              </w:rPr>
            </w:pPr>
          </w:p>
        </w:tc>
        <w:tc>
          <w:tcPr>
            <w:tcW w:w="172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1134" w:type="dxa"/>
            <w:noWrap w:val="0"/>
            <w:vAlign w:val="center"/>
          </w:tcPr>
          <w:p>
            <w:pPr>
              <w:spacing w:line="300" w:lineRule="exact"/>
              <w:rPr>
                <w:rFonts w:hint="eastAsia" w:ascii="仿宋_GB2312" w:eastAsia="仿宋_GB2312"/>
                <w:sz w:val="21"/>
                <w:szCs w:val="21"/>
              </w:rPr>
            </w:pPr>
          </w:p>
        </w:tc>
        <w:tc>
          <w:tcPr>
            <w:tcW w:w="1134"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导师类型</w:t>
            </w:r>
          </w:p>
        </w:tc>
        <w:tc>
          <w:tcPr>
            <w:tcW w:w="1681"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受导师</w:t>
            </w:r>
          </w:p>
          <w:p>
            <w:pPr>
              <w:spacing w:line="300" w:lineRule="exact"/>
              <w:jc w:val="center"/>
              <w:rPr>
                <w:rFonts w:hint="eastAsia" w:ascii="仿宋_GB2312" w:eastAsia="仿宋_GB2312"/>
                <w:sz w:val="21"/>
                <w:szCs w:val="21"/>
              </w:rPr>
            </w:pPr>
            <w:r>
              <w:rPr>
                <w:rFonts w:hint="eastAsia" w:ascii="仿宋_GB2312" w:eastAsia="仿宋_GB2312"/>
                <w:sz w:val="21"/>
                <w:szCs w:val="21"/>
              </w:rPr>
              <w:t>姓名</w:t>
            </w:r>
          </w:p>
        </w:tc>
        <w:tc>
          <w:tcPr>
            <w:tcW w:w="1158" w:type="dxa"/>
            <w:gridSpan w:val="2"/>
            <w:noWrap w:val="0"/>
            <w:vAlign w:val="center"/>
          </w:tcPr>
          <w:p>
            <w:pPr>
              <w:spacing w:line="300" w:lineRule="exact"/>
              <w:jc w:val="center"/>
              <w:rPr>
                <w:rFonts w:hint="eastAsia" w:ascii="仿宋_GB2312" w:eastAsia="仿宋_GB2312"/>
                <w:sz w:val="21"/>
                <w:szCs w:val="21"/>
              </w:rPr>
            </w:pPr>
          </w:p>
        </w:tc>
        <w:tc>
          <w:tcPr>
            <w:tcW w:w="709"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职称</w:t>
            </w:r>
          </w:p>
        </w:tc>
        <w:tc>
          <w:tcPr>
            <w:tcW w:w="858" w:type="dxa"/>
            <w:noWrap w:val="0"/>
            <w:vAlign w:val="center"/>
          </w:tcPr>
          <w:p>
            <w:pPr>
              <w:spacing w:line="300" w:lineRule="exact"/>
              <w:jc w:val="center"/>
              <w:rPr>
                <w:rFonts w:hint="eastAsia" w:ascii="仿宋_GB2312" w:eastAsia="仿宋_GB2312"/>
                <w:sz w:val="21"/>
                <w:szCs w:val="21"/>
              </w:rPr>
            </w:pPr>
          </w:p>
        </w:tc>
        <w:tc>
          <w:tcPr>
            <w:tcW w:w="1727"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3949" w:type="dxa"/>
            <w:gridSpan w:val="3"/>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结对时间</w:t>
            </w:r>
          </w:p>
        </w:tc>
        <w:tc>
          <w:tcPr>
            <w:tcW w:w="8026" w:type="dxa"/>
            <w:gridSpan w:val="7"/>
            <w:noWrap w:val="0"/>
            <w:vAlign w:val="center"/>
          </w:tcPr>
          <w:p>
            <w:pPr>
              <w:jc w:val="center"/>
              <w:rPr>
                <w:rFonts w:hint="eastAsia" w:ascii="仿宋_GB2312" w:eastAsia="仿宋_GB2312"/>
                <w:sz w:val="21"/>
                <w:szCs w:val="21"/>
              </w:rPr>
            </w:pPr>
            <w:r>
              <w:rPr>
                <w:rFonts w:hint="eastAsia" w:ascii="仿宋_GB2312" w:eastAsia="仿宋_GB2312"/>
                <w:sz w:val="21"/>
                <w:szCs w:val="21"/>
              </w:rPr>
              <w:t>年     月      ——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指导目标</w:t>
            </w:r>
          </w:p>
        </w:tc>
        <w:tc>
          <w:tcPr>
            <w:tcW w:w="8026" w:type="dxa"/>
            <w:gridSpan w:val="7"/>
            <w:noWrap w:val="0"/>
            <w:vAlign w:val="center"/>
          </w:tcPr>
          <w:p>
            <w:pPr>
              <w:jc w:val="cente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0"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指导措施与方法等</w:t>
            </w:r>
          </w:p>
        </w:tc>
        <w:tc>
          <w:tcPr>
            <w:tcW w:w="8026" w:type="dxa"/>
            <w:gridSpan w:val="7"/>
            <w:noWrap w:val="0"/>
            <w:vAlign w:val="center"/>
          </w:tcPr>
          <w:p>
            <w:pPr>
              <w:rPr>
                <w:rFonts w:hint="eastAsia" w:ascii="仿宋_GB2312" w:eastAsia="仿宋_GB2312"/>
                <w:sz w:val="21"/>
                <w:szCs w:val="21"/>
              </w:rPr>
            </w:pPr>
          </w:p>
          <w:p>
            <w:pPr>
              <w:rPr>
                <w:rFonts w:hint="eastAsia" w:ascii="仿宋_GB2312" w:eastAsia="仿宋_GB2312"/>
                <w:sz w:val="21"/>
                <w:szCs w:val="21"/>
              </w:rPr>
            </w:pPr>
          </w:p>
          <w:p>
            <w:pPr>
              <w:jc w:val="center"/>
              <w:rPr>
                <w:rFonts w:hint="eastAsia" w:ascii="仿宋_GB2312" w:eastAsia="仿宋_GB2312"/>
                <w:sz w:val="21"/>
                <w:szCs w:val="21"/>
              </w:rPr>
            </w:pPr>
          </w:p>
          <w:p>
            <w:pPr>
              <w:jc w:val="center"/>
              <w:rPr>
                <w:rFonts w:hint="eastAsia" w:ascii="仿宋_GB2312" w:eastAsia="仿宋_GB2312"/>
                <w:sz w:val="21"/>
                <w:szCs w:val="21"/>
              </w:rPr>
            </w:pPr>
          </w:p>
          <w:p>
            <w:pPr>
              <w:ind w:left="5050" w:leftChars="2108" w:hanging="623" w:hangingChars="297"/>
              <w:rPr>
                <w:rFonts w:hint="eastAsia" w:ascii="仿宋_GB2312" w:eastAsia="仿宋_GB2312"/>
                <w:sz w:val="21"/>
                <w:szCs w:val="21"/>
              </w:rPr>
            </w:pPr>
            <w:r>
              <w:rPr>
                <w:rFonts w:hint="eastAsia" w:ascii="仿宋_GB2312" w:eastAsia="仿宋_GB2312"/>
                <w:sz w:val="21"/>
                <w:szCs w:val="21"/>
              </w:rPr>
              <w:t>导师签名：</w:t>
            </w:r>
          </w:p>
          <w:p>
            <w:pPr>
              <w:jc w:val="center"/>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8"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受导教师</w:t>
            </w:r>
          </w:p>
          <w:p>
            <w:pPr>
              <w:jc w:val="center"/>
              <w:rPr>
                <w:rFonts w:hint="eastAsia" w:ascii="仿宋_GB2312" w:eastAsia="仿宋_GB2312"/>
                <w:sz w:val="21"/>
                <w:szCs w:val="21"/>
              </w:rPr>
            </w:pPr>
            <w:r>
              <w:rPr>
                <w:rFonts w:hint="eastAsia" w:ascii="仿宋_GB2312" w:eastAsia="仿宋_GB2312"/>
                <w:sz w:val="21"/>
                <w:szCs w:val="21"/>
              </w:rPr>
              <w:t>意见</w:t>
            </w:r>
          </w:p>
        </w:tc>
        <w:tc>
          <w:tcPr>
            <w:tcW w:w="8026" w:type="dxa"/>
            <w:gridSpan w:val="7"/>
            <w:noWrap w:val="0"/>
            <w:vAlign w:val="center"/>
          </w:tcPr>
          <w:p>
            <w:pPr>
              <w:jc w:val="center"/>
              <w:rPr>
                <w:rFonts w:hint="eastAsia" w:ascii="仿宋_GB2312" w:eastAsia="仿宋_GB2312"/>
                <w:sz w:val="21"/>
                <w:szCs w:val="21"/>
              </w:rPr>
            </w:pPr>
          </w:p>
          <w:p>
            <w:pPr>
              <w:jc w:val="center"/>
              <w:rPr>
                <w:rFonts w:hint="eastAsia" w:ascii="仿宋_GB2312" w:eastAsia="仿宋_GB2312"/>
                <w:sz w:val="21"/>
                <w:szCs w:val="21"/>
              </w:rPr>
            </w:pPr>
          </w:p>
          <w:p>
            <w:pPr>
              <w:ind w:left="5050" w:leftChars="2108" w:hanging="623" w:hangingChars="297"/>
              <w:rPr>
                <w:rFonts w:hint="eastAsia" w:ascii="仿宋_GB2312" w:eastAsia="仿宋_GB2312"/>
                <w:sz w:val="21"/>
                <w:szCs w:val="21"/>
              </w:rPr>
            </w:pPr>
            <w:r>
              <w:rPr>
                <w:rFonts w:hint="eastAsia" w:ascii="仿宋_GB2312" w:eastAsia="仿宋_GB2312"/>
                <w:sz w:val="21"/>
                <w:szCs w:val="21"/>
              </w:rPr>
              <w:t>收导师签名：</w:t>
            </w:r>
          </w:p>
          <w:p>
            <w:pPr>
              <w:jc w:val="center"/>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62" w:type="dxa"/>
            <w:gridSpan w:val="2"/>
            <w:noWrap w:val="0"/>
            <w:vAlign w:val="center"/>
          </w:tcPr>
          <w:p>
            <w:pPr>
              <w:jc w:val="center"/>
              <w:rPr>
                <w:rFonts w:hint="eastAsia" w:ascii="仿宋_GB2312" w:eastAsia="仿宋_GB2312"/>
                <w:sz w:val="21"/>
                <w:szCs w:val="21"/>
              </w:rPr>
            </w:pPr>
            <w:r>
              <w:rPr>
                <w:rFonts w:hint="eastAsia" w:ascii="仿宋_GB2312" w:eastAsia="仿宋_GB2312"/>
                <w:sz w:val="21"/>
                <w:szCs w:val="21"/>
              </w:rPr>
              <w:t>二级学院（部门）意见</w:t>
            </w:r>
          </w:p>
        </w:tc>
        <w:tc>
          <w:tcPr>
            <w:tcW w:w="8026" w:type="dxa"/>
            <w:gridSpan w:val="7"/>
            <w:noWrap w:val="0"/>
            <w:vAlign w:val="center"/>
          </w:tcPr>
          <w:p>
            <w:pPr>
              <w:jc w:val="center"/>
              <w:rPr>
                <w:rFonts w:hint="eastAsia" w:ascii="仿宋_GB2312" w:eastAsia="仿宋_GB2312"/>
                <w:sz w:val="21"/>
                <w:szCs w:val="21"/>
              </w:rPr>
            </w:pPr>
          </w:p>
          <w:p>
            <w:pPr>
              <w:rPr>
                <w:rFonts w:hint="eastAsia" w:ascii="仿宋_GB2312" w:eastAsia="仿宋_GB2312"/>
                <w:sz w:val="21"/>
                <w:szCs w:val="21"/>
              </w:rPr>
            </w:pPr>
          </w:p>
          <w:p>
            <w:pPr>
              <w:jc w:val="center"/>
              <w:rPr>
                <w:rFonts w:hint="eastAsia" w:ascii="仿宋_GB2312" w:eastAsia="仿宋_GB2312"/>
                <w:sz w:val="21"/>
                <w:szCs w:val="21"/>
              </w:rPr>
            </w:pPr>
            <w:r>
              <w:rPr>
                <w:rFonts w:hint="eastAsia" w:ascii="仿宋_GB2312" w:eastAsia="仿宋_GB2312"/>
                <w:sz w:val="21"/>
                <w:szCs w:val="21"/>
              </w:rPr>
              <w:t xml:space="preserve">                二级学院（主管部门）签字（盖章）：</w:t>
            </w:r>
          </w:p>
          <w:p>
            <w:pPr>
              <w:jc w:val="center"/>
              <w:rPr>
                <w:rFonts w:hint="eastAsia" w:ascii="仿宋_GB2312" w:eastAsia="仿宋_GB2312"/>
                <w:sz w:val="21"/>
                <w:szCs w:val="21"/>
              </w:rPr>
            </w:pPr>
            <w:r>
              <w:rPr>
                <w:rFonts w:hint="eastAsia" w:ascii="仿宋_GB2312" w:eastAsia="仿宋_GB2312"/>
                <w:sz w:val="21"/>
                <w:szCs w:val="21"/>
              </w:rPr>
              <w:t xml:space="preserve">                                                            年   月   日</w:t>
            </w:r>
          </w:p>
        </w:tc>
      </w:tr>
    </w:tbl>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p>
    <w:p>
      <w:pPr>
        <w:spacing w:line="620" w:lineRule="exact"/>
        <w:rPr>
          <w:rFonts w:hint="eastAsia" w:ascii="仿宋" w:hAnsi="仿宋" w:eastAsia="仿宋" w:cs="仿宋"/>
          <w:b/>
          <w:sz w:val="32"/>
          <w:szCs w:val="32"/>
        </w:rPr>
      </w:pPr>
      <w:r>
        <w:rPr>
          <w:rFonts w:hint="eastAsia" w:ascii="仿宋" w:hAnsi="仿宋" w:eastAsia="仿宋" w:cs="仿宋"/>
          <w:b/>
          <w:sz w:val="32"/>
          <w:szCs w:val="32"/>
        </w:rPr>
        <w:t>附件6：</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柳州职业技术学院“导师带徒”指导工作记录表（导师用）</w:t>
      </w:r>
    </w:p>
    <w:p>
      <w:pPr>
        <w:ind w:firstLine="235" w:firstLineChars="98"/>
        <w:rPr>
          <w:rFonts w:hint="eastAsia" w:ascii="仿宋_GB2312" w:eastAsia="仿宋_GB2312"/>
          <w:sz w:val="24"/>
        </w:rPr>
      </w:pPr>
      <w:r>
        <w:rPr>
          <w:rFonts w:hint="eastAsia" w:ascii="仿宋_GB2312" w:eastAsia="仿宋_GB2312"/>
          <w:sz w:val="24"/>
        </w:rPr>
        <w:t xml:space="preserve">                                             填表时间：   年   月   日</w:t>
      </w:r>
    </w:p>
    <w:tbl>
      <w:tblPr>
        <w:tblStyle w:val="17"/>
        <w:tblW w:w="93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3402"/>
        <w:gridCol w:w="113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4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导师姓名</w:t>
            </w:r>
          </w:p>
        </w:tc>
        <w:tc>
          <w:tcPr>
            <w:tcW w:w="3402" w:type="dxa"/>
            <w:noWrap w:val="0"/>
            <w:vAlign w:val="center"/>
          </w:tcPr>
          <w:p>
            <w:pPr>
              <w:spacing w:line="300" w:lineRule="exact"/>
              <w:jc w:val="center"/>
              <w:rPr>
                <w:rFonts w:hint="eastAsia" w:ascii="仿宋_GB2312" w:eastAsia="仿宋_GB2312"/>
                <w:sz w:val="21"/>
                <w:szCs w:val="21"/>
              </w:rPr>
            </w:pPr>
          </w:p>
        </w:tc>
        <w:tc>
          <w:tcPr>
            <w:tcW w:w="1136"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w:t>
            </w:r>
          </w:p>
          <w:p>
            <w:pPr>
              <w:spacing w:line="300" w:lineRule="exact"/>
              <w:jc w:val="center"/>
              <w:rPr>
                <w:rFonts w:hint="eastAsia" w:ascii="仿宋_GB2312" w:eastAsia="仿宋_GB2312"/>
                <w:sz w:val="21"/>
                <w:szCs w:val="21"/>
              </w:rPr>
            </w:pPr>
            <w:r>
              <w:rPr>
                <w:rFonts w:hint="eastAsia" w:ascii="仿宋_GB2312" w:eastAsia="仿宋_GB2312"/>
                <w:sz w:val="21"/>
                <w:szCs w:val="21"/>
              </w:rPr>
              <w:t>姓名</w:t>
            </w:r>
          </w:p>
        </w:tc>
        <w:tc>
          <w:tcPr>
            <w:tcW w:w="3402"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42"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活动时间</w:t>
            </w:r>
          </w:p>
        </w:tc>
        <w:tc>
          <w:tcPr>
            <w:tcW w:w="3402" w:type="dxa"/>
            <w:noWrap w:val="0"/>
            <w:vAlign w:val="center"/>
          </w:tcPr>
          <w:p>
            <w:pPr>
              <w:jc w:val="center"/>
              <w:rPr>
                <w:rFonts w:hint="eastAsia" w:ascii="仿宋_GB2312" w:eastAsia="仿宋_GB2312"/>
                <w:sz w:val="21"/>
                <w:szCs w:val="21"/>
              </w:rPr>
            </w:pPr>
          </w:p>
        </w:tc>
        <w:tc>
          <w:tcPr>
            <w:tcW w:w="1136"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活动地点</w:t>
            </w:r>
          </w:p>
        </w:tc>
        <w:tc>
          <w:tcPr>
            <w:tcW w:w="3402" w:type="dxa"/>
            <w:noWrap w:val="0"/>
            <w:vAlign w:val="center"/>
          </w:tcPr>
          <w:p>
            <w:pPr>
              <w:jc w:val="cente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42"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活动主题</w:t>
            </w:r>
          </w:p>
        </w:tc>
        <w:tc>
          <w:tcPr>
            <w:tcW w:w="7940" w:type="dxa"/>
            <w:gridSpan w:val="3"/>
            <w:noWrap w:val="0"/>
            <w:vAlign w:val="center"/>
          </w:tcPr>
          <w:p>
            <w:pPr>
              <w:jc w:val="cente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jc w:val="center"/>
        </w:trPr>
        <w:tc>
          <w:tcPr>
            <w:tcW w:w="1442"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活动过程及内容</w:t>
            </w:r>
          </w:p>
        </w:tc>
        <w:tc>
          <w:tcPr>
            <w:tcW w:w="7940" w:type="dxa"/>
            <w:gridSpan w:val="3"/>
            <w:noWrap w:val="0"/>
            <w:vAlign w:val="center"/>
          </w:tcPr>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42"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活动成效</w:t>
            </w:r>
          </w:p>
        </w:tc>
        <w:tc>
          <w:tcPr>
            <w:tcW w:w="7940" w:type="dxa"/>
            <w:gridSpan w:val="3"/>
            <w:noWrap w:val="0"/>
            <w:vAlign w:val="center"/>
          </w:tcPr>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jc w:val="cente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442" w:type="dxa"/>
            <w:noWrap w:val="0"/>
            <w:vAlign w:val="center"/>
          </w:tcPr>
          <w:p>
            <w:pPr>
              <w:jc w:val="center"/>
              <w:rPr>
                <w:rFonts w:hint="eastAsia" w:ascii="仿宋_GB2312" w:eastAsia="仿宋_GB2312"/>
                <w:sz w:val="21"/>
                <w:szCs w:val="21"/>
              </w:rPr>
            </w:pPr>
            <w:r>
              <w:rPr>
                <w:rFonts w:hint="eastAsia" w:ascii="仿宋_GB2312" w:eastAsia="仿宋_GB2312"/>
                <w:sz w:val="21"/>
                <w:szCs w:val="21"/>
              </w:rPr>
              <w:t>存在问题及改进措施</w:t>
            </w:r>
          </w:p>
        </w:tc>
        <w:tc>
          <w:tcPr>
            <w:tcW w:w="7940" w:type="dxa"/>
            <w:gridSpan w:val="3"/>
            <w:noWrap w:val="0"/>
            <w:vAlign w:val="center"/>
          </w:tcPr>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p>
            <w:pPr>
              <w:jc w:val="left"/>
              <w:rPr>
                <w:rFonts w:hint="eastAsia" w:ascii="仿宋_GB2312" w:eastAsia="仿宋_GB2312"/>
                <w:sz w:val="21"/>
                <w:szCs w:val="21"/>
              </w:rPr>
            </w:pPr>
          </w:p>
        </w:tc>
      </w:tr>
    </w:tbl>
    <w:p>
      <w:pPr>
        <w:spacing w:line="620" w:lineRule="exact"/>
        <w:rPr>
          <w:rFonts w:hint="eastAsia" w:ascii="仿宋" w:hAnsi="仿宋" w:eastAsia="仿宋" w:cs="仿宋"/>
          <w:b/>
          <w:sz w:val="32"/>
          <w:szCs w:val="32"/>
        </w:rPr>
      </w:pPr>
      <w:r>
        <w:rPr>
          <w:rFonts w:hint="eastAsia" w:ascii="黑体" w:eastAsia="黑体"/>
          <w:bCs/>
          <w:sz w:val="32"/>
        </w:rPr>
        <w:br w:type="page"/>
      </w:r>
      <w:r>
        <w:rPr>
          <w:rFonts w:hint="eastAsia" w:ascii="仿宋" w:hAnsi="仿宋" w:eastAsia="仿宋" w:cs="仿宋"/>
          <w:b/>
          <w:sz w:val="32"/>
          <w:szCs w:val="32"/>
        </w:rPr>
        <w:t>附表7：</w:t>
      </w:r>
    </w:p>
    <w:p>
      <w:pPr>
        <w:spacing w:line="620" w:lineRule="exact"/>
        <w:jc w:val="center"/>
        <w:rPr>
          <w:rFonts w:hint="eastAsia" w:eastAsia="方正小标宋简体"/>
          <w:color w:val="000000"/>
          <w:sz w:val="32"/>
          <w:szCs w:val="32"/>
        </w:rPr>
      </w:pPr>
      <w:r>
        <w:rPr>
          <w:rFonts w:hint="eastAsia" w:eastAsia="方正小标宋简体"/>
          <w:color w:val="000000"/>
          <w:sz w:val="32"/>
          <w:szCs w:val="32"/>
        </w:rPr>
        <w:t>柳州职业技术学院“师徒结对”指导工作总结考核表（导师用）</w:t>
      </w:r>
    </w:p>
    <w:tbl>
      <w:tblPr>
        <w:tblStyle w:val="17"/>
        <w:tblW w:w="9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612"/>
        <w:gridCol w:w="1136"/>
        <w:gridCol w:w="3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导师姓名</w:t>
            </w:r>
          </w:p>
        </w:tc>
        <w:tc>
          <w:tcPr>
            <w:tcW w:w="3612" w:type="dxa"/>
            <w:noWrap w:val="0"/>
            <w:vAlign w:val="center"/>
          </w:tcPr>
          <w:p>
            <w:pPr>
              <w:spacing w:line="300" w:lineRule="exact"/>
              <w:jc w:val="center"/>
              <w:rPr>
                <w:rFonts w:hint="eastAsia" w:ascii="仿宋_GB2312" w:eastAsia="仿宋_GB2312"/>
                <w:sz w:val="21"/>
                <w:szCs w:val="21"/>
              </w:rPr>
            </w:pPr>
          </w:p>
        </w:tc>
        <w:tc>
          <w:tcPr>
            <w:tcW w:w="1136"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3277"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受导教师姓名</w:t>
            </w:r>
          </w:p>
        </w:tc>
        <w:tc>
          <w:tcPr>
            <w:tcW w:w="3612" w:type="dxa"/>
            <w:noWrap w:val="0"/>
            <w:vAlign w:val="center"/>
          </w:tcPr>
          <w:p>
            <w:pPr>
              <w:spacing w:line="300" w:lineRule="exact"/>
              <w:jc w:val="center"/>
              <w:rPr>
                <w:rFonts w:hint="eastAsia" w:ascii="仿宋_GB2312" w:eastAsia="仿宋_GB2312"/>
                <w:sz w:val="21"/>
                <w:szCs w:val="21"/>
              </w:rPr>
            </w:pPr>
          </w:p>
        </w:tc>
        <w:tc>
          <w:tcPr>
            <w:tcW w:w="1136"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所属部门</w:t>
            </w:r>
          </w:p>
        </w:tc>
        <w:tc>
          <w:tcPr>
            <w:tcW w:w="3277" w:type="dxa"/>
            <w:noWrap w:val="0"/>
            <w:vAlign w:val="center"/>
          </w:tcPr>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32" w:type="dxa"/>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结对时间</w:t>
            </w:r>
          </w:p>
        </w:tc>
        <w:tc>
          <w:tcPr>
            <w:tcW w:w="8025" w:type="dxa"/>
            <w:gridSpan w:val="3"/>
            <w:noWrap w:val="0"/>
            <w:vAlign w:val="center"/>
          </w:tcPr>
          <w:p>
            <w:pPr>
              <w:spacing w:line="300" w:lineRule="exact"/>
              <w:jc w:val="center"/>
              <w:rPr>
                <w:rFonts w:hint="eastAsia" w:ascii="仿宋_GB2312" w:eastAsia="仿宋_GB2312"/>
                <w:sz w:val="21"/>
                <w:szCs w:val="21"/>
              </w:rPr>
            </w:pPr>
            <w:r>
              <w:rPr>
                <w:rFonts w:hint="eastAsia" w:ascii="仿宋_GB2312" w:eastAsia="仿宋_GB2312"/>
                <w:sz w:val="21"/>
                <w:szCs w:val="21"/>
              </w:rPr>
              <w:t>年     月      ——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6" w:hRule="atLeast"/>
          <w:jc w:val="center"/>
        </w:trPr>
        <w:tc>
          <w:tcPr>
            <w:tcW w:w="1232" w:type="dxa"/>
            <w:noWrap w:val="0"/>
            <w:vAlign w:val="center"/>
          </w:tcPr>
          <w:p>
            <w:pPr>
              <w:spacing w:line="300" w:lineRule="exact"/>
              <w:jc w:val="left"/>
              <w:rPr>
                <w:rFonts w:hint="eastAsia" w:ascii="仿宋_GB2312" w:eastAsia="仿宋_GB2312"/>
                <w:sz w:val="21"/>
                <w:szCs w:val="21"/>
              </w:rPr>
            </w:pPr>
            <w:r>
              <w:rPr>
                <w:rFonts w:hint="eastAsia" w:ascii="仿宋_GB2312" w:eastAsia="仿宋_GB2312"/>
                <w:sz w:val="21"/>
                <w:szCs w:val="21"/>
              </w:rPr>
              <w:t>指导工作完成情况、经验和体会（800字左右）</w:t>
            </w:r>
          </w:p>
        </w:tc>
        <w:tc>
          <w:tcPr>
            <w:tcW w:w="8025" w:type="dxa"/>
            <w:gridSpan w:val="3"/>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firstLine="5264" w:firstLineChars="2507"/>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r>
              <w:rPr>
                <w:rFonts w:hint="eastAsia" w:ascii="仿宋_GB2312" w:eastAsia="仿宋_GB2312"/>
                <w:sz w:val="21"/>
                <w:szCs w:val="21"/>
              </w:rPr>
              <w:t>导师签名：</w:t>
            </w:r>
          </w:p>
          <w:p>
            <w:pPr>
              <w:spacing w:line="300" w:lineRule="exact"/>
              <w:ind w:left="4515" w:leftChars="2150" w:firstLine="848" w:firstLineChars="404"/>
              <w:rPr>
                <w:rFonts w:hint="eastAsia" w:ascii="仿宋_GB2312" w:eastAsia="仿宋_GB2312"/>
                <w:sz w:val="21"/>
                <w:szCs w:val="21"/>
              </w:rPr>
            </w:pPr>
            <w:r>
              <w:rPr>
                <w:rFonts w:hint="eastAsia" w:ascii="仿宋_GB2312" w:eastAsia="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1232" w:type="dxa"/>
            <w:noWrap w:val="0"/>
            <w:vAlign w:val="center"/>
          </w:tcPr>
          <w:p>
            <w:pPr>
              <w:spacing w:line="300" w:lineRule="exact"/>
              <w:jc w:val="left"/>
              <w:rPr>
                <w:rFonts w:hint="eastAsia" w:ascii="仿宋_GB2312" w:eastAsia="仿宋_GB2312"/>
                <w:sz w:val="21"/>
                <w:szCs w:val="21"/>
              </w:rPr>
            </w:pPr>
            <w:r>
              <w:rPr>
                <w:rFonts w:hint="eastAsia" w:ascii="仿宋_GB2312" w:eastAsia="仿宋_GB2312"/>
                <w:sz w:val="21"/>
                <w:szCs w:val="21"/>
              </w:rPr>
              <w:t>受导教师</w:t>
            </w:r>
          </w:p>
          <w:p>
            <w:pPr>
              <w:spacing w:line="300" w:lineRule="exact"/>
              <w:jc w:val="left"/>
              <w:rPr>
                <w:rFonts w:hint="eastAsia" w:ascii="仿宋_GB2312" w:eastAsia="仿宋_GB2312"/>
                <w:sz w:val="21"/>
                <w:szCs w:val="21"/>
              </w:rPr>
            </w:pPr>
            <w:r>
              <w:rPr>
                <w:rFonts w:hint="eastAsia" w:ascii="仿宋_GB2312" w:eastAsia="仿宋_GB2312"/>
                <w:sz w:val="21"/>
                <w:szCs w:val="21"/>
              </w:rPr>
              <w:t>意见建议</w:t>
            </w:r>
          </w:p>
        </w:tc>
        <w:tc>
          <w:tcPr>
            <w:tcW w:w="8025" w:type="dxa"/>
            <w:gridSpan w:val="3"/>
            <w:noWrap w:val="0"/>
            <w:vAlign w:val="center"/>
          </w:tcPr>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p>
          <w:p>
            <w:pPr>
              <w:spacing w:line="300" w:lineRule="exact"/>
              <w:ind w:firstLine="5363" w:firstLineChars="2554"/>
              <w:rPr>
                <w:rFonts w:hint="eastAsia" w:ascii="仿宋_GB2312" w:eastAsia="仿宋_GB2312"/>
                <w:sz w:val="21"/>
                <w:szCs w:val="21"/>
              </w:rPr>
            </w:pPr>
            <w:r>
              <w:rPr>
                <w:rFonts w:hint="eastAsia" w:ascii="仿宋_GB2312" w:eastAsia="仿宋_GB2312"/>
                <w:sz w:val="21"/>
                <w:szCs w:val="21"/>
              </w:rPr>
              <w:t>受导师签名：</w:t>
            </w:r>
          </w:p>
          <w:p>
            <w:pPr>
              <w:spacing w:line="300" w:lineRule="exact"/>
              <w:ind w:left="4515" w:leftChars="2150" w:firstLine="848" w:firstLineChars="404"/>
              <w:rPr>
                <w:rFonts w:hint="eastAsia" w:ascii="仿宋_GB2312" w:eastAsia="仿宋_GB2312"/>
                <w:sz w:val="21"/>
                <w:szCs w:val="21"/>
              </w:rPr>
            </w:pPr>
            <w:r>
              <w:rPr>
                <w:rFonts w:hint="eastAsia" w:ascii="仿宋_GB2312" w:eastAsia="仿宋_GB2312"/>
                <w:sz w:val="21"/>
                <w:szCs w:val="21"/>
              </w:rPr>
              <w:t xml:space="preserve">                                                   年   月   日</w:t>
            </w:r>
          </w:p>
          <w:p>
            <w:pPr>
              <w:spacing w:line="300" w:lineRule="exact"/>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8" w:hRule="atLeast"/>
          <w:jc w:val="center"/>
        </w:trPr>
        <w:tc>
          <w:tcPr>
            <w:tcW w:w="1232" w:type="dxa"/>
            <w:noWrap w:val="0"/>
            <w:vAlign w:val="center"/>
          </w:tcPr>
          <w:p>
            <w:pPr>
              <w:spacing w:line="300" w:lineRule="exact"/>
              <w:rPr>
                <w:rFonts w:hint="eastAsia" w:ascii="仿宋_GB2312" w:eastAsia="仿宋_GB2312"/>
                <w:sz w:val="21"/>
                <w:szCs w:val="21"/>
              </w:rPr>
            </w:pPr>
            <w:r>
              <w:rPr>
                <w:rFonts w:hint="eastAsia" w:ascii="仿宋_GB2312" w:eastAsia="仿宋_GB2312"/>
                <w:sz w:val="21"/>
                <w:szCs w:val="21"/>
              </w:rPr>
              <w:t>二级学院（部门）意见建议</w:t>
            </w:r>
          </w:p>
        </w:tc>
        <w:tc>
          <w:tcPr>
            <w:tcW w:w="8025" w:type="dxa"/>
            <w:gridSpan w:val="3"/>
            <w:noWrap w:val="0"/>
            <w:vAlign w:val="center"/>
          </w:tcPr>
          <w:p>
            <w:pPr>
              <w:spacing w:line="300" w:lineRule="exact"/>
              <w:rPr>
                <w:rFonts w:hint="eastAsia" w:ascii="仿宋_GB2312" w:eastAsia="仿宋_GB2312"/>
                <w:sz w:val="21"/>
                <w:szCs w:val="21"/>
              </w:rPr>
            </w:pPr>
          </w:p>
          <w:p>
            <w:pPr>
              <w:spacing w:line="300" w:lineRule="exact"/>
              <w:rPr>
                <w:rFonts w:hint="eastAsia" w:ascii="仿宋_GB2312" w:eastAsia="仿宋_GB2312"/>
                <w:sz w:val="21"/>
                <w:szCs w:val="21"/>
              </w:rPr>
            </w:pPr>
          </w:p>
          <w:p>
            <w:pPr>
              <w:spacing w:line="300" w:lineRule="exact"/>
              <w:ind w:firstLine="1575" w:firstLineChars="750"/>
              <w:rPr>
                <w:rFonts w:hint="eastAsia" w:ascii="仿宋_GB2312" w:eastAsia="仿宋_GB2312"/>
                <w:sz w:val="21"/>
                <w:szCs w:val="21"/>
                <w:u w:val="single"/>
              </w:rPr>
            </w:pPr>
            <w:r>
              <w:rPr>
                <w:rFonts w:hint="eastAsia" w:ascii="仿宋_GB2312" w:eastAsia="仿宋_GB2312"/>
                <w:sz w:val="21"/>
                <w:szCs w:val="21"/>
              </w:rPr>
              <w:t>考核结果（合格、不合格）</w:t>
            </w:r>
            <w:r>
              <w:rPr>
                <w:rFonts w:hint="eastAsia" w:ascii="仿宋_GB2312" w:eastAsia="仿宋_GB2312"/>
                <w:sz w:val="21"/>
                <w:szCs w:val="21"/>
                <w:u w:val="single"/>
              </w:rPr>
              <w:t xml:space="preserve">              </w:t>
            </w:r>
          </w:p>
          <w:p>
            <w:pPr>
              <w:spacing w:line="300" w:lineRule="exact"/>
              <w:ind w:firstLine="5264" w:firstLineChars="2507"/>
              <w:rPr>
                <w:rFonts w:hint="eastAsia" w:ascii="仿宋_GB2312" w:eastAsia="仿宋_GB2312"/>
                <w:sz w:val="21"/>
                <w:szCs w:val="21"/>
              </w:rPr>
            </w:pPr>
          </w:p>
          <w:p>
            <w:pPr>
              <w:spacing w:line="300" w:lineRule="exact"/>
              <w:ind w:firstLine="3990" w:firstLineChars="1900"/>
              <w:rPr>
                <w:rFonts w:hint="eastAsia" w:ascii="仿宋_GB2312" w:eastAsia="仿宋_GB2312"/>
                <w:sz w:val="21"/>
                <w:szCs w:val="21"/>
              </w:rPr>
            </w:pPr>
            <w:r>
              <w:rPr>
                <w:rFonts w:hint="eastAsia" w:ascii="仿宋_GB2312" w:eastAsia="仿宋_GB2312"/>
                <w:sz w:val="21"/>
                <w:szCs w:val="21"/>
              </w:rPr>
              <w:t xml:space="preserve">二级学院（部门）签字（盖章）： </w:t>
            </w:r>
          </w:p>
          <w:p>
            <w:pPr>
              <w:spacing w:line="300" w:lineRule="exact"/>
              <w:ind w:firstLine="5901" w:firstLineChars="2810"/>
              <w:rPr>
                <w:rFonts w:hint="eastAsia" w:ascii="仿宋_GB2312" w:eastAsia="仿宋_GB2312"/>
                <w:sz w:val="21"/>
                <w:szCs w:val="21"/>
              </w:rPr>
            </w:pPr>
            <w:r>
              <w:rPr>
                <w:rFonts w:hint="eastAsia" w:ascii="仿宋_GB2312" w:eastAsia="仿宋_GB2312"/>
                <w:sz w:val="21"/>
                <w:szCs w:val="21"/>
              </w:rPr>
              <w:t xml:space="preserve"> 年   月   日</w:t>
            </w:r>
          </w:p>
        </w:tc>
      </w:tr>
    </w:tbl>
    <w:p>
      <w:pPr>
        <w:pageBreakBefore w:val="0"/>
        <w:widowControl/>
        <w:kinsoku/>
        <w:wordWrap/>
        <w:overflowPunct/>
        <w:topLinePunct w:val="0"/>
        <w:autoSpaceDE/>
        <w:autoSpaceDN/>
        <w:bidi w:val="0"/>
        <w:jc w:val="left"/>
        <w:outlineLvl w:val="9"/>
        <w:rPr>
          <w:rFonts w:hint="eastAsia"/>
          <w:sz w:val="32"/>
          <w:szCs w:val="32"/>
          <w:lang w:val="en-US" w:eastAsia="zh-CN"/>
        </w:rPr>
      </w:pPr>
    </w:p>
    <w:p>
      <w:pPr>
        <w:pStyle w:val="3"/>
        <w:keepNext/>
        <w:keepLines/>
        <w:widowControl w:val="0"/>
        <w:spacing w:before="260" w:beforeLines="0" w:beforeAutospacing="0" w:after="260" w:afterLines="0" w:afterAutospacing="0" w:line="413" w:lineRule="auto"/>
        <w:ind w:left="0" w:leftChars="0" w:firstLine="0" w:firstLineChars="0"/>
        <w:jc w:val="center"/>
        <w:outlineLvl w:val="1"/>
        <w:rPr>
          <w:rFonts w:hint="eastAsia"/>
          <w:b/>
          <w:color w:val="000000"/>
          <w:sz w:val="36"/>
          <w:szCs w:val="36"/>
        </w:rPr>
        <w:sectPr>
          <w:footerReference r:id="rId22" w:type="default"/>
          <w:pgSz w:w="11906" w:h="16838"/>
          <w:pgMar w:top="1440" w:right="1474" w:bottom="1440" w:left="1587" w:header="851" w:footer="992" w:gutter="0"/>
          <w:pgNumType w:fmt="decimal"/>
          <w:cols w:space="425" w:num="1"/>
          <w:docGrid w:type="lines" w:linePitch="312" w:charSpace="0"/>
        </w:sectPr>
      </w:pPr>
      <w:bookmarkStart w:id="396" w:name="_Toc17238"/>
      <w:bookmarkStart w:id="397" w:name="_Toc647"/>
      <w:bookmarkStart w:id="398" w:name="_Toc14830"/>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399" w:name="_Toc15376"/>
      <w:bookmarkStart w:id="400" w:name="_Toc560"/>
      <w:bookmarkStart w:id="401" w:name="_Toc29192"/>
      <w:bookmarkStart w:id="402" w:name="_Toc26108"/>
      <w:bookmarkStart w:id="403" w:name="_Toc12717"/>
      <w:r>
        <w:rPr>
          <w:rFonts w:hint="eastAsia" w:asciiTheme="minorEastAsia" w:hAnsiTheme="minorEastAsia" w:eastAsiaTheme="minorEastAsia" w:cstheme="minorEastAsia"/>
          <w:b/>
          <w:color w:val="000000"/>
          <w:kern w:val="0"/>
          <w:sz w:val="36"/>
          <w:szCs w:val="36"/>
        </w:rPr>
        <w:t>柳州职业技术学院2019年</w:t>
      </w:r>
      <w:bookmarkEnd w:id="399"/>
      <w:bookmarkStart w:id="404" w:name="_Toc18831"/>
      <w:r>
        <w:rPr>
          <w:rFonts w:hint="eastAsia" w:asciiTheme="minorEastAsia" w:hAnsiTheme="minorEastAsia" w:eastAsiaTheme="minorEastAsia" w:cstheme="minorEastAsia"/>
          <w:b/>
          <w:color w:val="000000"/>
          <w:kern w:val="0"/>
          <w:sz w:val="36"/>
          <w:szCs w:val="36"/>
        </w:rPr>
        <w:t>“优秀高职高专生选拔升本”工作实施细则</w:t>
      </w:r>
      <w:bookmarkEnd w:id="400"/>
      <w:bookmarkEnd w:id="401"/>
      <w:bookmarkEnd w:id="402"/>
      <w:bookmarkEnd w:id="403"/>
      <w:bookmarkEnd w:id="404"/>
    </w:p>
    <w:p>
      <w:pPr>
        <w:pageBreakBefore w:val="0"/>
        <w:kinsoku/>
        <w:wordWrap/>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sz w:val="32"/>
          <w:szCs w:val="32"/>
        </w:rPr>
        <w:t>柳职院教字〔2019〕8号</w:t>
      </w:r>
      <w:r>
        <w:rPr>
          <w:rFonts w:hint="eastAsia" w:ascii="仿宋_GB2312" w:eastAsia="仿宋_GB2312"/>
          <w:b w:val="0"/>
          <w:bCs w:val="0"/>
          <w:sz w:val="32"/>
          <w:szCs w:val="32"/>
          <w:lang w:eastAsia="zh-CN"/>
        </w:rPr>
        <w:t>）</w:t>
      </w:r>
    </w:p>
    <w:p>
      <w:pPr>
        <w:pageBreakBefore w:val="0"/>
        <w:kinsoku/>
        <w:wordWrap/>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根据广西壮族自治区教育厅《关于做好2019年全区高校优秀高职高专生选拔升本工作的通知》（桂教高教</w:t>
      </w:r>
      <w:r>
        <w:rPr>
          <w:rFonts w:hint="eastAsia" w:ascii="仿宋_GB2312" w:eastAsia="仿宋_GB2312" w:cs="仿宋_GB2312"/>
          <w:color w:val="000000"/>
          <w:kern w:val="0"/>
          <w:sz w:val="32"/>
          <w:szCs w:val="32"/>
        </w:rPr>
        <w:t>〔2019〕</w:t>
      </w:r>
      <w:r>
        <w:rPr>
          <w:rFonts w:hint="eastAsia" w:ascii="仿宋_GB2312" w:hAnsi="Times New Roman" w:eastAsia="仿宋_GB2312" w:cs="Times New Roman"/>
          <w:sz w:val="32"/>
          <w:szCs w:val="32"/>
        </w:rPr>
        <w:t>21号）文件精神，为使我院“优秀高职高专生选拔升本”推荐工作程序化、规范化，真正做到“公平、公开、公正”，特制定以下实施细则：</w:t>
      </w:r>
    </w:p>
    <w:p>
      <w:pPr>
        <w:pageBreakBefore w:val="0"/>
        <w:kinsoku/>
        <w:wordWrap/>
        <w:overflowPunct/>
        <w:topLinePunct w:val="0"/>
        <w:bidi w:val="0"/>
        <w:spacing w:line="580" w:lineRule="exact"/>
        <w:ind w:firstLine="643" w:firstLineChars="200"/>
        <w:outlineLvl w:val="9"/>
        <w:rPr>
          <w:rFonts w:ascii="黑体" w:hAnsi="黑体" w:eastAsia="黑体" w:cs="Times New Roman"/>
          <w:b/>
          <w:sz w:val="32"/>
          <w:szCs w:val="32"/>
        </w:rPr>
      </w:pPr>
      <w:r>
        <w:rPr>
          <w:rFonts w:hint="eastAsia" w:ascii="黑体" w:hAnsi="黑体" w:eastAsia="黑体" w:cs="Times New Roman"/>
          <w:b/>
          <w:sz w:val="32"/>
          <w:szCs w:val="32"/>
        </w:rPr>
        <w:t>一、选拔对象及条件</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1.列入国家普通高校招生计划、按政策录取到我院的高职高专2016级在籍毕业班的学生。</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2.政治表现和思想品德好（操行良好以上），身体健康，有较强的学习能力和较好的专业素质。</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3.在校学习期间已修完专科教学计划（最后一个学期除外）规定的课程并且考试（查）成绩合格，所有考试（查）科目平均成绩排名在同年级同专业学生的前50%以内。</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4.英语和计算机基础较好。</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5.入选世界技能大赛集训队队员的学生，参加教育行政部门或人力资源社会保障部门组织的职业院校技能竞赛、职业技能大赛、创新创业大赛等相关比赛，获自治区级一等奖（金牌）或国家级二等奖（银牌）及以上奖项的学生，获得自治区级“三好学生”、“优秀学生干部”、“优秀团干”称号，或经学校选拔并在校内公示无异议、报自治区教育厅备案的优秀毕业生，在满足前三款条件的情况下，不占下达计划指标直接升本。在同等条件下，获得上述相关比赛其他奖项或校级“三好学生”、“优秀学生干部”、“优秀团干”、“优秀团员”荣誉称号的学生优先选拔。</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6.根据《教育部办公厅关于进一步做好高校学生参军入伍工作的通知》（教高厅〔2015〕3号）文件精神，对在校期间应征入伍的退役大学生，如果荣立三等功以上奖励者，在完成高职（专科）学业后可不占下达计划指标直接升本；如没有立功奖项，在完成高职（专科）学业后，其成绩排名在同年级同专业学生前50%以内的，可以不占下达计划指标直接升本。</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7.凡有违纪处理记录者，不予选拔。</w:t>
      </w:r>
    </w:p>
    <w:p>
      <w:pPr>
        <w:pageBreakBefore w:val="0"/>
        <w:kinsoku/>
        <w:wordWrap/>
        <w:overflowPunct/>
        <w:topLinePunct w:val="0"/>
        <w:bidi w:val="0"/>
        <w:spacing w:line="580" w:lineRule="exact"/>
        <w:ind w:firstLine="643" w:firstLineChars="200"/>
        <w:outlineLvl w:val="9"/>
        <w:rPr>
          <w:rFonts w:ascii="黑体" w:hAnsi="黑体" w:eastAsia="黑体" w:cs="Times New Roman"/>
          <w:b/>
          <w:sz w:val="32"/>
          <w:szCs w:val="32"/>
        </w:rPr>
      </w:pPr>
      <w:r>
        <w:rPr>
          <w:rFonts w:hint="eastAsia" w:ascii="黑体" w:hAnsi="黑体" w:eastAsia="黑体" w:cs="Times New Roman"/>
          <w:b/>
          <w:sz w:val="32"/>
          <w:szCs w:val="32"/>
        </w:rPr>
        <w:t>二、选拔的方式及比例</w:t>
      </w:r>
    </w:p>
    <w:p>
      <w:pPr>
        <w:pageBreakBefore w:val="0"/>
        <w:kinsoku/>
        <w:wordWrap/>
        <w:overflowPunct/>
        <w:topLinePunct w:val="0"/>
        <w:bidi w:val="0"/>
        <w:spacing w:line="580" w:lineRule="exact"/>
        <w:ind w:firstLine="643" w:firstLineChars="200"/>
        <w:outlineLvl w:val="9"/>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（一）选拔原则</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“优秀高职高专生选拔制”实行专业对口选拔的原则，即选拔的学生只能升入与其原专科专业相同或相近的本科专业学习，如本科院校无相同或相近专业，一律不安排选拔。</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升入的本科院校不同，关于英语和计算机基础的要求不同，具体选拔要求由本科院校的“专升本”实施细则确定。</w:t>
      </w:r>
    </w:p>
    <w:p>
      <w:pPr>
        <w:pageBreakBefore w:val="0"/>
        <w:kinsoku/>
        <w:wordWrap/>
        <w:overflowPunct/>
        <w:topLinePunct w:val="0"/>
        <w:bidi w:val="0"/>
        <w:spacing w:line="580" w:lineRule="exact"/>
        <w:ind w:firstLine="643" w:firstLineChars="200"/>
        <w:outlineLvl w:val="9"/>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（二）选拔方式</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1.成绩排名：根据学生在校期间（除最后一个学期外）所有考试（查）科目平均成绩（不得按学校综合测评的成绩）排名先后顺序，在学生自愿报名的基础上进行选拔。</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2.排名成绩计算办法：除最后一个学期外所有考试（查）科目平均成绩排名成绩。专业选修课、公共选修课成绩不记入平均成绩。</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3.学生报名，择优录取</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在学生自愿报名的基础上，按照择优录取的原则，排名在前的学生因个人原因放弃升入本科学习的，须有本人签名的证明材料，其他学生方可依次递补录取。递补的学生，必须在符合上述选拔条件范围内选拔。</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4.增设“候补录取”名单。参照正式录取相同的程序选拨一定比例的优秀毕业生入候补名单。在正式录取的学生不到校报到的情况下，候补录取名单上的学生可依次递补录取。</w:t>
      </w:r>
    </w:p>
    <w:p>
      <w:pPr>
        <w:pageBreakBefore w:val="0"/>
        <w:kinsoku/>
        <w:wordWrap/>
        <w:overflowPunct/>
        <w:topLinePunct w:val="0"/>
        <w:bidi w:val="0"/>
        <w:spacing w:line="580" w:lineRule="exact"/>
        <w:ind w:firstLine="643" w:firstLineChars="200"/>
        <w:outlineLvl w:val="9"/>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（三）选拔比例</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选拔升入本科学习的学生，不得超过同年级、同专业毕业班学生人数的12%（与自治区九大创新发展领域相关的部分专业升本比例可放宽至15%），专升本去民办高校和独立学院的学生可在上述比例限制基础上再放宽5%。“候补录取”计划数按5%的比例安排。同一学校同一专业只准升入一所本科学校（专升本去民办高校和独立学院的学生不受此限制）；同一学校不同专业之间录取计划数不作调剂使用，若某一专业升本比例不足12%者，不能调剂给另一专业升本使用。</w:t>
      </w:r>
    </w:p>
    <w:p>
      <w:pPr>
        <w:pageBreakBefore w:val="0"/>
        <w:kinsoku/>
        <w:wordWrap/>
        <w:overflowPunct/>
        <w:topLinePunct w:val="0"/>
        <w:bidi w:val="0"/>
        <w:spacing w:line="580" w:lineRule="exact"/>
        <w:ind w:firstLine="643" w:firstLineChars="200"/>
        <w:outlineLvl w:val="9"/>
        <w:rPr>
          <w:rFonts w:ascii="黑体" w:hAnsi="黑体" w:eastAsia="黑体" w:cs="Times New Roman"/>
          <w:b/>
          <w:sz w:val="32"/>
          <w:szCs w:val="32"/>
        </w:rPr>
      </w:pPr>
      <w:r>
        <w:rPr>
          <w:rFonts w:hint="eastAsia" w:ascii="黑体" w:hAnsi="黑体" w:eastAsia="黑体" w:cs="Times New Roman"/>
          <w:b/>
          <w:sz w:val="32"/>
          <w:szCs w:val="32"/>
        </w:rPr>
        <w:t>三、选拔推荐程序及日程</w:t>
      </w:r>
    </w:p>
    <w:p>
      <w:pPr>
        <w:pageBreakBefore w:val="0"/>
        <w:kinsoku/>
        <w:wordWrap/>
        <w:overflowPunct/>
        <w:topLinePunct w:val="0"/>
        <w:bidi w:val="0"/>
        <w:spacing w:line="580" w:lineRule="exact"/>
        <w:ind w:firstLine="643" w:firstLineChars="200"/>
        <w:outlineLvl w:val="9"/>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（一）工作机构</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 成立学院“专升本</w:t>
      </w:r>
      <w:r>
        <w:rPr>
          <w:rFonts w:ascii="仿宋_GB2312" w:hAnsi="Times New Roman" w:eastAsia="仿宋_GB2312" w:cs="Times New Roman"/>
          <w:b/>
          <w:sz w:val="32"/>
          <w:szCs w:val="32"/>
        </w:rPr>
        <w:t>”</w:t>
      </w:r>
      <w:r>
        <w:rPr>
          <w:rFonts w:hint="eastAsia" w:ascii="仿宋_GB2312" w:hAnsi="Times New Roman" w:eastAsia="仿宋_GB2312" w:cs="Times New Roman"/>
          <w:b/>
          <w:sz w:val="32"/>
          <w:szCs w:val="32"/>
        </w:rPr>
        <w:t>领导小组</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组  长：鞠红霞</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副组长：韦   林</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成  员：蒋向辉  陈文勇  韦林华 蒙颷 冯雪萍</w:t>
      </w:r>
    </w:p>
    <w:p>
      <w:pPr>
        <w:pageBreakBefore w:val="0"/>
        <w:kinsoku/>
        <w:wordWrap/>
        <w:overflowPunct/>
        <w:topLinePunct w:val="0"/>
        <w:bidi w:val="0"/>
        <w:spacing w:line="580" w:lineRule="exact"/>
        <w:ind w:firstLine="1920" w:firstLineChars="6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黎渝林  黄  宁  李  革 </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设立学院“专升本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 xml:space="preserve">工作办公室，办公室设在教务处 </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职  责：1.负责“专升本”工作方案的制定</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2.负责“专升本”工作的组织与实施</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3.负责“专升本”有关规定的解读和答疑工作</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4.负责与本科院校的协调工作</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 成立“专升本”督察组</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组  长：傅昌德</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成  员：岑方卫</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职  责：负责对“专升本”选拔推荐工作的监督</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 成立“专升本</w:t>
      </w:r>
      <w:r>
        <w:rPr>
          <w:rFonts w:ascii="仿宋_GB2312" w:hAnsi="Times New Roman" w:eastAsia="仿宋_GB2312" w:cs="Times New Roman"/>
          <w:b/>
          <w:sz w:val="32"/>
          <w:szCs w:val="32"/>
        </w:rPr>
        <w:t>”</w:t>
      </w:r>
      <w:r>
        <w:rPr>
          <w:rFonts w:hint="eastAsia" w:ascii="仿宋_GB2312" w:hAnsi="Times New Roman" w:eastAsia="仿宋_GB2312" w:cs="Times New Roman"/>
          <w:b/>
          <w:sz w:val="32"/>
          <w:szCs w:val="32"/>
        </w:rPr>
        <w:t>资格审核工作组</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组    长：由各二级学院院长担任。</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成    员：二级学院根据实际情况，由教学科、学生科、辅导员等人员组成</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职    责：1. 负责专升本工作实施细则的解读、答疑</w:t>
      </w:r>
    </w:p>
    <w:p>
      <w:pPr>
        <w:pageBreakBefore w:val="0"/>
        <w:kinsoku/>
        <w:wordWrap/>
        <w:overflowPunct/>
        <w:topLinePunct w:val="0"/>
        <w:bidi w:val="0"/>
        <w:spacing w:line="580" w:lineRule="exact"/>
        <w:ind w:firstLine="2240" w:firstLineChars="7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 负责核算本学院学生专升本成绩、排名</w:t>
      </w:r>
    </w:p>
    <w:p>
      <w:pPr>
        <w:pageBreakBefore w:val="0"/>
        <w:kinsoku/>
        <w:wordWrap/>
        <w:overflowPunct/>
        <w:topLinePunct w:val="0"/>
        <w:bidi w:val="0"/>
        <w:spacing w:line="580" w:lineRule="exact"/>
        <w:ind w:firstLine="2240" w:firstLineChars="7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 负责组织学生填写各类升本表格</w:t>
      </w:r>
    </w:p>
    <w:p>
      <w:pPr>
        <w:pageBreakBefore w:val="0"/>
        <w:kinsoku/>
        <w:wordWrap/>
        <w:overflowPunct/>
        <w:topLinePunct w:val="0"/>
        <w:bidi w:val="0"/>
        <w:spacing w:line="580" w:lineRule="exact"/>
        <w:ind w:firstLine="2240" w:firstLineChars="7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 负责审核本二级学院的专升本各项材料</w:t>
      </w:r>
    </w:p>
    <w:p>
      <w:pPr>
        <w:pageBreakBefore w:val="0"/>
        <w:kinsoku/>
        <w:wordWrap/>
        <w:overflowPunct/>
        <w:topLinePunct w:val="0"/>
        <w:bidi w:val="0"/>
        <w:spacing w:line="580" w:lineRule="exact"/>
        <w:ind w:firstLine="643" w:firstLineChars="200"/>
        <w:outlineLvl w:val="9"/>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（二）选拔推荐程序及日程安排</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 各二级学院推荐、初审（4月15日—5月7日）</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（1）各二级学院向所属班级学生传达“专升本”的有关规定和要求，让所有学生了解“专升本”的意义和具体选拔推荐办法。</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4月18日前由各二级学院统计2016级毕业班学生所有科目成绩，各科成绩合格，考试科目(包括考查科目)平均成绩按同年级同专业学生的成绩进行排序，按选拔比例确定初选学生名单，并将前50%的学生名单进行公示（3天以上）。</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（3）各二级学院组织符合选拔条件的初选学生填写《广西壮族自治区普通高等学校优秀高职高专生选拔升入本科学习学生推荐表》，提交个人有关材料（如各种获奖、等级证书复印件），并报二级学院“专升本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资格审核工作组初审。</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（4）初审合格的学生由二级学院“专升本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资格审核工作组向学生张榜公示3天以上，无异议者，由二级学院“专升本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资格审核工作组组长签署推荐意见，并于5月7日将初选名单及有关材料上报教务处。</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2．学校审核（5月8日—5月18日）</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学院</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资格审核工作组对各二级学院上报的学生名单及有关材料进行审核，报“专升本</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资格审核工作组组长批准后，在校园网和校内张榜公示7天。异议和投诉由院督察室受理。</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3. 材料上报（5月19日—5月20日）</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教务与实训管理处将确定的“升本”学生推荐名单及有关材料统一汇总后，于5月20日前报送区教育厅及联合办学的本科院校。</w:t>
      </w:r>
    </w:p>
    <w:p>
      <w:pPr>
        <w:pageBreakBefore w:val="0"/>
        <w:kinsoku/>
        <w:wordWrap/>
        <w:overflowPunct/>
        <w:topLinePunct w:val="0"/>
        <w:bidi w:val="0"/>
        <w:spacing w:line="580" w:lineRule="exact"/>
        <w:ind w:firstLine="643" w:firstLineChars="200"/>
        <w:outlineLvl w:val="9"/>
        <w:rPr>
          <w:rFonts w:ascii="黑体" w:hAnsi="黑体" w:eastAsia="黑体" w:cs="Times New Roman"/>
          <w:b/>
          <w:sz w:val="32"/>
          <w:szCs w:val="32"/>
        </w:rPr>
      </w:pPr>
      <w:r>
        <w:rPr>
          <w:rFonts w:hint="eastAsia" w:ascii="黑体" w:hAnsi="黑体" w:eastAsia="黑体" w:cs="Times New Roman"/>
          <w:b/>
          <w:sz w:val="32"/>
          <w:szCs w:val="32"/>
        </w:rPr>
        <w:t>四、其它</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1.本选拔过程严格按照有关政策规定进行，坚持公平、公开、公正择优选拔的原则，严防弄虚作假，如有违规操作，除取消作假学生入学本科资格外，还将追究所有当事人责任。</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2.按“优秀高职高专生选拔制”选拔升入本科的学生升入本科院校后，单独编班或以单独编班为主、插班为辅；对专升本学生，可参照录取新生的办法办理户口迁移、学生档案移交、党团关系转移等有关手续。</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3.对由于推荐生源不足以单独编班又未能安排插班的高职高专院校的部分专业，不安排专升本计划。</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4.高职高专毕业生进入本科院校继续学习后，按本科院校学生的学籍和证书管理办法进行管理，毕业后，颁发所在高等学校毕业证书。根据《教育部关于当前加强高等学校学历证书规范管理的通知》（教学</w:t>
      </w:r>
      <w:r>
        <w:rPr>
          <w:rFonts w:hint="eastAsia" w:ascii="仿宋_GB2312" w:eastAsia="仿宋_GB2312" w:cs="仿宋_GB2312"/>
          <w:color w:val="000000"/>
          <w:kern w:val="0"/>
          <w:sz w:val="32"/>
          <w:szCs w:val="32"/>
        </w:rPr>
        <w:t>〔2002〕</w:t>
      </w:r>
      <w:r>
        <w:rPr>
          <w:rFonts w:hint="eastAsia" w:ascii="仿宋_GB2312" w:hAnsi="Times New Roman" w:eastAsia="仿宋_GB2312" w:cs="Times New Roman"/>
          <w:sz w:val="32"/>
          <w:szCs w:val="32"/>
        </w:rPr>
        <w:t>15号）要求，学校颁发毕业证书内容填写“在我校ＸＸ专业专科起点本科学习”，学习起止时间按升入本科实际时间填写。学制按升入本科专业的学制填写。学习期满且成绩合格的学生，可根据《中华人民共和国学位条例》及有关规定申请授予相应的学士学位。学生毕业时，按国家有关本科毕业生的就业政策执行。</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本细则如有变化，以教育厅新规定为准，本细则由教务与实训管理处负责解释。</w:t>
      </w:r>
    </w:p>
    <w:p>
      <w:pPr>
        <w:pageBreakBefore w:val="0"/>
        <w:kinsoku/>
        <w:wordWrap/>
        <w:overflowPunct/>
        <w:topLinePunct w:val="0"/>
        <w:bidi w:val="0"/>
        <w:outlineLvl w:val="9"/>
        <w:rPr>
          <w:rFonts w:hint="eastAsia"/>
          <w:b/>
          <w:color w:val="000000"/>
          <w:sz w:val="36"/>
          <w:szCs w:val="36"/>
        </w:rPr>
        <w:sectPr>
          <w:pgSz w:w="11906" w:h="16838"/>
          <w:pgMar w:top="1440" w:right="1474" w:bottom="1440" w:left="1587" w:header="851" w:footer="992" w:gutter="0"/>
          <w:pgNumType w:fmt="decimal"/>
          <w:cols w:space="425" w:num="1"/>
          <w:docGrid w:type="lines" w:linePitch="312" w:charSpace="0"/>
        </w:sectPr>
      </w:pPr>
      <w:r>
        <w:rPr>
          <w:rFonts w:hint="eastAsia" w:ascii="仿宋_GB2312" w:eastAsia="仿宋_GB2312"/>
          <w:b w:val="0"/>
          <w:bCs w:val="0"/>
          <w:sz w:val="32"/>
          <w:szCs w:val="32"/>
          <w:lang w:eastAsia="zh-CN"/>
        </w:rPr>
        <w:br w:type="page"/>
      </w:r>
    </w:p>
    <w:p>
      <w:pPr>
        <w:pStyle w:val="3"/>
        <w:keepNext/>
        <w:keepLines/>
        <w:widowControl w:val="0"/>
        <w:spacing w:before="260" w:beforeLines="0" w:beforeAutospacing="0" w:after="260" w:afterLines="0" w:afterAutospacing="0" w:line="413" w:lineRule="auto"/>
        <w:ind w:left="0" w:leftChars="0" w:firstLine="0" w:firstLineChars="0"/>
        <w:jc w:val="center"/>
        <w:outlineLvl w:val="1"/>
        <w:rPr>
          <w:b/>
          <w:color w:val="000000"/>
          <w:sz w:val="36"/>
          <w:szCs w:val="36"/>
        </w:rPr>
      </w:pPr>
      <w:r>
        <w:rPr>
          <w:rFonts w:hint="eastAsia"/>
          <w:b/>
          <w:color w:val="000000"/>
          <w:sz w:val="36"/>
          <w:szCs w:val="36"/>
        </w:rPr>
        <w:t>柳州职业技术学院技术技能“天工班”试点管理办法</w:t>
      </w:r>
      <w:bookmarkEnd w:id="396"/>
      <w:bookmarkEnd w:id="397"/>
      <w:bookmarkEnd w:id="398"/>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柳职院教字〔2021〕1号)</w:t>
      </w:r>
    </w:p>
    <w:p>
      <w:pPr>
        <w:pageBreakBefore w:val="0"/>
        <w:kinsoku/>
        <w:wordWrap/>
        <w:overflowPunct/>
        <w:topLinePunct w:val="0"/>
        <w:bidi w:val="0"/>
        <w:spacing w:line="360" w:lineRule="auto"/>
        <w:ind w:firstLine="495"/>
        <w:jc w:val="left"/>
        <w:outlineLvl w:val="9"/>
        <w:rPr>
          <w:rFonts w:ascii="宋体" w:hAnsi="宋体" w:cs="宋体"/>
          <w:b/>
          <w:bCs/>
          <w:color w:val="000000"/>
          <w:spacing w:val="-8"/>
          <w:kern w:val="0"/>
          <w:szCs w:val="28"/>
        </w:rPr>
      </w:pP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为探索技术技能人才培养模式，主动适应新技术、新业态、新模式、新产业需求，学校决定组建“天工班”，开展人才培养创新试点。为规范“天工班”的管理，保障试点的顺利实施，特制定本办法。</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一、改革目标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依托学校优势专业群，开展技术技能精英“天工班”试点。每年跨专业选拔一定数量的品德优秀、学习实践能力强、技能突出、具有创新能力的学生，组建 “天工班”。制订“天工班”专门培养标准和学习项目，完善配套的管理制度，依托学校工程技术中心、大师工作室、创新创业基地，开展教学和训练，培养一批柳州支柱产业转型升级急需的技术技能精英，助推区域产业走向全球中高端。</w:t>
      </w:r>
    </w:p>
    <w:p>
      <w:pPr>
        <w:pageBreakBefore w:val="0"/>
        <w:numPr>
          <w:ilvl w:val="0"/>
          <w:numId w:val="8"/>
        </w:numPr>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组班与学生选拔</w:t>
      </w:r>
    </w:p>
    <w:p>
      <w:pPr>
        <w:pageBreakBefore w:val="0"/>
        <w:kinsoku/>
        <w:wordWrap/>
        <w:overflowPunct/>
        <w:topLinePunct w:val="0"/>
        <w:bidi w:val="0"/>
        <w:spacing w:line="580" w:lineRule="exact"/>
        <w:outlineLvl w:val="9"/>
        <w:rPr>
          <w:rFonts w:ascii="黑体" w:hAnsi="黑体" w:eastAsia="黑体"/>
          <w:b/>
          <w:sz w:val="32"/>
          <w:szCs w:val="32"/>
        </w:rPr>
      </w:pPr>
      <w:r>
        <w:rPr>
          <w:rFonts w:hint="eastAsia" w:ascii="黑体" w:hAnsi="黑体" w:eastAsia="黑体"/>
          <w:b/>
          <w:sz w:val="32"/>
          <w:szCs w:val="32"/>
        </w:rPr>
        <w:t xml:space="preserve">   </w:t>
      </w:r>
      <w:r>
        <w:rPr>
          <w:rFonts w:hint="eastAsia" w:ascii="楷体_GB2312" w:eastAsia="楷体_GB2312"/>
          <w:b/>
          <w:sz w:val="32"/>
          <w:szCs w:val="32"/>
        </w:rPr>
        <w:t xml:space="preserve"> （一）组班时间、人数</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“天工班”一般在一年级第二学期或二年级第三学期组班，每个班的学生在25-30人之间。原则上依托某个专业开展，学生原专业不变。鼓励跨二级学院、跨专业组建天工班。</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（二）选拔方式</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生选拔通过学生自愿报名、相关科目考核、综合面试考察等多种形式，择优录取，对于有特别潜质的学生，可破格选拔。选拔标准由二级学院根据学院的实际情况制定，注重考察学生的综合能力、专业兴趣和发展潜质，尤其要注重挖掘有特殊专业专长和有突出培养潜质的学生，将最优秀的学生吸纳到“天工班”。</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（三）选拔条件</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入选“天工班”学生的条件：</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1.思想积极上进，热爱祖国、热爱社会主义，遵纪守法。</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2.专业基础扎实，有钻研和创新精神，学习勤奋，成绩良好。</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3.具有较强的自主学习能力和较好的心理素质。</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4.在区级及以上学生技能竞赛中获奖或大学生创新创业类比赛中获奖的学生优先。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5.在校期间获得专利、发表科技论文、科技项目或创新创业项目立项的学生优先。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6.二级学院根据专业特点制定的其他入选条件。</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受警告、严重警告、记过、留校察看处分者，在处分未解除期间不予入选。</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三、人才培养方案制订</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课程设置坚持以学生为中心，在满足学校规定的总学分及国家规定开设的公共课程基础上，人才培养方案按照统一与个性相结合的原则进行制订。统一部分是“天工班”学生均开设的课程，个性部分是导师根据学生的情况制订个性化的课程。</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公共必修课。</w:t>
      </w:r>
      <w:r>
        <w:rPr>
          <w:rFonts w:hint="eastAsia" w:ascii="仿宋_GB2312" w:eastAsia="仿宋_GB2312"/>
          <w:sz w:val="32"/>
          <w:szCs w:val="32"/>
        </w:rPr>
        <w:t>国家规定开设的公共必修课，按要求开展教学和考核；校本公共必修课由导师制订学习计划，可以采用较为灵活的教学模式和考核模式。导师团队可担任公共必修课授课教师。</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专业课程。</w:t>
      </w:r>
      <w:r>
        <w:rPr>
          <w:rFonts w:hint="eastAsia" w:ascii="仿宋_GB2312" w:eastAsia="仿宋_GB2312"/>
          <w:sz w:val="32"/>
          <w:szCs w:val="32"/>
        </w:rPr>
        <w:t>专业核心课程，按统一要求开展教学和考核，其他专业课由导师制订学习计划和安排。课程采用授课、讨论、实践、项目等方式相结合，注重通过参与项目研发、专业实践活动来学习，注重创新能力的培养。</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选修课。</w:t>
      </w:r>
      <w:r>
        <w:rPr>
          <w:rFonts w:hint="eastAsia" w:ascii="仿宋_GB2312" w:eastAsia="仿宋_GB2312"/>
          <w:sz w:val="32"/>
          <w:szCs w:val="32"/>
        </w:rPr>
        <w:t>由导师根据学生的兴趣和特点制订学习计划和课程安排。</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bCs/>
          <w:sz w:val="32"/>
          <w:szCs w:val="32"/>
        </w:rPr>
        <w:t>第二课堂活动。</w:t>
      </w:r>
      <w:r>
        <w:rPr>
          <w:rFonts w:hint="eastAsia" w:ascii="仿宋_GB2312" w:eastAsia="仿宋_GB2312"/>
          <w:sz w:val="32"/>
          <w:szCs w:val="32"/>
        </w:rPr>
        <w:t>天工班应在培养方案中设置一定比例的学术报告和研讨会，定期组织高层次研讨会，邀请企业、科研机构的专家学者参加；定期开展学生学术报告、演讲，鼓励学生参加国内外高水平的竞赛，学术交流；鼓励学生参加科研活动、创新创造活动，鼓励学生申请大学生创新创造项目，通过研究性的项目来提高解决问题的能力。</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在课程的具体安排上应有50%以上的时间用于项目的实践活动。在课程设置和安排时，二级学院应制订针对学生原专业课程的学分置换方案，并报教务与实训管理处备案。</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四、学生管理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学生实行动态管理。二级学院每学期对学生的课程学习情况、技术研发情况、交流研讨情况、竞赛获奖情况、导师评价情况等方面进行考核，并根据实际情况制订“天工班”学生退出机制。无法适应“天工班”教学模式的学生可在期末申请退出“天工班”，退回原专业继续学习，同年级非“天工班”学生可按照相关选拔程序和要求，择优增补到“天工班”学习。</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五、导师管理</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（一）导师配备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配备育人理念先进、管理经验丰富的辅导员，全程负责学生思想、学习的管理，保障学生身心健康发展。每个学生配备具有责任心强、师德高尚、教学科研实践经验丰富的导师，全面负责学生的专业成长，具体指导学生制订学习计划，进行专业实践能力、科研能力培养和训练等工作，一般1个导师指导的学生不少于10人，二级学院根据实际情况可以给导师配备青年教师担任助教。</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（二）导师要求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“天工班”的导师应具有较强的责任心，并具备以下要求之一：</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1.学校优秀人才工作室主持人或大师工作室负责人或学校工程研究中心负责人。</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2.具有5年以上企业工作经历，有丰富的实践经验。</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3.中级以上的技术职称，目前正在主持或承担相关企业真实项目或科研课题。</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（三）导师考核</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二级学院每学期应对导师指导学生的情况、学生个性化培养方案执行情况、学生产出成果情况等方面进行考核，根据考核情况对导师队伍进行动态调整，对工作业绩突出、指导效果好的导师进行表彰。</w:t>
      </w:r>
    </w:p>
    <w:p>
      <w:pPr>
        <w:pageBreakBefore w:val="0"/>
        <w:numPr>
          <w:ilvl w:val="0"/>
          <w:numId w:val="9"/>
        </w:numPr>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教学管理</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（一）教学实施</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统一开设的课程教学环节按照学校教学管理相关规定执行。对于项目实践环节，可由二级学院参照项目课程、团队集体授课等方式进行导师工作量认定，项目实践过程的管理可参照目标管理的方式开展，但实践过程中的相关过程性记录应该完整详实，能准确反映项目实践的实施过程，确保项目按计划开展，高质量完成，达到预期的目标。</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（二）毕业要求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“天工班”学生至少满足以下毕业要求后，由学校颁发原专业毕业证书和“天工班”结业证书：</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1.完成人才培养方案规定的学分、活动分和诚信分。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2.至少完成一个科技或创新项目。</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3.至少在校级专业类比赛中获得二等奖及以上。</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4.二级学院规定的其他毕业要求。</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七、经费管理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进入“天工班”的学生不额外收取费用。每年每个“天工班”下拨10万元运行经费，经费主要用于耗材、资料购买印刷、学术交流、调研差旅费等“天工班”运行相关项目支出。</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八、附则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本办法由教务与实训管理处负责解释，自公布之日起生效。</w:t>
      </w:r>
    </w:p>
    <w:p>
      <w:pPr>
        <w:pageBreakBefore w:val="0"/>
        <w:kinsoku/>
        <w:wordWrap/>
        <w:overflowPunct/>
        <w:topLinePunct w:val="0"/>
        <w:bidi w:val="0"/>
        <w:spacing w:line="590" w:lineRule="exact"/>
        <w:outlineLvl w:val="9"/>
        <w:rPr>
          <w:rFonts w:ascii="黑体" w:hAnsi="黑体" w:eastAsia="黑体"/>
          <w:b/>
          <w:sz w:val="32"/>
          <w:szCs w:val="32"/>
        </w:rPr>
      </w:pPr>
    </w:p>
    <w:p>
      <w:pPr>
        <w:pageBreakBefore w:val="0"/>
        <w:widowControl/>
        <w:kinsoku/>
        <w:wordWrap/>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405" w:name="_Toc10886"/>
      <w:bookmarkStart w:id="406" w:name="_Toc18425"/>
      <w:bookmarkStart w:id="407" w:name="_Toc17921"/>
      <w:bookmarkStart w:id="408" w:name="_Toc20049"/>
      <w:r>
        <w:rPr>
          <w:rFonts w:hint="eastAsia"/>
          <w:b/>
          <w:color w:val="000000"/>
          <w:sz w:val="36"/>
          <w:szCs w:val="36"/>
        </w:rPr>
        <w:t>柳州职业技术学院专业群建设的指导性意见</w:t>
      </w:r>
      <w:bookmarkEnd w:id="405"/>
      <w:bookmarkEnd w:id="406"/>
      <w:bookmarkEnd w:id="407"/>
      <w:bookmarkEnd w:id="408"/>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柳职院教字〔2021〕16号)</w:t>
      </w:r>
    </w:p>
    <w:p>
      <w:pPr>
        <w:pageBreakBefore w:val="0"/>
        <w:tabs>
          <w:tab w:val="left" w:pos="8222"/>
        </w:tabs>
        <w:kinsoku/>
        <w:wordWrap/>
        <w:overflowPunct/>
        <w:topLinePunct w:val="0"/>
        <w:bidi w:val="0"/>
        <w:spacing w:line="560" w:lineRule="exact"/>
        <w:ind w:firstLine="600" w:firstLineChars="200"/>
        <w:outlineLvl w:val="9"/>
        <w:rPr>
          <w:rFonts w:hint="eastAsia" w:ascii="仿宋" w:hAnsi="仿宋" w:eastAsia="仿宋" w:cs="仿宋"/>
          <w:spacing w:val="-10"/>
          <w:sz w:val="32"/>
          <w:szCs w:val="32"/>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贯彻落实《国家职业教育改革实施方案》和《职业教育提质培优行动计划（2020—2023年）》，进一步推进专业集群化、资源集聚化、管理集约化，不断提升专业服务地方的能力，构建专业群资源共享机制和可持续发展机制。现就我校专业群建设提出如下意见。</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一、指导思想</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以习近平新时代中国特色社会主义思想为指导，贯彻落实职业教育改革精神，服务产业转型升级和区域经济发展需求，聚焦柳州千亿元产业、五百亿产业和新兴战略产业，科学规划、稳步推进专业群建设，以高水平专业群建设带动所有专业内涵建设和质量提升。根据“对接产业，定位高端，带动引领，协调发展”的思路，建设引领改革、支撑发展、特色鲜明的专业群，形成“制造业为主体，服务业为特色”的专业结构。 </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二、建设原则</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（一）对接区域产业链</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结合专业优势与特色，主动对接区域支柱产业和战略性新兴产业，适应产业转型升级需求，找准专业结构与产业结构的映射关系，遵循“产业背景相同，技术领域相近，专业基础相通，教学资源共享”的专业群组群逻辑。聚焦高端产业与产业高端，适应新技术、新工业、新业态的变化，准确定位人才培养目标。同一专业群内教学资源共享度和就业相关度高，不同专业群之间优势互补、特色鲜明。</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（二）专业群资源共享</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以牵头专业建设为引领，整合现有专业，形成集群式专业结构。打破原有专业之间、二级学院之间的壁垒，动态调整专业设置，整合、优化现有教学设施及实训基地，厘清各专业群之间、专业群内各专业之间关系，放大集群优势。专业群名称以群内最能体现专业群特色的专业名称命名，专业群中的各专业须遵照《职业教育专业目录（2021年）》，组群专业数一般控制在3-6个，专业群内容至少有不低于4门课程为平台课程。 </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（三）名师与团队支撑</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整合校内外师资力量，为专业群配备高水平带头人和教学创新团队。带头人原则上应为校级及以上教学名师、高层次人才等，鼓励为专业群配备校企双带头人。组建结构化“双师型”教师教学创新团队，生师比在13-20之间。建立健全企业工程技术人员、高技能人才和学校教师双向流动机制。</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三、专业群建设内容</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（一）创新人才培养模式</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落实立德树人根本任务，健全德技并修、工学结合育人机制，创新“双元三维四体系”卓越工匠育训模式，培养培训有理想信念、工匠精神、高超技艺的“素养·管理·创新”国际化复合型技术技能人才。鼓励和支持企业参与人才培养全过程，推进以专业群为单元的现代学徒制。以专业群为单元联合行业企业组建产业学院，联合开展招工招生、实训实习、质量评价、就业创业等工作，形成产教融合的人才培养模式。推进1+X证书制度试点工作，深化复合型技术技能人才培养模式改革。</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（二）课程体系与教学资源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面向产业链与岗位群需求，按照群平台共享、专业方向分立、X证书自选的思路，重构专业群“群平台+方向+X证书”课程结构。围绕专业群的产业定位和技术领域，按照群共享、方向分立、创研灵活的思路，重构专业群“群技术+方向技术+创研技术”实践体系。根据专业群人才培养目标，完善课程标准、实践教学标准，建设专业群教学资源库、在线精品课程。</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（三）教材建设与教法改革</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针对具体岗位职责和操作流程，引用企业真实案例，以专业群核心课程、共享课程为重点，采用新型活页式、工作手册式、项目式等新形态教材体例和模式，校企“双元”合作开发教材，配套开发文本、视频、动画立体教材。推进教法改革，以学习者为中心，打造优质课堂。提升教师信息技术应用能力，推广混合式教学模式。以来源于生产一线的真实项目为载体，普及课程模块教学、项目教学、工作过程导向教学、情景教学等。实施以真实项目为载体的“课程组”教学试点。建立“课程组”试题库，全面推行“教考分离”考试改革，推进和拓展“完一课，成一事”课程考核，实施“三阶段三等级”职业能力测试，构建具有柳职院特色的学生职业能力测试体系。</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（四）教师教学创新团队建设</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汇聚校内外优质人才资源，组建专兼结合的“双师型”团队，不断优化团队人员配备结构。团队教师全面参与人才培养方案优化、课程体系重构、课程标准开发、教学流程重建等工作。按照“四有标准、跨界融合、高端突破、整体提升”的思路，通过实施双师队伍卓越计划、领军人才大师名匠汇聚计划、教师研修成长计划、教师评价激励制度完善计划，强化师德引领，跨界汇聚高端人才，校企交融组建名师大师领衔的开放型教学团队和技术技能创新服务团队，实施“一师一案”持续精准培养，构建有效激发教师内生动力的评价激励机制，全面提高教师专业化水平，促进教师职业发展，加快建成高水平双师队伍。</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（五）产教融合平台建设</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建设产教融合、开放共享、资源集聚的专业群实践教学基地和教学服务平台。与区域主导行业产业的主流企业深化合作，创新产业学院、小微企业技术公共服务基地、产教融合型企业等合作实践载体。创新产教融合平台运营模式，建设融实践教学、技术服务、创新创业于一体的产教融合平台。深化校企双主体育人的中国特色现代学徒制和面向企业真实生产环境的任务式教学等培养模式改革，深入推进校企协同育人。</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（六）服务发展能力提升</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依托国家信息中心大数据工业应用柳州基地、国家小微企业创业创新示范城市，在学校现有协同创新研究院基础上，打造技术技能创新服务平台。通过技术开发与转让、技术咨询与服务等方式，加强与企业合作，提升专业群服务产业发展能力，推进科技成果转化与创新创业有效衔接。联合区域职业院校、职业培训机构、科研机构、行业协会及大中型企业培训中心共同参与，政校行企四方协同搭建终身学习培训平台，实现优质培训资源共享。响应“一带一路”倡议，开发并推广高质量专业教学标准和教学资源，培养培训国际化技术技能人才，输出中国标准。</w:t>
      </w:r>
    </w:p>
    <w:p>
      <w:pPr>
        <w:pageBreakBefore w:val="0"/>
        <w:kinsoku/>
        <w:wordWrap/>
        <w:overflowPunct/>
        <w:topLinePunct w:val="0"/>
        <w:bidi w:val="0"/>
        <w:spacing w:line="596" w:lineRule="exact"/>
        <w:ind w:firstLine="630" w:firstLineChars="196"/>
        <w:outlineLvl w:val="9"/>
        <w:rPr>
          <w:rFonts w:hint="eastAsia" w:ascii="楷体_GB2312" w:eastAsia="楷体_GB2312"/>
          <w:b/>
          <w:sz w:val="32"/>
          <w:szCs w:val="32"/>
        </w:rPr>
      </w:pPr>
      <w:r>
        <w:rPr>
          <w:rFonts w:hint="eastAsia" w:ascii="楷体_GB2312" w:eastAsia="楷体_GB2312"/>
          <w:b/>
          <w:sz w:val="32"/>
          <w:szCs w:val="32"/>
        </w:rPr>
        <w:t>（七）构建可持续发展机制</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定期开展社会需求调研，根据专业群结构与产业结构吻合度，对人才需求情况进行监测和分析，建立健全专业群跨界融合机制、专业群多元投入机制、专业群预警调整机制和专业群内外双控质量保证机制。</w:t>
      </w:r>
    </w:p>
    <w:p>
      <w:pPr>
        <w:pageBreakBefore w:val="0"/>
        <w:kinsoku/>
        <w:wordWrap/>
        <w:overflowPunct/>
        <w:topLinePunct w:val="0"/>
        <w:bidi w:val="0"/>
        <w:spacing w:line="596" w:lineRule="exact"/>
        <w:ind w:firstLine="640" w:firstLineChars="200"/>
        <w:outlineLvl w:val="9"/>
        <w:rPr>
          <w:rFonts w:ascii="仿宋" w:hAnsi="仿宋" w:eastAsia="仿宋" w:cs="仿宋"/>
          <w:snapToGrid w:val="0"/>
          <w:kern w:val="0"/>
          <w:sz w:val="32"/>
          <w:szCs w:val="22"/>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附件：柳州职业技术学院专业群建设参考标准</w:t>
      </w:r>
    </w:p>
    <w:p>
      <w:pPr>
        <w:pageBreakBefore w:val="0"/>
        <w:kinsoku/>
        <w:wordWrap/>
        <w:overflowPunct/>
        <w:topLinePunct w:val="0"/>
        <w:bidi w:val="0"/>
        <w:spacing w:line="560" w:lineRule="exact"/>
        <w:outlineLvl w:val="9"/>
        <w:rPr>
          <w:rFonts w:hint="eastAsia" w:ascii="仿宋" w:hAnsi="仿宋" w:eastAsia="仿宋" w:cs="仿宋"/>
          <w:snapToGrid w:val="0"/>
          <w:kern w:val="0"/>
          <w:sz w:val="32"/>
          <w:szCs w:val="22"/>
        </w:rPr>
      </w:pPr>
      <w:r>
        <w:rPr>
          <w:rFonts w:ascii="仿宋" w:hAnsi="仿宋" w:eastAsia="仿宋" w:cs="仿宋"/>
          <w:snapToGrid w:val="0"/>
          <w:kern w:val="0"/>
          <w:sz w:val="32"/>
          <w:szCs w:val="22"/>
        </w:rPr>
        <w:br w:type="page"/>
      </w:r>
      <w:r>
        <w:rPr>
          <w:rFonts w:hint="eastAsia" w:ascii="黑体" w:eastAsia="黑体"/>
          <w:sz w:val="32"/>
          <w:szCs w:val="32"/>
        </w:rPr>
        <w:t>附件：</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柳州职业技术学院专业群建设参考标准</w:t>
      </w:r>
    </w:p>
    <w:p>
      <w:pPr>
        <w:pageBreakBefore w:val="0"/>
        <w:kinsoku/>
        <w:wordWrap/>
        <w:overflowPunct/>
        <w:topLinePunct w:val="0"/>
        <w:bidi w:val="0"/>
        <w:spacing w:line="596" w:lineRule="exact"/>
        <w:jc w:val="center"/>
        <w:outlineLvl w:val="9"/>
        <w:rPr>
          <w:rFonts w:hint="eastAsia"/>
          <w:b/>
          <w:color w:val="000000"/>
          <w:sz w:val="36"/>
          <w:szCs w:val="36"/>
        </w:rPr>
      </w:pP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指标</w:t>
      </w: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指标说明</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专业群服务面向</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专业群服务面向准确，服务产业转型升级和区域经济发展需求。</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符合学校专业建设发展规划。</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组群逻辑</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有明确的专业结构与产业结构映射关系，专业群与产业的契合度高。</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专业群人才培养目标定位准确，定位高端产业或产业高端。</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专业群组群逻辑清晰，科学合理，核心专业能发挥示范辐射效应。</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综合实力</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专业群特色鲜明，优势明显，有较强业内影响力。</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组群专业数控制在3~6个，群内专业教学资源共享度、就业相关度较高，形成优势互补、协同发展的建设机制。</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教学团队</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专业群带头人为校级及以上教学名师、高层次人才等，参与教育教学改革研究与实践，主持省级及以上教研项目。</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专业群有结构化“双师型”教师教学创新团队，团队成员专业、职称、年龄、学历等结构合理。（70%的双师，15%的博士）</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办学条件</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校内外实践教学基地条件完备，实践教学体系科学合理，群内基地共享度高。</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与行业企业深入合作，与2个以上龙头企业有深入合作。</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专业群生源质量好，保持一定办学规模。</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4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④</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毕业生就业率、就业相关度、用人单位满意度高。</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人才培养模式创新</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坚持立德树人，在“双元三维四体系”的框架下，形成具有特色的人才培养模式。</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推进以专业群为单元的现代学徒制人才培养模式改革。</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 xml:space="preserve"> 推进1+X证书制度试点。</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课程体系与教学资源</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专业群课程体系科学合理，有不少于4门课程、12学分的专业共享平台课程，群内课程共享度高。</w:t>
      </w:r>
    </w:p>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课程标准制定完成率超过90%，开设不少于24学分的新技术课程</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有专业群教学资源库、在线精品课程等。</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教材建设与教法改革</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教材建设规划合理，教材编审、选用制度健全。</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校企合作开发新形态一体化教材、工作手册式教材、活页式教材等。</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推进新型教学方式和教学模式改革，实施“完一课成一事”考核方式改革。</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教师教学创新团队建设</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组建课程组结构化教学团队。</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团队教学实践能力强、应用技术研发水平高。</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实施教师能力提升专项培训，团队梯队建设合理，落实教师定期到企业实践的制度。</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产教融合平台建设</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校企共建产业学院。</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建设有产教融合实训基地。</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依托平台开展教育培训、实习实训、技能鉴定、技术研发等。有校企合作开发人才培养方案、课程和教材等。</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4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④</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产教融合平台运行管理机制完善，政行企校协同度高。</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服务发展能力提升</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面向服务领域开展技术开发、技术转让、技术咨询与技术服务。</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开展各类职业技能培训。</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3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③</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开发国际化的教学标准和教学资源，培训国际化技术技能人才，助力企业“走出去”。</w:t>
      </w:r>
    </w:p>
    <w:p>
      <w:pPr>
        <w:pageBreakBefore w:val="0"/>
        <w:kinsoku/>
        <w:wordWrap/>
        <w:overflowPunct/>
        <w:topLinePunct w:val="0"/>
        <w:bidi w:val="0"/>
        <w:outlineLvl w:val="9"/>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运行机制和质量保证</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1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①</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建立科学的专业群管理和运行机制，实现专业群建设状态数据的有效采集和更新。</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fldChar w:fldCharType="begin"/>
      </w:r>
      <w:r>
        <w:rPr>
          <w:rFonts w:hint="eastAsia" w:ascii="仿宋_GB2312" w:hAnsi="宋体" w:eastAsia="仿宋_GB2312" w:cs="宋体"/>
          <w:color w:val="000000"/>
          <w:kern w:val="0"/>
          <w:sz w:val="24"/>
          <w:lang w:bidi="ar"/>
        </w:rPr>
        <w:instrText xml:space="preserve"> = 2 \* GB3 \* MERGEFORMAT </w:instrText>
      </w:r>
      <w:r>
        <w:rPr>
          <w:rFonts w:hint="eastAsia" w:ascii="仿宋_GB2312" w:hAnsi="宋体" w:eastAsia="仿宋_GB2312" w:cs="宋体"/>
          <w:color w:val="000000"/>
          <w:kern w:val="0"/>
          <w:sz w:val="24"/>
          <w:lang w:bidi="ar"/>
        </w:rPr>
        <w:fldChar w:fldCharType="separate"/>
      </w:r>
      <w:r>
        <w:rPr>
          <w:rFonts w:hint="eastAsia" w:ascii="仿宋_GB2312" w:hAnsi="宋体" w:eastAsia="仿宋_GB2312" w:cs="宋体"/>
          <w:color w:val="000000"/>
          <w:kern w:val="0"/>
          <w:sz w:val="24"/>
          <w:lang w:bidi="ar"/>
        </w:rPr>
        <w:t>②</w:t>
      </w:r>
      <w:r>
        <w:rPr>
          <w:rFonts w:hint="eastAsia" w:ascii="仿宋_GB2312" w:hAnsi="宋体" w:eastAsia="仿宋_GB2312" w:cs="宋体"/>
          <w:color w:val="000000"/>
          <w:kern w:val="0"/>
          <w:sz w:val="24"/>
          <w:lang w:bidi="ar"/>
        </w:rPr>
        <w:fldChar w:fldCharType="end"/>
      </w:r>
      <w:r>
        <w:rPr>
          <w:rFonts w:hint="eastAsia" w:ascii="仿宋_GB2312" w:hAnsi="宋体" w:eastAsia="仿宋_GB2312" w:cs="宋体"/>
          <w:color w:val="000000"/>
          <w:kern w:val="0"/>
          <w:sz w:val="24"/>
          <w:lang w:bidi="ar"/>
        </w:rPr>
        <w:t>建立专业群建设成效自评系统，完善动态管理机制。</w:t>
      </w:r>
    </w:p>
    <w:p>
      <w:pPr>
        <w:pageBreakBefore w:val="0"/>
        <w:kinsoku/>
        <w:wordWrap/>
        <w:overflowPunct/>
        <w:topLinePunct w:val="0"/>
        <w:bidi w:val="0"/>
        <w:outlineLvl w:val="9"/>
      </w:pPr>
    </w:p>
    <w:p>
      <w:pPr>
        <w:pageBreakBefore w:val="0"/>
        <w:kinsoku/>
        <w:wordWrap/>
        <w:overflowPunct/>
        <w:topLinePunct w:val="0"/>
        <w:bidi w:val="0"/>
        <w:jc w:val="left"/>
        <w:outlineLvl w:val="9"/>
        <w:rPr>
          <w:rFonts w:hint="eastAsia" w:ascii="仿宋" w:hAnsi="仿宋" w:eastAsia="仿宋" w:cs="仿宋"/>
          <w:szCs w:val="21"/>
        </w:rPr>
      </w:pPr>
    </w:p>
    <w:p>
      <w:pPr>
        <w:pageBreakBefore w:val="0"/>
        <w:widowControl/>
        <w:kinsoku/>
        <w:wordWrap/>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409" w:name="_Toc32465"/>
      <w:bookmarkStart w:id="410" w:name="_Toc31453"/>
      <w:bookmarkStart w:id="411" w:name="_Toc7973"/>
      <w:bookmarkStart w:id="412" w:name="_Toc22257"/>
      <w:r>
        <w:rPr>
          <w:rFonts w:hint="eastAsia"/>
          <w:b/>
          <w:color w:val="000000"/>
          <w:sz w:val="36"/>
          <w:szCs w:val="36"/>
        </w:rPr>
        <w:t>柳州职业技术学院2021级高职专业（群）人才培养方案指导性意见</w:t>
      </w:r>
      <w:bookmarkEnd w:id="409"/>
      <w:bookmarkEnd w:id="410"/>
      <w:bookmarkEnd w:id="411"/>
      <w:bookmarkEnd w:id="412"/>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柳职院教字〔2021〕17号)</w:t>
      </w:r>
    </w:p>
    <w:p>
      <w:pPr>
        <w:pageBreakBefore w:val="0"/>
        <w:tabs>
          <w:tab w:val="left" w:pos="8222"/>
        </w:tabs>
        <w:kinsoku/>
        <w:wordWrap/>
        <w:overflowPunct/>
        <w:topLinePunct w:val="0"/>
        <w:bidi w:val="0"/>
        <w:spacing w:line="560" w:lineRule="exact"/>
        <w:ind w:firstLine="600" w:firstLineChars="200"/>
        <w:outlineLvl w:val="9"/>
        <w:rPr>
          <w:rFonts w:hint="eastAsia" w:ascii="仿宋" w:hAnsi="仿宋" w:eastAsia="仿宋" w:cs="仿宋"/>
          <w:spacing w:val="-10"/>
          <w:sz w:val="32"/>
          <w:szCs w:val="32"/>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为进一步落实我校“党建引领，聚力“双高”，彰显特色，建成国内一流高职名校”的发展战略，落实有理想信念、工匠精神、高超技艺的“素养·管理·创新”国际化复合型技术技能人才培养目标，全面提升人才培养质量，现对制订高职专业（群）人才培养方案提出以下指导性意见。</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一、指导思想</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以习近平新时代中国特色社会主义思想为指导，全面贯彻党的十九大精神和教育方针，贯彻落实《国家职业教育改革实施方案》（国发〔2019〕4号）、双高计划、提质培优计划、教育部《关于职业院校专业人才培养方案制订与实施工作的指导意见》（教职成〔2019〕13号）等文件精神，遵循高职教育教学的客观规律，以高质量就业为导向，以服务地方为宗旨，落实立德树人根本任务，把培育和践行社会主义核心价值观融入教育教学全过程。健全德技并修、工学结合育人机制，深化产教融合、校企合作，推进教师、教材、教法改革，培养有理想信念、工匠精神、高超技艺的“素养·管理·创新”国际化复合型技术技能人才。</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二、基本原则</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（一）坚持立德树人，德技双修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加强党对人才培养方案制订与实施工作的领导，落实立德树人根本任务，构建“思政课程+课程思政”大格局，培育和践行社会主义核心价值观，将专业精神、职业精神和工匠精神融入人才培养全过程，实现思想政治教育与技术技能培养的有机统一。创新思政课程教学模式，强化专业课教师立德树人意识，推动专业课教学与思想政治理论课教学紧密结合、同向同行。</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（二）推进“人工智能+”专业升级，聚焦高端，适应新技术新业态</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以职业教育国家教学标准为基本遵循，贯彻落实党和国家在课程设置、教学内容等方面的基本要求。聚焦高端产业和产业高端，紧密对接新技术、新模式、新业态发展，推进“人工智能+”专业升级。主动应对新一轮科技革命与产业变革，以智能制造、云计算、人工智能、机器人等新技术为引领，根据新技术、新模式、新业态发展总体要求，明确课程目标与优化课程内容，及时将新技术、新工艺、新规范纳入课程标准和教学内容。</w:t>
      </w:r>
    </w:p>
    <w:p>
      <w:pPr>
        <w:pageBreakBefore w:val="0"/>
        <w:kinsoku/>
        <w:wordWrap/>
        <w:overflowPunct/>
        <w:topLinePunct w:val="0"/>
        <w:bidi w:val="0"/>
        <w:spacing w:line="360" w:lineRule="auto"/>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405120" cy="2661920"/>
            <wp:effectExtent l="0" t="0" r="5080" b="5080"/>
            <wp:docPr id="254" name="图片 254" descr="C:\Users\ADMINI~1\AppData\Local\Temp\WeChat Files\4eab51435de990a3a7dedc3bb68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C:\Users\ADMINI~1\AppData\Local\Temp\WeChat Files\4eab51435de990a3a7dedc3bb68090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05120" cy="2661920"/>
                    </a:xfrm>
                    <a:prstGeom prst="rect">
                      <a:avLst/>
                    </a:prstGeom>
                    <a:noFill/>
                    <a:ln>
                      <a:noFill/>
                    </a:ln>
                  </pic:spPr>
                </pic:pic>
              </a:graphicData>
            </a:graphic>
          </wp:inline>
        </w:drawing>
      </w:r>
    </w:p>
    <w:p>
      <w:pPr>
        <w:pageBreakBefore w:val="0"/>
        <w:kinsoku/>
        <w:wordWrap/>
        <w:overflowPunct/>
        <w:topLinePunct w:val="0"/>
        <w:bidi w:val="0"/>
        <w:spacing w:line="360" w:lineRule="auto"/>
        <w:ind w:firstLine="640" w:firstLineChars="200"/>
        <w:jc w:val="cente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图：“卓越工匠”目标架构示意图</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（三）深化“双元三维四体系”卓越工匠育训模式</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深化“双元三维四体系”卓越工匠育训模式：学校与企业“双元”协同，铺设课堂、活动、环境“三维”育人路径，建设基本素养、专业技能、管理能力、创新创业“四体系”，培养培训“卓越工匠”。大力推进现代学徒制，稳步推进1+X证书制度试点。遵循学校卓越工匠育训模式，各专业（群）结合产业与专业的特点，形成和凝练具有专业特色人才培养模式。</w:t>
      </w:r>
    </w:p>
    <w:p>
      <w:pPr>
        <w:pageBreakBefore w:val="0"/>
        <w:kinsoku/>
        <w:wordWrap/>
        <w:overflowPunct/>
        <w:topLinePunct w:val="0"/>
        <w:bidi w:val="0"/>
        <w:spacing w:line="360" w:lineRule="auto"/>
        <w:ind w:firstLine="640" w:firstLineChars="200"/>
        <w:jc w:val="cente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89550" cy="3136900"/>
            <wp:effectExtent l="0" t="0" r="6350" b="6350"/>
            <wp:docPr id="253" name="图片 253" descr="C:\Users\ADMINI~1\AppData\Local\Temp\WeChat Files\80333e75cbeefd87199cd2e6cbaf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C:\Users\ADMINI~1\AppData\Local\Temp\WeChat Files\80333e75cbeefd87199cd2e6cbafb0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89550" cy="3136900"/>
                    </a:xfrm>
                    <a:prstGeom prst="rect">
                      <a:avLst/>
                    </a:prstGeom>
                    <a:noFill/>
                    <a:ln>
                      <a:noFill/>
                    </a:ln>
                  </pic:spPr>
                </pic:pic>
              </a:graphicData>
            </a:graphic>
          </wp:inline>
        </w:drawing>
      </w:r>
    </w:p>
    <w:p>
      <w:pPr>
        <w:pageBreakBefore w:val="0"/>
        <w:kinsoku/>
        <w:wordWrap/>
        <w:overflowPunct/>
        <w:topLinePunct w:val="0"/>
        <w:bidi w:val="0"/>
        <w:spacing w:line="360" w:lineRule="auto"/>
        <w:ind w:firstLine="640" w:firstLineChars="200"/>
        <w:jc w:val="cente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图：“双元三维四体系”卓越工匠育训模式示意图</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（四）深化“三教”（教师、教材、教法）改革</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建设符合项目式、模块化教学需要的教学创新团队，不断优化教师能力结构。健全教材选用制度，选用体现新技术、新工艺、新规范等的高质量教材。普及项目教学、案例教学、情境教学、模块化教学等教学方式，广泛运用启发式、探究式、讨论式、参与式等教学方法，推广翻转课堂、混合式教学、理实一体教学等新型教学模式，推动课堂教学革命，打造优质课堂。全面推行“教考分离”考试改革，推进和拓展“完一课，成一事”课程考核，实施“三阶段三等级”职业能力测试，构建具有柳职特色的学生职业能力测试体系。</w:t>
      </w:r>
    </w:p>
    <w:p>
      <w:pPr>
        <w:pageBreakBefore w:val="0"/>
        <w:kinsoku/>
        <w:wordWrap/>
        <w:overflowPunct/>
        <w:topLinePunct w:val="0"/>
        <w:bidi w:val="0"/>
        <w:spacing w:line="360" w:lineRule="auto"/>
        <w:ind w:firstLine="643"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（五）建立专业群可持续发展保障机制</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产业为逻辑起点，确定专业群对接的产业链领域，按照产业背景相同、技术领域相近、专业基础相通、教学资源共享的原则组建专业群。建立专业跨界融合机制，构建群平台课程、结构化教学团队、共享型基地，实现集群共享，协同发展。建立健全行业企业、第三方评价机构等多方参与的专业人才培养方案动态调整机制。构建对接地方高端产业链的专业群预警设置机制与对接产业转型升级的专业群调整机制。开展专业、课程、基地、师资教学质量内部诊断与改进，建立内外双控质量保证机制。</w:t>
      </w:r>
    </w:p>
    <w:p>
      <w:pPr>
        <w:pageBreakBefore w:val="0"/>
        <w:kinsoku/>
        <w:wordWrap/>
        <w:overflowPunct/>
        <w:topLinePunct w:val="0"/>
        <w:bidi w:val="0"/>
        <w:spacing w:line="596" w:lineRule="exact"/>
        <w:ind w:firstLine="643" w:firstLineChars="200"/>
        <w:jc w:val="left"/>
        <w:outlineLvl w:val="9"/>
        <w:rPr>
          <w:rFonts w:hint="eastAsia" w:ascii="黑体" w:hAnsi="黑体" w:eastAsia="黑体" w:cs="黑体"/>
          <w:b/>
          <w:bCs/>
          <w:sz w:val="32"/>
          <w:szCs w:val="32"/>
        </w:rPr>
      </w:pPr>
      <w:r>
        <w:rPr>
          <w:rFonts w:hint="eastAsia" w:ascii="黑体" w:hAnsi="黑体" w:eastAsia="黑体" w:cs="黑体"/>
          <w:b/>
          <w:bCs/>
          <w:sz w:val="32"/>
          <w:szCs w:val="32"/>
        </w:rPr>
        <w:t>三、专业人才培养方案制订的流程</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在做好专业群产业分析，找准专业群（专业）定位的基础上，召开工作任务分析会，原则上按照“七步循环法”（见附件1）来制订人才培养方案。</w:t>
      </w:r>
    </w:p>
    <w:p>
      <w:pPr>
        <w:pageBreakBefore w:val="0"/>
        <w:kinsoku/>
        <w:wordWrap/>
        <w:overflowPunct/>
        <w:topLinePunct w:val="0"/>
        <w:bidi w:val="0"/>
        <w:spacing w:line="596" w:lineRule="exact"/>
        <w:ind w:firstLine="643" w:firstLineChars="200"/>
        <w:jc w:val="left"/>
        <w:outlineLvl w:val="9"/>
        <w:rPr>
          <w:rFonts w:hint="eastAsia" w:ascii="黑体" w:hAnsi="黑体" w:eastAsia="黑体" w:cs="黑体"/>
          <w:b/>
          <w:bCs/>
          <w:sz w:val="32"/>
          <w:szCs w:val="32"/>
        </w:rPr>
      </w:pPr>
      <w:r>
        <w:rPr>
          <w:rFonts w:hint="eastAsia" w:ascii="黑体" w:hAnsi="黑体" w:eastAsia="黑体" w:cs="黑体"/>
          <w:b/>
          <w:bCs/>
          <w:sz w:val="32"/>
          <w:szCs w:val="32"/>
        </w:rPr>
        <w:t>四、专业人才培养方案的主要内容</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（一）专业群基本信息（一个专业群仅写一份）</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1.专业群包含的专业一览表</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2.专业群与产业链分析</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（1）专业群与产业链的对应性</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（2）专业群人才培养定位</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（3）群内专业的逻辑性</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3.专业群课程体系结构</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4.专业群实践教学体系结构</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（二）专业基本信息</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1.专业名称及代码</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2.入学要求</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3.修业年限</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4.职业面向</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5.制订人员</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（三）专业培养目标与毕业要求</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1.培养目标</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2.毕业要求</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（四）人才培养模式</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（五）“双元三维四体系”设计</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1.课程体系结构表</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2.基本素养体系设计</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3.专业技能体系设计</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4.管理能力体系设计</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5.创新创业体系设计</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（六）人才培养工作安排</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1.教学活动时间分配表</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2.课程学分学时比例构成表</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3.第一课堂进程安排</w:t>
      </w:r>
    </w:p>
    <w:p>
      <w:pPr>
        <w:pageBreakBefore w:val="0"/>
        <w:kinsoku/>
        <w:wordWrap/>
        <w:overflowPunct/>
        <w:topLinePunct w:val="0"/>
        <w:bidi w:val="0"/>
        <w:spacing w:line="360" w:lineRule="auto"/>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4.第二课堂教育活动进程安排</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5.专业选修课安排</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（七）实施保障</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1.实训基地配备</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2.结构化教学团队</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3.教学资源</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4.教学方法</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5.学习评价</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6.质量管理</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（八）有关人才培养方案的补充说明</w:t>
      </w:r>
    </w:p>
    <w:p>
      <w:pPr>
        <w:pageBreakBefore w:val="0"/>
        <w:kinsoku/>
        <w:wordWrap/>
        <w:overflowPunct/>
        <w:topLinePunct w:val="0"/>
        <w:bidi w:val="0"/>
        <w:spacing w:line="596" w:lineRule="exact"/>
        <w:ind w:firstLine="643" w:firstLineChars="200"/>
        <w:jc w:val="left"/>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（九）附件</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1.课程对应的职业资格/技能等级证书一览表</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2.职业能力等级标准</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3.专业社会调研报告</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专业（群）人才培养方案的主要内容说明见附件2，第一课堂课程说明和进程安排见附件3，第二课堂教育活动进程安排见附件4，专业社会调研报告框架（参考）见附件5。</w:t>
      </w:r>
    </w:p>
    <w:p>
      <w:pPr>
        <w:pageBreakBefore w:val="0"/>
        <w:kinsoku/>
        <w:wordWrap/>
        <w:overflowPunct/>
        <w:topLinePunct w:val="0"/>
        <w:bidi w:val="0"/>
        <w:spacing w:line="596" w:lineRule="exact"/>
        <w:ind w:firstLine="643" w:firstLineChars="200"/>
        <w:jc w:val="left"/>
        <w:outlineLvl w:val="9"/>
        <w:rPr>
          <w:rFonts w:hint="eastAsia" w:ascii="黑体" w:hAnsi="黑体" w:eastAsia="黑体" w:cs="黑体"/>
          <w:b/>
          <w:bCs/>
          <w:sz w:val="32"/>
          <w:szCs w:val="32"/>
        </w:rPr>
      </w:pPr>
      <w:r>
        <w:rPr>
          <w:rFonts w:hint="eastAsia" w:ascii="黑体" w:hAnsi="黑体" w:eastAsia="黑体" w:cs="黑体"/>
          <w:b/>
          <w:bCs/>
          <w:sz w:val="32"/>
          <w:szCs w:val="32"/>
        </w:rPr>
        <w:t>五、专业人才培养方案的管理和执行</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培养方案经二级学院组织专业建设指导委员会（含行业企业专家、教研机构人员、一线教师、学生（毕业生）代表）论证通过后，报教务与实训管理处审核，呈分管教学工作的副校长审批，提交学校党委会审定后方可执行。</w:t>
      </w: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596"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附件：1.专业人才培养方案制订“七步循环法”</w:t>
      </w:r>
    </w:p>
    <w:p>
      <w:pPr>
        <w:pageBreakBefore w:val="0"/>
        <w:kinsoku/>
        <w:wordWrap/>
        <w:overflowPunct/>
        <w:topLinePunct w:val="0"/>
        <w:bidi w:val="0"/>
        <w:spacing w:line="596" w:lineRule="exact"/>
        <w:ind w:firstLine="1600" w:firstLineChars="5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2.专业（群）人才培养方案的主要内容说明</w:t>
      </w:r>
    </w:p>
    <w:p>
      <w:pPr>
        <w:pageBreakBefore w:val="0"/>
        <w:kinsoku/>
        <w:wordWrap/>
        <w:overflowPunct/>
        <w:topLinePunct w:val="0"/>
        <w:bidi w:val="0"/>
        <w:spacing w:line="596" w:lineRule="exact"/>
        <w:ind w:firstLine="1600" w:firstLineChars="5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3.第一课堂课程说明和进程安排</w:t>
      </w:r>
    </w:p>
    <w:p>
      <w:pPr>
        <w:pageBreakBefore w:val="0"/>
        <w:kinsoku/>
        <w:wordWrap/>
        <w:overflowPunct/>
        <w:topLinePunct w:val="0"/>
        <w:bidi w:val="0"/>
        <w:spacing w:line="596" w:lineRule="exact"/>
        <w:ind w:firstLine="1600" w:firstLineChars="5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4.第二课堂教育活动进程安排</w:t>
      </w:r>
    </w:p>
    <w:p>
      <w:pPr>
        <w:pageBreakBefore w:val="0"/>
        <w:kinsoku/>
        <w:wordWrap/>
        <w:overflowPunct/>
        <w:topLinePunct w:val="0"/>
        <w:bidi w:val="0"/>
        <w:spacing w:line="596" w:lineRule="exact"/>
        <w:ind w:firstLine="1600" w:firstLineChars="5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5.专业社会调研报告框架（参考）</w:t>
      </w:r>
    </w:p>
    <w:p>
      <w:pPr>
        <w:pageBreakBefore w:val="0"/>
        <w:kinsoku/>
        <w:wordWrap/>
        <w:overflowPunct/>
        <w:topLinePunct w:val="0"/>
        <w:bidi w:val="0"/>
        <w:spacing w:line="596" w:lineRule="exact"/>
        <w:ind w:firstLine="1600" w:firstLineChars="5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6.职业教育专业目录（2021）</w:t>
      </w:r>
    </w:p>
    <w:p>
      <w:pPr>
        <w:pageBreakBefore w:val="0"/>
        <w:kinsoku/>
        <w:wordWrap/>
        <w:overflowPunct/>
        <w:topLinePunct w:val="0"/>
        <w:bidi w:val="0"/>
        <w:spacing w:line="596" w:lineRule="exact"/>
        <w:jc w:val="left"/>
        <w:outlineLvl w:val="9"/>
        <w:rPr>
          <w:rFonts w:hint="eastAsia" w:ascii="黑体" w:eastAsia="黑体"/>
          <w:sz w:val="32"/>
          <w:szCs w:val="32"/>
        </w:rPr>
      </w:pPr>
      <w:r>
        <w:rPr>
          <w:rFonts w:hint="eastAsia" w:ascii="黑体" w:eastAsia="黑体"/>
          <w:sz w:val="32"/>
          <w:szCs w:val="32"/>
        </w:rPr>
        <w:t>附件1：</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专业人才培养方案制订“七步循环法”</w:t>
      </w:r>
    </w:p>
    <w:tbl>
      <w:tblPr>
        <w:tblStyle w:val="17"/>
        <w:tblW w:w="92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48"/>
        <w:gridCol w:w="5037"/>
        <w:gridCol w:w="1268"/>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203" w:type="dxa"/>
            <w:gridSpan w:val="2"/>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步骤</w:t>
            </w:r>
          </w:p>
        </w:tc>
        <w:tc>
          <w:tcPr>
            <w:tcW w:w="5037"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主要任务</w:t>
            </w:r>
          </w:p>
        </w:tc>
        <w:tc>
          <w:tcPr>
            <w:tcW w:w="1268"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成果</w:t>
            </w: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输出</w:t>
            </w:r>
          </w:p>
        </w:tc>
        <w:tc>
          <w:tcPr>
            <w:tcW w:w="1754"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参与人员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5" w:hRule="atLeast"/>
          <w:jc w:val="center"/>
        </w:trPr>
        <w:tc>
          <w:tcPr>
            <w:tcW w:w="455"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第一步</w:t>
            </w:r>
          </w:p>
        </w:tc>
        <w:tc>
          <w:tcPr>
            <w:tcW w:w="74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社会调研</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产业分析：通过组织行业、企业专家，进行专业群产业分析，确定产业的整体发展状况，本地产业和企业的状况，产业链的构成，产业链中的高端领域，产业链包括的岗位（工种），各岗位（工种）技术链的构成，技术链中的共性技术。</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明确专业群组群逻辑和主要服务产业链。</w:t>
            </w:r>
          </w:p>
        </w:tc>
        <w:tc>
          <w:tcPr>
            <w:tcW w:w="126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调研报告</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行业、企业、政府专家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455"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2.工作任务分析：通过组织企业一线技术专家进行头脑风暴、深入访谈和工作日记分析，确定工作领域，典型工作任务以及职业能力要求。</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专业教师、企业专家、教育学专家、公共课教师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55"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调研：采取“三访一研”（访行业企业、其他院校、毕业生，形成调研报告）的形式，确定培养目标和岗位要求。调研对象包括行业企业、其他院校、毕业生等。找准在广西区内、国内同类院校相同或相类似专业的定位。</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专业教师、公共课教师、学生管理人员、校内外教学质量监控小组成员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455" w:type="dxa"/>
            <w:vMerge w:val="restart"/>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第二步</w:t>
            </w:r>
          </w:p>
        </w:tc>
        <w:tc>
          <w:tcPr>
            <w:tcW w:w="748" w:type="dxa"/>
            <w:vMerge w:val="restart"/>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课程体系构建</w:t>
            </w:r>
          </w:p>
        </w:tc>
        <w:tc>
          <w:tcPr>
            <w:tcW w:w="5037" w:type="dxa"/>
            <w:shd w:val="clear" w:color="auto" w:fill="FFFFFF"/>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1.设计以通识教育、课程思政、劳动教育、艺术教育为重点的基本素养体系</w:t>
            </w:r>
          </w:p>
        </w:tc>
        <w:tc>
          <w:tcPr>
            <w:tcW w:w="126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课程体系结构</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公共课教师、教育学专家、学生管理人员、专业教师、企业专家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jc w:val="center"/>
        </w:trPr>
        <w:tc>
          <w:tcPr>
            <w:tcW w:w="455"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 设计以新技术为引领的专业技能体系：以产业分析、工作任务分析结果为依据，紧密对接产业链，将新工艺、新技术、新知识及时纳入教学内容，开发与行业、企业人才需求相匹配的新技术课程。</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公共课教师、教育学专家、学生管理人员、专业教师、企业专家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455"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shd w:val="clear" w:color="auto" w:fill="FFFFFF"/>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 设计以精益生产、基层管理、全员管理为重点的管理能力体系：以培养自我管理能力、基层管理能力和精益生产管理能力为目标，开设管理类课程并把管理能力融入专业课程。</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专业教师、技术专家、公共课教师、教育学专家、学生管理人员、企业专家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5" w:hRule="atLeast"/>
          <w:jc w:val="center"/>
        </w:trPr>
        <w:tc>
          <w:tcPr>
            <w:tcW w:w="455"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shd w:val="clear" w:color="auto" w:fill="auto"/>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设计以构建校企政多方协同的创新创业生态圈为重点的创新创业体系：系统设计创新创业教育，构建创新创业课程群，建设双创基地，坚持工学结合，加强认知能力、合作能力、创新能力和职业能力培养。</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公共课教师、教育学专家、学生管理人员、专业教师、企业专家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5" w:hRule="atLeast"/>
          <w:jc w:val="center"/>
        </w:trPr>
        <w:tc>
          <w:tcPr>
            <w:tcW w:w="455"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第三步</w:t>
            </w:r>
          </w:p>
        </w:tc>
        <w:tc>
          <w:tcPr>
            <w:tcW w:w="74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课程标准和活动方案的制订</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1.基本素养体系、管理能力体系、创新创业体系课程群开发：主要任务是结合专业特点，有针对性地选择教学内容、教学方法和考核方式，确定公共课的课程标准和基本素质第二课堂教育活动的活动方案。</w:t>
            </w:r>
          </w:p>
        </w:tc>
        <w:tc>
          <w:tcPr>
            <w:tcW w:w="126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课程标准；活动方案</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公共课教师、教育学专家、学生管理人员、专业教师、企业专家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jc w:val="center"/>
        </w:trPr>
        <w:tc>
          <w:tcPr>
            <w:tcW w:w="455"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2.专业技能体系课程群开发：主要任务是有针对性地选择教学内容、教学方法和考核方式，确定专业基础课、专业核心课、专业拓展课、实习等的课程标准、专业技能大赛的具体方案及考核标准等。</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专业教师、企业专家、教育学专家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455"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第四步</w:t>
            </w:r>
          </w:p>
        </w:tc>
        <w:tc>
          <w:tcPr>
            <w:tcW w:w="74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人才培养方案论证、审核</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1.专业建设指导委员会对人才培养方案进行论证和审核，并修订完善人才培养方案；二级学院院领导审核。</w:t>
            </w:r>
          </w:p>
        </w:tc>
        <w:tc>
          <w:tcPr>
            <w:tcW w:w="1268" w:type="dxa"/>
            <w:vMerge w:val="restart"/>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人才培养方案；审核意见表</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专业建设指导委员会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455"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2.学校组织论证会，对人才培养方案进行论证和审核。</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行业企业、教研机构、校内外一线教师和学生代表组成论证专家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455"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4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3.对专业人才培养方案进行论证后，提交校级党委会审定。</w:t>
            </w:r>
          </w:p>
        </w:tc>
        <w:tc>
          <w:tcPr>
            <w:tcW w:w="1268" w:type="dxa"/>
            <w:vMerge w:val="continue"/>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校党委委员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8" w:hRule="atLeast"/>
          <w:jc w:val="center"/>
        </w:trPr>
        <w:tc>
          <w:tcPr>
            <w:tcW w:w="455"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第五步</w:t>
            </w:r>
          </w:p>
        </w:tc>
        <w:tc>
          <w:tcPr>
            <w:tcW w:w="74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人才培养方案保障条件设计和建设</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确定能够满足人才培养方案实施所需要的师资队伍和实训条件的建设思路和具体落实，并加强和完善人才培养方案实施的保障制度建设。</w:t>
            </w:r>
          </w:p>
        </w:tc>
        <w:tc>
          <w:tcPr>
            <w:tcW w:w="126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实训基地、师资队伍建设规划</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专业教师、企业兼职教师、公共课教师、学生管理人员、校内外教学质量监控小组成员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5" w:hRule="atLeast"/>
          <w:jc w:val="center"/>
        </w:trPr>
        <w:tc>
          <w:tcPr>
            <w:tcW w:w="455"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第六步</w:t>
            </w:r>
          </w:p>
        </w:tc>
        <w:tc>
          <w:tcPr>
            <w:tcW w:w="74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人才培养方案实施</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1.第一课堂教学实施：根据人才培养目标要求，按照课程标准，组织学校专任教师、企业兼职教师及辅导员共同实施课程教学和学生管理，教学质量监控组督导教学过程，保证教学质量；</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基本素质第二课堂教育活动实施：根据职业素养和职业核心能力的培养要求，开设素质教育选修课、讲座培训拓展课和综合实践活动课，组织学生开展校园文化实践和社会实践，进行技能竞赛、科技创新等活动，增强实践能力，培养创新能力，提高综合素质。</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环境维度实施：按照人才培养目标要求，构建四个体系环境，建设双创中心、协同创新研究院、精益实训文化，构建群技术、方向技术+创研技术的产教融合型实训基地，“匠心柳职”文化、精致化校园等，通过环境育人，提高综合素养。</w:t>
            </w:r>
          </w:p>
        </w:tc>
        <w:tc>
          <w:tcPr>
            <w:tcW w:w="126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人才培养方案实施计划；教学异动表</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专业教师、企业兼职教师、公共课教师、学生管理人员、校内外教学质量监控小组成员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5" w:hRule="atLeast"/>
          <w:jc w:val="center"/>
        </w:trPr>
        <w:tc>
          <w:tcPr>
            <w:tcW w:w="455"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第七步</w:t>
            </w:r>
          </w:p>
        </w:tc>
        <w:tc>
          <w:tcPr>
            <w:tcW w:w="74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人才培养方案实施效果反馈</w:t>
            </w:r>
          </w:p>
        </w:tc>
        <w:tc>
          <w:tcPr>
            <w:tcW w:w="503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1.实施课堂教学质量等级评定，通过督导、学生信息员、二级学院教学质量监控小组，收集课程教学反馈信息；</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2.通过对毕业生追踪调查和走访用人单位，第三方评价，收集毕业生及用人单位对人才培养方案实施的意见和建议；</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3.根据各方反馈信息，对人才培养方案进行及时反思和进一步完善。</w:t>
            </w:r>
          </w:p>
        </w:tc>
        <w:tc>
          <w:tcPr>
            <w:tcW w:w="1268"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人才培养质量报告；课程报告</w:t>
            </w:r>
          </w:p>
        </w:tc>
        <w:tc>
          <w:tcPr>
            <w:tcW w:w="1754"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专业教师、企业兼职教师、公共课教师、学生管理人员、校内外教学质量监控小组成员</w:t>
            </w:r>
          </w:p>
        </w:tc>
      </w:tr>
    </w:tbl>
    <w:p>
      <w:pPr>
        <w:pageBreakBefore w:val="0"/>
        <w:kinsoku/>
        <w:wordWrap/>
        <w:overflowPunct/>
        <w:topLinePunct w:val="0"/>
        <w:bidi w:val="0"/>
        <w:spacing w:line="360" w:lineRule="auto"/>
        <w:jc w:val="left"/>
        <w:outlineLvl w:val="9"/>
        <w:rPr>
          <w:rFonts w:ascii="宋体" w:hAnsi="宋体"/>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sectPr>
          <w:pgSz w:w="11906" w:h="16838"/>
          <w:pgMar w:top="1440" w:right="1474" w:bottom="1440" w:left="1587" w:header="851" w:footer="992" w:gutter="0"/>
          <w:pgNumType w:fmt="decimal"/>
          <w:cols w:space="425" w:num="1"/>
          <w:docGrid w:type="lines" w:linePitch="312" w:charSpace="0"/>
        </w:sectPr>
      </w:pPr>
    </w:p>
    <w:p>
      <w:pPr>
        <w:pageBreakBefore w:val="0"/>
        <w:kinsoku/>
        <w:wordWrap/>
        <w:overflowPunct/>
        <w:topLinePunct w:val="0"/>
        <w:bidi w:val="0"/>
        <w:spacing w:line="596" w:lineRule="exact"/>
        <w:jc w:val="left"/>
        <w:outlineLvl w:val="9"/>
        <w:rPr>
          <w:rFonts w:hint="eastAsia" w:ascii="黑体" w:eastAsia="黑体"/>
          <w:sz w:val="32"/>
          <w:szCs w:val="32"/>
        </w:rPr>
      </w:pPr>
      <w:r>
        <w:rPr>
          <w:rFonts w:hint="eastAsia" w:ascii="黑体" w:eastAsia="黑体"/>
          <w:sz w:val="32"/>
          <w:szCs w:val="32"/>
        </w:rPr>
        <w:t>附件2：</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专业（群）人才培养方案的主要内容说明</w:t>
      </w:r>
    </w:p>
    <w:p>
      <w:pPr>
        <w:pageBreakBefore w:val="0"/>
        <w:kinsoku/>
        <w:wordWrap/>
        <w:overflowPunct/>
        <w:topLinePunct w:val="0"/>
        <w:bidi w:val="0"/>
        <w:spacing w:line="596" w:lineRule="exact"/>
        <w:jc w:val="center"/>
        <w:outlineLvl w:val="9"/>
        <w:rPr>
          <w:rFonts w:hint="eastAsia"/>
          <w:b/>
          <w:color w:val="000000"/>
          <w:sz w:val="36"/>
          <w:szCs w:val="36"/>
        </w:rPr>
      </w:pP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一、专业群基本信息</w:t>
      </w:r>
    </w:p>
    <w:p>
      <w:pPr>
        <w:pageBreakBefore w:val="0"/>
        <w:kinsoku/>
        <w:wordWrap/>
        <w:overflowPunct/>
        <w:topLinePunct w:val="0"/>
        <w:bidi w:val="0"/>
        <w:spacing w:line="596" w:lineRule="exact"/>
        <w:ind w:firstLine="643" w:firstLineChars="200"/>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（一）专业群包含的专业一览表</w:t>
      </w:r>
    </w:p>
    <w:tbl>
      <w:tblPr>
        <w:tblStyle w:val="17"/>
        <w:tblpPr w:leftFromText="180" w:rightFromText="180" w:vertAnchor="text" w:horzAnchor="margin" w:tblpXSpec="center" w:tblpY="67"/>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5"/>
        <w:gridCol w:w="1970"/>
        <w:gridCol w:w="1304"/>
        <w:gridCol w:w="2073"/>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exact"/>
          <w:jc w:val="center"/>
        </w:trPr>
        <w:tc>
          <w:tcPr>
            <w:tcW w:w="130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专业群  名称</w:t>
            </w:r>
          </w:p>
        </w:tc>
        <w:tc>
          <w:tcPr>
            <w:tcW w:w="19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专业名称</w:t>
            </w:r>
          </w:p>
        </w:tc>
        <w:tc>
          <w:tcPr>
            <w:tcW w:w="1304"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专业代码</w:t>
            </w:r>
          </w:p>
        </w:tc>
        <w:tc>
          <w:tcPr>
            <w:tcW w:w="207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所属专业大类及代码</w:t>
            </w:r>
          </w:p>
        </w:tc>
        <w:tc>
          <w:tcPr>
            <w:tcW w:w="18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所属专业类及代码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1305" w:type="dxa"/>
            <w:vMerge w:val="restart"/>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9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304"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207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8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0" w:hRule="exact"/>
          <w:jc w:val="center"/>
        </w:trPr>
        <w:tc>
          <w:tcPr>
            <w:tcW w:w="1305" w:type="dxa"/>
            <w:vMerge w:val="continue"/>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9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304"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207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870"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bl>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专业名称和专业代码、所属专业大类（代码）、所属专业类（代码）按照教育部颁布的《职业教育专业目录（2021年）》填写。</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（二）专业群与产业链分析</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1.专业群与产业链的对应性</w:t>
      </w:r>
    </w:p>
    <w:p>
      <w:pPr>
        <w:pageBreakBefore w:val="0"/>
        <w:kinsoku/>
        <w:wordWrap/>
        <w:overflowPunct/>
        <w:topLinePunct w:val="0"/>
        <w:bidi w:val="0"/>
        <w:spacing w:line="596" w:lineRule="exact"/>
        <w:ind w:firstLine="640" w:firstLineChars="200"/>
        <w:jc w:val="left"/>
        <w:outlineLvl w:val="9"/>
        <w:rPr>
          <w:rFonts w:ascii="仿宋_GB2312" w:eastAsia="仿宋_GB2312"/>
          <w:sz w:val="32"/>
          <w:szCs w:val="32"/>
        </w:rPr>
      </w:pPr>
      <w:r>
        <w:rPr>
          <w:rFonts w:hint="eastAsia" w:ascii="仿宋_GB2312" w:eastAsia="仿宋_GB2312"/>
          <w:sz w:val="32"/>
          <w:szCs w:val="32"/>
        </w:rPr>
        <w:t>专业群应开展新一轮的产业分析，明确专业群对接的产业，并画出专业群对接产业的示意图。专业群对接的产业应是地方重点发展的产业、技术技能人才紧缺的产业，聚焦人工智能、两化融合等产业高端。</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2.专业群人才培养定位</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专业群人才培养定位的领域、岗位、技术应是产业中技术含量高、附加值高、难以通过短期培训替代、具有就业竞争力的领域、岗位或技术。</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3.群内专业的逻辑性</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按照“产业背景相同、技术领域相近、专业基础相通、教学资源共享”的原则组建专业群。一般3-6个专业组成一个专业群，群内专业有共享合作企业、共享用人单位、共享专业课程、共享校内实训基地。共享的平台课程应至少3门。在特殊情况下，可以允许个别专业的共享性稍弱。</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（三）专业群课程体系结构</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根据专业群的组群逻辑和专业特点，用简图表达专业群课程体系结构。主要包含两个方面的内容：（1）课程体系描述；（2）课程体系结构图。</w:t>
      </w:r>
    </w:p>
    <w:p>
      <w:pPr>
        <w:pageBreakBefore w:val="0"/>
        <w:kinsoku/>
        <w:wordWrap/>
        <w:overflowPunct/>
        <w:topLinePunct w:val="0"/>
        <w:bidi w:val="0"/>
        <w:spacing w:line="596" w:lineRule="exact"/>
        <w:ind w:firstLine="640" w:firstLineChars="200"/>
        <w:jc w:val="left"/>
        <w:outlineLvl w:val="9"/>
        <w:rPr>
          <w:rFonts w:ascii="仿宋_GB2312" w:eastAsia="仿宋_GB2312"/>
          <w:sz w:val="32"/>
          <w:szCs w:val="32"/>
        </w:rPr>
      </w:pPr>
      <w:r>
        <w:rPr>
          <w:rFonts w:hint="eastAsia" w:ascii="仿宋_GB2312" w:eastAsia="仿宋_GB2312"/>
          <w:sz w:val="32"/>
          <w:szCs w:val="32"/>
        </w:rPr>
        <w:t>学校提出重构专业群“群平台+方向+X证书”课程结构。“群平台”是共性专业群平台，面向群内所有专业，体现了专业群内专业面向产业的共性技术，注重培养学生的可持续发展能力；“方向”是专业方向，体现专业群内专业之间的差异，决定专业的定位和培养目标，注重培养学生的就业能力；“X证书”课程是指专业课程与职业技能等级证书有机融合，注重培养学生的跨专业能力和符合职业能力，促进学生个性成才。</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（四）专业群实践教学体系结构</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实践教学体系是对实践教学过程所涉及的各种要素及其相互关系的系统设计，根据专业群的组群逻辑和专业特点，用简图表达专业群实践教学体系。主要包含两个方面的内容：（1）实践教学体系描述；（2）实践教学体系结构图。</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实践教学体系应不同于课程体系和实训室体系，实践教学体系体现实训内容的分类，以及各实训内容之间的关系。围绕专业群的产业定位和技术领域，按照群共享、方向分立、创研灵活的思路，重构专业群“群共性技术+方向技术+创研技术”实践体系，从实践目标、实践内容、运行与保障等方面系统设计实验实训、创新研发、生产实习、社会实践等实践教学环节。</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二、专业基本信息</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（一）专业名称及代码</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专业名称和专业代码、所属专业大类（代码）、所属专业类（代码）按照教育部颁布的《职业教育专业目录（2021年）》填写。</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（二）入学要求</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一般为高中阶段教育毕业生或具有同等学力者（高中毕业/中职毕业）。</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（三）修业年限</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基本学制3年，弹性学习年限2-8年。</w:t>
      </w:r>
    </w:p>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（四）职业面向</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以表格的形式呈现。包括本专业所对应的行业、主要职业类别、主要岗位类别（或技术领域）职业技能等级证书、社会认可度高的行业企业标准和证书举例。</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5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3447" w:type="dxa"/>
            <w:vAlign w:val="center"/>
          </w:tcPr>
          <w:p>
            <w:pPr>
              <w:pageBreakBefore w:val="0"/>
              <w:widowControl/>
              <w:kinsoku/>
              <w:wordWrap/>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专业对应行业</w:t>
            </w:r>
          </w:p>
        </w:tc>
        <w:tc>
          <w:tcPr>
            <w:tcW w:w="5075" w:type="dxa"/>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447"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专业对应的主要职业类别</w:t>
            </w:r>
          </w:p>
        </w:tc>
        <w:tc>
          <w:tcPr>
            <w:tcW w:w="5075" w:type="dxa"/>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3447" w:type="dxa"/>
            <w:vAlign w:val="center"/>
          </w:tcPr>
          <w:p>
            <w:pPr>
              <w:pageBreakBefore w:val="0"/>
              <w:widowControl/>
              <w:kinsoku/>
              <w:wordWrap/>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专业对应的主要岗位（或技术领域）</w:t>
            </w:r>
          </w:p>
        </w:tc>
        <w:tc>
          <w:tcPr>
            <w:tcW w:w="5075" w:type="dxa"/>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3447" w:type="dxa"/>
            <w:vAlign w:val="center"/>
          </w:tcPr>
          <w:p>
            <w:pPr>
              <w:pageBreakBefore w:val="0"/>
              <w:widowControl/>
              <w:kinsoku/>
              <w:wordWrap/>
              <w:overflowPunct/>
              <w:topLinePunct w:val="0"/>
              <w:bidi w:val="0"/>
              <w:spacing w:line="260" w:lineRule="exact"/>
              <w:jc w:val="center"/>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职业技能等级证书/行业企业标准和证书举例</w:t>
            </w:r>
          </w:p>
        </w:tc>
        <w:tc>
          <w:tcPr>
            <w:tcW w:w="5075" w:type="dxa"/>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（五）制订人员</w:t>
      </w:r>
    </w:p>
    <w:p>
      <w:pPr>
        <w:pageBreakBefore w:val="0"/>
        <w:kinsoku/>
        <w:wordWrap/>
        <w:overflowPunct/>
        <w:topLinePunct w:val="0"/>
        <w:bidi w:val="0"/>
        <w:spacing w:line="596" w:lineRule="exact"/>
        <w:ind w:firstLine="640" w:firstLineChars="200"/>
        <w:jc w:val="left"/>
        <w:outlineLvl w:val="9"/>
        <w:rPr>
          <w:rFonts w:hint="eastAsia" w:ascii="仿宋_GB2312" w:eastAsia="仿宋_GB2312"/>
          <w:sz w:val="32"/>
          <w:szCs w:val="32"/>
        </w:rPr>
      </w:pPr>
      <w:r>
        <w:rPr>
          <w:rFonts w:hint="eastAsia" w:ascii="仿宋_GB2312" w:eastAsia="仿宋_GB2312"/>
          <w:sz w:val="32"/>
          <w:szCs w:val="32"/>
        </w:rPr>
        <w:t>制订人员为参与人才培养方案制订（修订）的主要人员，一般需要学校和企业人员共同制订（行业企业专家、企业兼职教师，需标注人员的领域或者工作单位）。</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三、专业培养目标与毕业要求</w:t>
      </w:r>
    </w:p>
    <w:p>
      <w:pPr>
        <w:pageBreakBefore w:val="0"/>
        <w:kinsoku/>
        <w:wordWrap/>
        <w:overflowPunct/>
        <w:topLinePunct w:val="0"/>
        <w:bidi w:val="0"/>
        <w:spacing w:line="360" w:lineRule="auto"/>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（一）培养目标</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培养目标是指学生在毕业一段时间后（一般3-5年），在社会与专业领域能够达到的水平。培养目标应符合社会需要和国家教育方针，坚持中国共产党的领导和社会主义道路，坚持四项基本原则和社会主义核心价值观，培养“卓越工匠”，即培养有理想信念、工匠精神、高超技艺的“素养•管理•创新”国际化复合型技术技能人才。</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岗位目标分三个层次：初次就业岗位、发展岗位、拓展岗位。</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培养目标可以以专业为单位分别描述。一般表述为：</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对接.....产业，定位.....技术领域，促进学生德才兼备和全面发展，培养具有......素质，掌握.....知识和技术，胜任......工作，有理想信念、工匠精神、高超技艺的“素养•管理•创新”国际化复合型技术技能人才。</w:t>
      </w:r>
    </w:p>
    <w:p>
      <w:pPr>
        <w:pageBreakBefore w:val="0"/>
        <w:kinsoku/>
        <w:wordWrap/>
        <w:overflowPunct/>
        <w:topLinePunct w:val="0"/>
        <w:bidi w:val="0"/>
        <w:spacing w:line="360" w:lineRule="auto"/>
        <w:ind w:firstLine="643" w:firstLineChars="200"/>
        <w:jc w:val="left"/>
        <w:outlineLvl w:val="9"/>
        <w:rPr>
          <w:rFonts w:hint="eastAsia" w:ascii="仿宋_GB2312" w:eastAsia="仿宋_GB2312"/>
          <w:b/>
          <w:bCs/>
          <w:sz w:val="32"/>
          <w:szCs w:val="32"/>
        </w:rPr>
      </w:pPr>
      <w:r>
        <w:rPr>
          <w:rFonts w:hint="eastAsia" w:ascii="仿宋_GB2312" w:eastAsia="仿宋_GB2312"/>
          <w:b/>
          <w:bCs/>
          <w:sz w:val="32"/>
          <w:szCs w:val="32"/>
        </w:rPr>
        <w:t>（二）毕业要求</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毕业要求支撑培养目标的实现，是学生在毕业时必须达成的学分、活动分和诚信分、人才培养规格的要求。</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1.学分、活动分和诚信分要求</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学分要求：总学分150学分，其中必修课学分135学分，选修课不低于15学分。</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活动分要求：120活动分</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诚信分要求：1800分</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2.人才培养规格</w:t>
      </w:r>
    </w:p>
    <w:p>
      <w:pPr>
        <w:pageBreakBefore w:val="0"/>
        <w:kinsoku/>
        <w:wordWrap/>
        <w:overflowPunct/>
        <w:topLinePunct w:val="0"/>
        <w:bidi w:val="0"/>
        <w:spacing w:line="360" w:lineRule="auto"/>
        <w:ind w:firstLine="640" w:firstLineChars="200"/>
        <w:jc w:val="left"/>
        <w:outlineLvl w:val="9"/>
        <w:rPr>
          <w:rFonts w:hint="eastAsia" w:ascii="仿宋_GB2312" w:eastAsia="仿宋_GB2312"/>
          <w:sz w:val="32"/>
          <w:szCs w:val="32"/>
        </w:rPr>
      </w:pPr>
      <w:r>
        <w:rPr>
          <w:rFonts w:hint="eastAsia" w:ascii="仿宋_GB2312" w:eastAsia="仿宋_GB2312"/>
          <w:sz w:val="32"/>
          <w:szCs w:val="32"/>
        </w:rPr>
        <w:t>人才培养规格包括专业能力、方法能力、社会能力要求，分为通用能力培养规格和专业能力培养规格。人才培养规格支持培养目标的达成，每一项能力要求应赋予唯一的编号。</w:t>
      </w:r>
    </w:p>
    <w:p>
      <w:pPr>
        <w:pageBreakBefore w:val="0"/>
        <w:kinsoku/>
        <w:wordWrap/>
        <w:overflowPunct/>
        <w:topLinePunct w:val="0"/>
        <w:bidi w:val="0"/>
        <w:spacing w:line="360" w:lineRule="auto"/>
        <w:ind w:firstLine="643" w:firstLineChars="200"/>
        <w:jc w:val="center"/>
        <w:outlineLvl w:val="9"/>
        <w:rPr>
          <w:rFonts w:hint="eastAsia" w:ascii="仿宋_GB2312" w:eastAsia="仿宋_GB2312"/>
          <w:b/>
          <w:bCs/>
          <w:sz w:val="32"/>
          <w:szCs w:val="32"/>
        </w:rPr>
      </w:pPr>
      <w:r>
        <w:rPr>
          <w:rFonts w:hint="eastAsia" w:ascii="仿宋_GB2312" w:eastAsia="仿宋_GB2312"/>
          <w:b/>
          <w:bCs/>
          <w:sz w:val="32"/>
          <w:szCs w:val="32"/>
        </w:rPr>
        <w:t>表3  培养规格</w:t>
      </w:r>
    </w:p>
    <w:tbl>
      <w:tblPr>
        <w:tblStyle w:val="17"/>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6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656"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能力类别</w:t>
            </w:r>
          </w:p>
        </w:tc>
        <w:tc>
          <w:tcPr>
            <w:tcW w:w="672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165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专业能力要求</w:t>
            </w:r>
          </w:p>
        </w:tc>
        <w:tc>
          <w:tcPr>
            <w:tcW w:w="6725"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1.1**</w:t>
            </w:r>
          </w:p>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jc w:val="center"/>
        </w:trPr>
        <w:tc>
          <w:tcPr>
            <w:tcW w:w="165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方法能力要求</w:t>
            </w:r>
          </w:p>
        </w:tc>
        <w:tc>
          <w:tcPr>
            <w:tcW w:w="6725"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2.1能够根据工作任务的不同需要去搜寻、获取信息，整理信息并运用信息；</w:t>
            </w:r>
          </w:p>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2.2**</w:t>
            </w:r>
          </w:p>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jc w:val="center"/>
        </w:trPr>
        <w:tc>
          <w:tcPr>
            <w:tcW w:w="165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社会能力要求</w:t>
            </w:r>
          </w:p>
        </w:tc>
        <w:tc>
          <w:tcPr>
            <w:tcW w:w="6725"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3.1具有正确的政治、思想和道德是非辨别能力，以及社会责任感和职业道德；</w:t>
            </w:r>
          </w:p>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3.2与人交流、与人合作、跨文化交际能力；</w:t>
            </w:r>
          </w:p>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3.3 ***</w:t>
            </w:r>
          </w:p>
        </w:tc>
      </w:tr>
    </w:tbl>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四、人才培养模式</w:t>
      </w:r>
    </w:p>
    <w:p>
      <w:pPr>
        <w:pageBreakBefore w:val="0"/>
        <w:kinsoku/>
        <w:wordWrap/>
        <w:overflowPunct/>
        <w:topLinePunct w:val="0"/>
        <w:bidi w:val="0"/>
        <w:spacing w:line="596" w:lineRule="exact"/>
        <w:ind w:firstLine="640" w:firstLineChars="200"/>
        <w:jc w:val="left"/>
        <w:outlineLvl w:val="9"/>
        <w:rPr>
          <w:rFonts w:ascii="宋体" w:hAnsi="宋体"/>
          <w:color w:val="000000"/>
          <w:sz w:val="32"/>
          <w:szCs w:val="32"/>
        </w:rPr>
      </w:pPr>
      <w:r>
        <w:rPr>
          <w:rFonts w:hint="eastAsia" w:ascii="仿宋_GB2312" w:eastAsia="仿宋_GB2312"/>
          <w:sz w:val="32"/>
          <w:szCs w:val="32"/>
        </w:rPr>
        <w:t>简要说明专业人才培养模式，尽量结合图表来说明模式如何在人才培养的各环节及人才培养方案的各个部分（培养目标、课程与教学、教学条件、质量保障）中体现</w:t>
      </w:r>
      <w:r>
        <w:rPr>
          <w:rFonts w:hint="eastAsia" w:ascii="宋体" w:hAnsi="宋体"/>
          <w:color w:val="000000"/>
          <w:sz w:val="32"/>
          <w:szCs w:val="32"/>
        </w:rPr>
        <w:t>。</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五、“双元三维四体系”课程体系设计</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（一）课程体系结构表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校企双元协同，铺设课堂、活动、环境三维育人路径，完善基本素养、专业技能、管理能力、创新创业四个体系，培养培训“卓越工匠”（见表5-1）。</w:t>
      </w:r>
    </w:p>
    <w:p>
      <w:pPr>
        <w:pStyle w:val="6"/>
        <w:pageBreakBefore w:val="0"/>
        <w:kinsoku/>
        <w:wordWrap/>
        <w:overflowPunct/>
        <w:topLinePunct w:val="0"/>
        <w:bidi w:val="0"/>
        <w:ind w:firstLine="640"/>
        <w:jc w:val="center"/>
        <w:outlineLvl w:val="9"/>
        <w:rPr>
          <w:rFonts w:hint="eastAsia" w:ascii="仿宋_GB2312" w:hAnsi="Times New Roman" w:eastAsia="仿宋_GB2312"/>
          <w:b/>
          <w:bCs/>
          <w:sz w:val="32"/>
          <w:szCs w:val="32"/>
        </w:rPr>
      </w:pPr>
      <w:r>
        <w:rPr>
          <w:rFonts w:hint="eastAsia" w:ascii="仿宋_GB2312" w:hAnsi="Times New Roman" w:eastAsia="仿宋_GB2312"/>
          <w:b/>
          <w:bCs/>
          <w:sz w:val="32"/>
          <w:szCs w:val="32"/>
        </w:rPr>
        <w:t>表5-1 “三维四体系” 结构表</w:t>
      </w:r>
    </w:p>
    <w:tbl>
      <w:tblPr>
        <w:tblStyle w:val="17"/>
        <w:tblW w:w="9057" w:type="dxa"/>
        <w:jc w:val="center"/>
        <w:tblInd w:w="0" w:type="dxa"/>
        <w:shd w:val="clear" w:color="auto" w:fill="FFFFFF"/>
        <w:tblLayout w:type="fixed"/>
        <w:tblCellMar>
          <w:top w:w="0" w:type="dxa"/>
          <w:left w:w="108" w:type="dxa"/>
          <w:bottom w:w="0" w:type="dxa"/>
          <w:right w:w="108" w:type="dxa"/>
        </w:tblCellMar>
      </w:tblPr>
      <w:tblGrid>
        <w:gridCol w:w="1707"/>
        <w:gridCol w:w="2664"/>
        <w:gridCol w:w="2254"/>
        <w:gridCol w:w="2432"/>
      </w:tblGrid>
      <w:tr>
        <w:tblPrEx>
          <w:shd w:val="clear" w:color="auto" w:fill="FFFFFF"/>
          <w:tblLayout w:type="fixed"/>
          <w:tblCellMar>
            <w:top w:w="0" w:type="dxa"/>
            <w:left w:w="108" w:type="dxa"/>
            <w:bottom w:w="0" w:type="dxa"/>
            <w:right w:w="108" w:type="dxa"/>
          </w:tblCellMar>
        </w:tblPrEx>
        <w:trPr>
          <w:trHeight w:val="527" w:hRule="atLeast"/>
          <w:jc w:val="center"/>
        </w:trPr>
        <w:tc>
          <w:tcPr>
            <w:tcW w:w="1707" w:type="dxa"/>
            <w:tcBorders>
              <w:top w:val="single" w:color="auto" w:sz="4" w:space="0"/>
              <w:left w:val="single" w:color="auto" w:sz="4" w:space="0"/>
              <w:bottom w:val="single" w:color="auto" w:sz="4" w:space="0"/>
              <w:right w:val="single" w:color="auto" w:sz="4" w:space="0"/>
              <w:tl2br w:val="single" w:color="auto" w:sz="4" w:space="0"/>
            </w:tcBorders>
            <w:shd w:val="clear" w:color="auto" w:fill="FFFFFF"/>
            <w:vAlign w:val="center"/>
          </w:tcPr>
          <w:p>
            <w:pPr>
              <w:pageBreakBefore w:val="0"/>
              <w:widowControl/>
              <w:kinsoku/>
              <w:wordWrap/>
              <w:overflowPunct/>
              <w:topLinePunct w:val="0"/>
              <w:bidi w:val="0"/>
              <w:spacing w:line="260" w:lineRule="exact"/>
              <w:ind w:firstLine="723" w:firstLineChars="300"/>
              <w:jc w:val="left"/>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三维</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四体系</w:t>
            </w:r>
          </w:p>
        </w:tc>
        <w:tc>
          <w:tcPr>
            <w:tcW w:w="2664" w:type="dxa"/>
            <w:tcBorders>
              <w:top w:val="single" w:color="auto" w:sz="4" w:space="0"/>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w:t>
            </w:r>
          </w:p>
        </w:tc>
        <w:tc>
          <w:tcPr>
            <w:tcW w:w="2254" w:type="dxa"/>
            <w:tcBorders>
              <w:top w:val="single" w:color="auto" w:sz="4" w:space="0"/>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w:t>
            </w:r>
          </w:p>
        </w:tc>
        <w:tc>
          <w:tcPr>
            <w:tcW w:w="2432" w:type="dxa"/>
            <w:tcBorders>
              <w:top w:val="single" w:color="auto" w:sz="4" w:space="0"/>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环境</w:t>
            </w:r>
          </w:p>
        </w:tc>
      </w:tr>
      <w:tr>
        <w:tblPrEx>
          <w:shd w:val="clear" w:color="auto" w:fill="FFFFFF"/>
          <w:tblLayout w:type="fixed"/>
          <w:tblCellMar>
            <w:top w:w="0" w:type="dxa"/>
            <w:left w:w="108" w:type="dxa"/>
            <w:bottom w:w="0" w:type="dxa"/>
            <w:right w:w="108" w:type="dxa"/>
          </w:tblCellMar>
        </w:tblPrEx>
        <w:trPr>
          <w:trHeight w:val="1001" w:hRule="atLeast"/>
          <w:jc w:val="center"/>
        </w:trPr>
        <w:tc>
          <w:tcPr>
            <w:tcW w:w="1707" w:type="dxa"/>
            <w:tcBorders>
              <w:top w:val="nil"/>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基本素养</w:t>
            </w:r>
          </w:p>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体系</w:t>
            </w:r>
          </w:p>
        </w:tc>
        <w:tc>
          <w:tcPr>
            <w:tcW w:w="266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ind w:left="210" w:hanging="21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思想政治类课程</w:t>
            </w:r>
          </w:p>
          <w:p>
            <w:pPr>
              <w:pageBreakBefore w:val="0"/>
              <w:widowControl/>
              <w:numPr>
                <w:ilvl w:val="0"/>
                <w:numId w:val="10"/>
              </w:numPr>
              <w:kinsoku/>
              <w:wordWrap/>
              <w:overflowPunct/>
              <w:topLinePunct w:val="0"/>
              <w:bidi w:val="0"/>
              <w:spacing w:line="260" w:lineRule="exact"/>
              <w:ind w:left="210" w:hanging="21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劳动教育类课程</w:t>
            </w:r>
          </w:p>
          <w:p>
            <w:pPr>
              <w:pageBreakBefore w:val="0"/>
              <w:widowControl/>
              <w:numPr>
                <w:ilvl w:val="0"/>
                <w:numId w:val="10"/>
              </w:numPr>
              <w:kinsoku/>
              <w:wordWrap/>
              <w:overflowPunct/>
              <w:topLinePunct w:val="0"/>
              <w:bidi w:val="0"/>
              <w:spacing w:line="260" w:lineRule="exact"/>
              <w:ind w:left="210" w:hanging="21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职业素养类课程</w:t>
            </w:r>
          </w:p>
          <w:p>
            <w:pPr>
              <w:pageBreakBefore w:val="0"/>
              <w:widowControl/>
              <w:numPr>
                <w:ilvl w:val="0"/>
                <w:numId w:val="10"/>
              </w:numPr>
              <w:kinsoku/>
              <w:wordWrap/>
              <w:overflowPunct/>
              <w:topLinePunct w:val="0"/>
              <w:bidi w:val="0"/>
              <w:spacing w:line="260" w:lineRule="exact"/>
              <w:ind w:left="210" w:hanging="21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身心健康类课程</w:t>
            </w:r>
          </w:p>
          <w:p>
            <w:pPr>
              <w:pageBreakBefore w:val="0"/>
              <w:widowControl/>
              <w:numPr>
                <w:ilvl w:val="0"/>
                <w:numId w:val="10"/>
              </w:numPr>
              <w:kinsoku/>
              <w:wordWrap/>
              <w:overflowPunct/>
              <w:topLinePunct w:val="0"/>
              <w:bidi w:val="0"/>
              <w:spacing w:line="260" w:lineRule="exact"/>
              <w:ind w:left="210" w:hanging="21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应用基础类课程</w:t>
            </w:r>
          </w:p>
        </w:tc>
        <w:tc>
          <w:tcPr>
            <w:tcW w:w="225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基本素养第二课堂系列活动</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通用技能竞赛</w:t>
            </w:r>
          </w:p>
        </w:tc>
        <w:tc>
          <w:tcPr>
            <w:tcW w:w="2432" w:type="dxa"/>
            <w:vMerge w:val="restart"/>
            <w:tcBorders>
              <w:top w:val="nil"/>
              <w:left w:val="nil"/>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匠心柳职校园文化</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专业实践环境</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“精益实训”文化</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双创实践与训练环境</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劳动教育环境</w:t>
            </w:r>
          </w:p>
        </w:tc>
      </w:tr>
      <w:tr>
        <w:tblPrEx>
          <w:shd w:val="clear" w:color="auto" w:fill="FFFFFF"/>
          <w:tblLayout w:type="fixed"/>
          <w:tblCellMar>
            <w:top w:w="0" w:type="dxa"/>
            <w:left w:w="108" w:type="dxa"/>
            <w:bottom w:w="0" w:type="dxa"/>
            <w:right w:w="108" w:type="dxa"/>
          </w:tblCellMar>
        </w:tblPrEx>
        <w:trPr>
          <w:trHeight w:val="830" w:hRule="atLeast"/>
          <w:jc w:val="center"/>
        </w:trPr>
        <w:tc>
          <w:tcPr>
            <w:tcW w:w="1707" w:type="dxa"/>
            <w:tcBorders>
              <w:top w:val="nil"/>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专业技能</w:t>
            </w:r>
          </w:p>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体系</w:t>
            </w:r>
          </w:p>
        </w:tc>
        <w:tc>
          <w:tcPr>
            <w:tcW w:w="266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新技术通识课</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专业平台课</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专业方向课</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专业拓展课</w:t>
            </w:r>
          </w:p>
        </w:tc>
        <w:tc>
          <w:tcPr>
            <w:tcW w:w="225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专业第二课堂系列活动</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专业技能竞赛</w:t>
            </w:r>
          </w:p>
        </w:tc>
        <w:tc>
          <w:tcPr>
            <w:tcW w:w="2432" w:type="dxa"/>
            <w:vMerge w:val="continue"/>
            <w:tcBorders>
              <w:left w:val="nil"/>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p>
        </w:tc>
      </w:tr>
      <w:tr>
        <w:tblPrEx>
          <w:shd w:val="clear" w:color="auto" w:fill="FFFFFF"/>
          <w:tblLayout w:type="fixed"/>
          <w:tblCellMar>
            <w:top w:w="0" w:type="dxa"/>
            <w:left w:w="108" w:type="dxa"/>
            <w:bottom w:w="0" w:type="dxa"/>
            <w:right w:w="108" w:type="dxa"/>
          </w:tblCellMar>
        </w:tblPrEx>
        <w:trPr>
          <w:trHeight w:val="842" w:hRule="atLeast"/>
          <w:jc w:val="center"/>
        </w:trPr>
        <w:tc>
          <w:tcPr>
            <w:tcW w:w="1707" w:type="dxa"/>
            <w:tcBorders>
              <w:top w:val="nil"/>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管理能力</w:t>
            </w:r>
          </w:p>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体系</w:t>
            </w:r>
          </w:p>
        </w:tc>
        <w:tc>
          <w:tcPr>
            <w:tcW w:w="266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精益生产与管理基础</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管理类选修课程</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专业类管理课程</w:t>
            </w:r>
          </w:p>
        </w:tc>
        <w:tc>
          <w:tcPr>
            <w:tcW w:w="2254" w:type="dxa"/>
            <w:tcBorders>
              <w:top w:val="nil"/>
              <w:left w:val="nil"/>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管理类讲座和活动</w:t>
            </w:r>
          </w:p>
        </w:tc>
        <w:tc>
          <w:tcPr>
            <w:tcW w:w="2432" w:type="dxa"/>
            <w:vMerge w:val="continue"/>
            <w:tcBorders>
              <w:left w:val="nil"/>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shd w:val="clear" w:color="auto" w:fill="FFFFFF"/>
          <w:tblLayout w:type="fixed"/>
          <w:tblCellMar>
            <w:top w:w="0" w:type="dxa"/>
            <w:left w:w="108" w:type="dxa"/>
            <w:bottom w:w="0" w:type="dxa"/>
            <w:right w:w="108" w:type="dxa"/>
          </w:tblCellMar>
        </w:tblPrEx>
        <w:trPr>
          <w:trHeight w:val="1534" w:hRule="atLeast"/>
          <w:jc w:val="center"/>
        </w:trPr>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w:t>
            </w:r>
          </w:p>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体系</w:t>
            </w:r>
          </w:p>
        </w:tc>
        <w:tc>
          <w:tcPr>
            <w:tcW w:w="2664"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职业规划与就业指导</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创新思维训练</w:t>
            </w:r>
          </w:p>
          <w:p>
            <w:pPr>
              <w:pageBreakBefore w:val="0"/>
              <w:widowControl/>
              <w:numPr>
                <w:ilvl w:val="0"/>
                <w:numId w:val="10"/>
              </w:numPr>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创新与创业实务</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专业类创新创业课程</w:t>
            </w:r>
          </w:p>
        </w:tc>
        <w:tc>
          <w:tcPr>
            <w:tcW w:w="2254"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创新创业类竞赛</w:t>
            </w:r>
          </w:p>
          <w:p>
            <w:pPr>
              <w:pageBreakBefore w:val="0"/>
              <w:widowControl/>
              <w:numPr>
                <w:ilvl w:val="0"/>
                <w:numId w:val="10"/>
              </w:numPr>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创新创业活动</w:t>
            </w:r>
          </w:p>
        </w:tc>
        <w:tc>
          <w:tcPr>
            <w:tcW w:w="2432" w:type="dxa"/>
            <w:vMerge w:val="continue"/>
            <w:tcBorders>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bl>
    <w:p>
      <w:pPr>
        <w:pageBreakBefore w:val="0"/>
        <w:widowControl/>
        <w:kinsoku/>
        <w:wordWrap/>
        <w:overflowPunct/>
        <w:topLinePunct w:val="0"/>
        <w:bidi w:val="0"/>
        <w:spacing w:line="596" w:lineRule="exact"/>
        <w:ind w:firstLine="643" w:firstLineChars="200"/>
        <w:textAlignment w:val="center"/>
        <w:outlineLvl w:val="9"/>
        <w:rPr>
          <w:rFonts w:hint="eastAsia" w:ascii="仿宋_GB2312" w:eastAsia="仿宋_GB2312"/>
          <w:b/>
          <w:bCs/>
          <w:sz w:val="32"/>
          <w:szCs w:val="32"/>
        </w:rPr>
      </w:pPr>
      <w:r>
        <w:rPr>
          <w:rFonts w:hint="eastAsia" w:ascii="仿宋_GB2312" w:eastAsia="仿宋_GB2312"/>
          <w:b/>
          <w:bCs/>
          <w:sz w:val="32"/>
          <w:szCs w:val="32"/>
        </w:rPr>
        <w:t>（二）基本素养体系设计</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 xml:space="preserve"> </w:t>
      </w:r>
      <w:r>
        <w:rPr>
          <w:rFonts w:hint="eastAsia" w:ascii="仿宋_GB2312" w:eastAsia="仿宋_GB2312"/>
          <w:sz w:val="32"/>
          <w:szCs w:val="32"/>
        </w:rPr>
        <w:t>按照“服务社会、服务专业、服务学生；共性与个性相结合、必修与选修相结合、课内与课外相结合；在教学中有机融入价值引领、思想政治教育、职业核心能力培养”的原则，形成基本素养体系，具体设置课程见表6-3：第一课堂进程安排表。</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（三）专业技能体系设计</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1.职业/岗位分析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用表格的形式描述专业对应的职业或岗位能力要求。可以参考工作任务分析结果，可以作为附件呈现。</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2.专业课程结构表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专业课程有专业群平台课、专业方向课、专业拓展课（X证书）等，具体的专业课程结构及课程名称，见表6-3：第一课堂进程安排表。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3.课程矩阵</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课程矩阵用来确定“课程与培养规格之间的对应关系及相关度”。课程与培养规格的对应关系，有对应关系就标注，无则用“——”标注。课程与培养规格的相关度，按照高相关、中相关、低相关三级划分，分别用H、M、L在表中标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表5-2 中“培养规格”需与表3一致。</w:t>
      </w:r>
    </w:p>
    <w:p>
      <w:pPr>
        <w:pageBreakBefore w:val="0"/>
        <w:kinsoku/>
        <w:wordWrap/>
        <w:overflowPunct/>
        <w:topLinePunct w:val="0"/>
        <w:bidi w:val="0"/>
        <w:spacing w:line="596" w:lineRule="exact"/>
        <w:ind w:firstLine="643" w:firstLineChars="200"/>
        <w:jc w:val="center"/>
        <w:outlineLvl w:val="9"/>
        <w:rPr>
          <w:rFonts w:hint="eastAsia" w:ascii="仿宋_GB2312" w:eastAsia="仿宋_GB2312"/>
          <w:b/>
          <w:bCs/>
          <w:sz w:val="32"/>
          <w:szCs w:val="32"/>
        </w:rPr>
      </w:pPr>
      <w:r>
        <w:rPr>
          <w:rFonts w:hint="eastAsia" w:ascii="仿宋_GB2312" w:eastAsia="仿宋_GB2312"/>
          <w:b/>
          <w:bCs/>
          <w:sz w:val="32"/>
          <w:szCs w:val="32"/>
        </w:rPr>
        <w:t>表5-2 课程矩阵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609"/>
        <w:gridCol w:w="997"/>
        <w:gridCol w:w="1033"/>
        <w:gridCol w:w="1096"/>
        <w:gridCol w:w="1096"/>
        <w:gridCol w:w="1096"/>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110" w:type="dxa"/>
            <w:gridSpan w:val="2"/>
            <w:tcBorders>
              <w:tl2br w:val="single" w:color="auto" w:sz="4" w:space="0"/>
            </w:tcBorders>
          </w:tcPr>
          <w:p>
            <w:pPr>
              <w:pStyle w:val="23"/>
              <w:pageBreakBefore w:val="0"/>
              <w:kinsoku/>
              <w:wordWrap/>
              <w:overflowPunct/>
              <w:topLinePunct w:val="0"/>
              <w:bidi w:val="0"/>
              <w:ind w:firstLine="480"/>
              <w:jc w:val="right"/>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培养规格</w:t>
            </w:r>
          </w:p>
          <w:p>
            <w:pPr>
              <w:pStyle w:val="23"/>
              <w:pageBreakBefore w:val="0"/>
              <w:kinsoku/>
              <w:wordWrap/>
              <w:overflowPunct/>
              <w:topLinePunct w:val="0"/>
              <w:bidi w:val="0"/>
              <w:ind w:firstLine="480"/>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课程名称</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1.1</w:t>
            </w:r>
          </w:p>
        </w:tc>
        <w:tc>
          <w:tcPr>
            <w:tcW w:w="103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1.2</w:t>
            </w:r>
          </w:p>
        </w:tc>
        <w:tc>
          <w:tcPr>
            <w:tcW w:w="1096"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2.1</w:t>
            </w:r>
          </w:p>
        </w:tc>
        <w:tc>
          <w:tcPr>
            <w:tcW w:w="1096"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2.2</w:t>
            </w:r>
          </w:p>
        </w:tc>
        <w:tc>
          <w:tcPr>
            <w:tcW w:w="1096"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3.1</w:t>
            </w:r>
          </w:p>
        </w:tc>
        <w:tc>
          <w:tcPr>
            <w:tcW w:w="1094"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4</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5</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6</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7</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8</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9</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1" w:type="dxa"/>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10</w:t>
            </w:r>
          </w:p>
        </w:tc>
        <w:tc>
          <w:tcPr>
            <w:tcW w:w="1609" w:type="dxa"/>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33"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6"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94" w:type="dxa"/>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r>
    </w:tbl>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4.专业核心课程描述</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业核心课程指对达成培养目标和毕业要求起到关键支撑作用的、工学结合的专业课程，一般是与工作领域相对应的学习领域课程。专业核心课程的数量要适当，每个专业的专业核心课程一般在6-8门。专业核心课程描述见表5-3。</w:t>
      </w:r>
    </w:p>
    <w:p>
      <w:pPr>
        <w:pageBreakBefore w:val="0"/>
        <w:kinsoku/>
        <w:wordWrap/>
        <w:overflowPunct/>
        <w:topLinePunct w:val="0"/>
        <w:bidi w:val="0"/>
        <w:spacing w:line="596" w:lineRule="exact"/>
        <w:ind w:firstLine="643" w:firstLineChars="200"/>
        <w:jc w:val="center"/>
        <w:outlineLvl w:val="9"/>
        <w:rPr>
          <w:rFonts w:hint="eastAsia" w:ascii="仿宋_GB2312" w:eastAsia="仿宋_GB2312"/>
          <w:b/>
          <w:bCs/>
          <w:sz w:val="32"/>
          <w:szCs w:val="32"/>
        </w:rPr>
      </w:pPr>
      <w:r>
        <w:rPr>
          <w:rFonts w:hint="eastAsia" w:ascii="仿宋_GB2312" w:eastAsia="仿宋_GB2312"/>
          <w:b/>
          <w:bCs/>
          <w:sz w:val="32"/>
          <w:szCs w:val="32"/>
        </w:rPr>
        <w:t>表5-3  专业核心课程描述</w:t>
      </w:r>
    </w:p>
    <w:tbl>
      <w:tblPr>
        <w:tblStyle w:val="1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270"/>
        <w:gridCol w:w="2400"/>
        <w:gridCol w:w="10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9"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2270"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2400"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课程主要内容</w:t>
            </w:r>
          </w:p>
        </w:tc>
        <w:tc>
          <w:tcPr>
            <w:tcW w:w="1004"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w:t>
            </w:r>
          </w:p>
        </w:tc>
        <w:tc>
          <w:tcPr>
            <w:tcW w:w="1706"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开设学期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9" w:type="dxa"/>
            <w:vAlign w:val="center"/>
          </w:tcPr>
          <w:p>
            <w:pPr>
              <w:pageBreakBefore w:val="0"/>
              <w:kinsoku/>
              <w:wordWrap/>
              <w:overflowPunct/>
              <w:topLinePunct w:val="0"/>
              <w:bidi w:val="0"/>
              <w:outlineLvl w:val="9"/>
              <w:rPr>
                <w:rFonts w:ascii="宋体" w:hAnsi="宋体"/>
                <w:color w:val="000000"/>
                <w:sz w:val="32"/>
                <w:szCs w:val="32"/>
              </w:rPr>
            </w:pPr>
          </w:p>
        </w:tc>
        <w:tc>
          <w:tcPr>
            <w:tcW w:w="2270" w:type="dxa"/>
            <w:vAlign w:val="center"/>
          </w:tcPr>
          <w:p>
            <w:pPr>
              <w:pageBreakBefore w:val="0"/>
              <w:kinsoku/>
              <w:wordWrap/>
              <w:overflowPunct/>
              <w:topLinePunct w:val="0"/>
              <w:bidi w:val="0"/>
              <w:outlineLvl w:val="9"/>
              <w:rPr>
                <w:rFonts w:ascii="宋体" w:hAnsi="宋体"/>
                <w:color w:val="000000"/>
                <w:sz w:val="32"/>
                <w:szCs w:val="32"/>
              </w:rPr>
            </w:pPr>
          </w:p>
        </w:tc>
        <w:tc>
          <w:tcPr>
            <w:tcW w:w="2400" w:type="dxa"/>
            <w:vAlign w:val="center"/>
          </w:tcPr>
          <w:p>
            <w:pPr>
              <w:pageBreakBefore w:val="0"/>
              <w:kinsoku/>
              <w:wordWrap/>
              <w:overflowPunct/>
              <w:topLinePunct w:val="0"/>
              <w:bidi w:val="0"/>
              <w:outlineLvl w:val="9"/>
              <w:rPr>
                <w:rFonts w:ascii="宋体" w:hAnsi="宋体"/>
                <w:color w:val="000000"/>
                <w:sz w:val="32"/>
                <w:szCs w:val="32"/>
              </w:rPr>
            </w:pPr>
          </w:p>
        </w:tc>
        <w:tc>
          <w:tcPr>
            <w:tcW w:w="1004" w:type="dxa"/>
            <w:vAlign w:val="center"/>
          </w:tcPr>
          <w:p>
            <w:pPr>
              <w:pageBreakBefore w:val="0"/>
              <w:kinsoku/>
              <w:wordWrap/>
              <w:overflowPunct/>
              <w:topLinePunct w:val="0"/>
              <w:bidi w:val="0"/>
              <w:outlineLvl w:val="9"/>
              <w:rPr>
                <w:rFonts w:ascii="宋体" w:hAnsi="宋体"/>
                <w:color w:val="000000"/>
                <w:sz w:val="32"/>
                <w:szCs w:val="32"/>
              </w:rPr>
            </w:pPr>
          </w:p>
        </w:tc>
        <w:tc>
          <w:tcPr>
            <w:tcW w:w="1706" w:type="dxa"/>
            <w:vAlign w:val="center"/>
          </w:tcPr>
          <w:p>
            <w:pPr>
              <w:pageBreakBefore w:val="0"/>
              <w:kinsoku/>
              <w:wordWrap/>
              <w:overflowPunct/>
              <w:topLinePunct w:val="0"/>
              <w:bidi w:val="0"/>
              <w:outlineLvl w:val="9"/>
              <w:rPr>
                <w:rFonts w:ascii="宋体" w:hAnsi="宋体"/>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39" w:type="dxa"/>
            <w:vAlign w:val="center"/>
          </w:tcPr>
          <w:p>
            <w:pPr>
              <w:pageBreakBefore w:val="0"/>
              <w:kinsoku/>
              <w:wordWrap/>
              <w:overflowPunct/>
              <w:topLinePunct w:val="0"/>
              <w:bidi w:val="0"/>
              <w:outlineLvl w:val="9"/>
              <w:rPr>
                <w:rFonts w:ascii="宋体" w:hAnsi="宋体"/>
                <w:color w:val="000000"/>
                <w:sz w:val="32"/>
                <w:szCs w:val="32"/>
              </w:rPr>
            </w:pPr>
          </w:p>
        </w:tc>
        <w:tc>
          <w:tcPr>
            <w:tcW w:w="2270" w:type="dxa"/>
            <w:vAlign w:val="center"/>
          </w:tcPr>
          <w:p>
            <w:pPr>
              <w:pageBreakBefore w:val="0"/>
              <w:kinsoku/>
              <w:wordWrap/>
              <w:overflowPunct/>
              <w:topLinePunct w:val="0"/>
              <w:bidi w:val="0"/>
              <w:outlineLvl w:val="9"/>
              <w:rPr>
                <w:rFonts w:ascii="宋体" w:hAnsi="宋体"/>
                <w:color w:val="000000"/>
                <w:sz w:val="32"/>
                <w:szCs w:val="32"/>
              </w:rPr>
            </w:pPr>
          </w:p>
        </w:tc>
        <w:tc>
          <w:tcPr>
            <w:tcW w:w="2400" w:type="dxa"/>
            <w:vAlign w:val="center"/>
          </w:tcPr>
          <w:p>
            <w:pPr>
              <w:pageBreakBefore w:val="0"/>
              <w:kinsoku/>
              <w:wordWrap/>
              <w:overflowPunct/>
              <w:topLinePunct w:val="0"/>
              <w:bidi w:val="0"/>
              <w:outlineLvl w:val="9"/>
              <w:rPr>
                <w:rFonts w:ascii="宋体" w:hAnsi="宋体"/>
                <w:color w:val="000000"/>
                <w:sz w:val="32"/>
                <w:szCs w:val="32"/>
              </w:rPr>
            </w:pPr>
          </w:p>
        </w:tc>
        <w:tc>
          <w:tcPr>
            <w:tcW w:w="1004" w:type="dxa"/>
            <w:vAlign w:val="center"/>
          </w:tcPr>
          <w:p>
            <w:pPr>
              <w:pageBreakBefore w:val="0"/>
              <w:kinsoku/>
              <w:wordWrap/>
              <w:overflowPunct/>
              <w:topLinePunct w:val="0"/>
              <w:bidi w:val="0"/>
              <w:outlineLvl w:val="9"/>
              <w:rPr>
                <w:rFonts w:ascii="宋体" w:hAnsi="宋体"/>
                <w:color w:val="000000"/>
                <w:sz w:val="32"/>
                <w:szCs w:val="32"/>
              </w:rPr>
            </w:pPr>
          </w:p>
        </w:tc>
        <w:tc>
          <w:tcPr>
            <w:tcW w:w="1706" w:type="dxa"/>
            <w:vAlign w:val="center"/>
          </w:tcPr>
          <w:p>
            <w:pPr>
              <w:pageBreakBefore w:val="0"/>
              <w:kinsoku/>
              <w:wordWrap/>
              <w:overflowPunct/>
              <w:topLinePunct w:val="0"/>
              <w:bidi w:val="0"/>
              <w:outlineLvl w:val="9"/>
              <w:rPr>
                <w:rFonts w:ascii="宋体" w:hAnsi="宋体"/>
                <w:color w:val="000000"/>
                <w:sz w:val="32"/>
                <w:szCs w:val="32"/>
              </w:rPr>
            </w:pPr>
          </w:p>
        </w:tc>
      </w:tr>
    </w:tbl>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5.实习设计与安排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实习总时间一般不少于6个月，不超过12个月（含假期）。实习分阶段安排：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专业入门教育实习。专业入门教育实习一般为认知实习，以认知企业环境、感受企业文化为主，安排在专业入门教育课程中进行。</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职业素养与劳动教育实践。职业素养与劳动教育实践一般为跟岗实习，以养成职业素养、感受企业文化、认知职业岗位、强化劳动观念和培养劳动精神为主，时间安排为1-2个月，一般不超过2个月。实践期间开设《工业</w:t>
      </w:r>
      <w:r>
        <w:rPr>
          <w:rFonts w:hint="eastAsia" w:ascii="仿宋_GB2312" w:eastAsia="仿宋_GB2312"/>
          <w:sz w:val="32"/>
          <w:szCs w:val="32"/>
        </w:rPr>
        <w:sym w:font="Wingdings" w:char="F09E"/>
      </w:r>
      <w:r>
        <w:rPr>
          <w:rFonts w:hint="eastAsia" w:ascii="仿宋_GB2312" w:eastAsia="仿宋_GB2312"/>
          <w:sz w:val="32"/>
          <w:szCs w:val="32"/>
        </w:rPr>
        <w:t>匠心》课程，同时实习企业应开设不少于16学时的劳动教育专题课程，邀请企业劳模、先进人物给学生授课，主要围绕劳模精神、工匠精神、劳动组织、劳动安全和劳动法规等方面开展。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预就业实习。预就业实习一般为顶岗实习，以巩固熟练专业基本技能、培养或提升职业能力和职业素养为主，时间安排不少于6个月。原则上，开始进行预就业实习的时间，在第五学期每年12月份第一次学校组织的“双选会”以后。</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实习设计见表5-4。</w:t>
      </w:r>
    </w:p>
    <w:p>
      <w:pPr>
        <w:pageBreakBefore w:val="0"/>
        <w:kinsoku/>
        <w:wordWrap/>
        <w:overflowPunct/>
        <w:topLinePunct w:val="0"/>
        <w:bidi w:val="0"/>
        <w:spacing w:line="596" w:lineRule="exact"/>
        <w:ind w:firstLine="643" w:firstLineChars="200"/>
        <w:jc w:val="center"/>
        <w:outlineLvl w:val="9"/>
        <w:rPr>
          <w:rFonts w:hint="eastAsia" w:ascii="仿宋_GB2312" w:eastAsia="仿宋_GB2312"/>
          <w:b/>
          <w:bCs/>
          <w:sz w:val="32"/>
          <w:szCs w:val="32"/>
        </w:rPr>
      </w:pPr>
      <w:r>
        <w:rPr>
          <w:rFonts w:hint="eastAsia" w:ascii="仿宋_GB2312" w:eastAsia="仿宋_GB2312"/>
          <w:b/>
          <w:bCs/>
          <w:sz w:val="32"/>
          <w:szCs w:val="32"/>
        </w:rPr>
        <w:t>表5-4  实习设计</w:t>
      </w:r>
    </w:p>
    <w:tbl>
      <w:tblPr>
        <w:tblStyle w:val="17"/>
        <w:tblW w:w="8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953"/>
        <w:gridCol w:w="946"/>
        <w:gridCol w:w="2511"/>
        <w:gridCol w:w="1427"/>
        <w:gridCol w:w="1074"/>
        <w:gridCol w:w="1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Ex>
        <w:trPr>
          <w:trHeight w:val="567" w:hRule="atLeast"/>
          <w:jc w:val="center"/>
        </w:trPr>
        <w:tc>
          <w:tcPr>
            <w:tcW w:w="953"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阶段</w:t>
            </w:r>
          </w:p>
        </w:tc>
        <w:tc>
          <w:tcPr>
            <w:tcW w:w="946"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时间</w:t>
            </w:r>
          </w:p>
        </w:tc>
        <w:tc>
          <w:tcPr>
            <w:tcW w:w="2511"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实习项目</w:t>
            </w:r>
          </w:p>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（内容/任务）</w:t>
            </w:r>
          </w:p>
        </w:tc>
        <w:tc>
          <w:tcPr>
            <w:tcW w:w="1427"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实习形式（认知/跟岗/顶岗）</w:t>
            </w:r>
          </w:p>
        </w:tc>
        <w:tc>
          <w:tcPr>
            <w:tcW w:w="1074"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考核</w:t>
            </w:r>
          </w:p>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要求</w:t>
            </w:r>
          </w:p>
        </w:tc>
        <w:tc>
          <w:tcPr>
            <w:tcW w:w="1608" w:type="dxa"/>
            <w:shd w:val="clear" w:color="auto" w:fill="FFFFFF"/>
            <w:vAlign w:val="center"/>
          </w:tcPr>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主要合作</w:t>
            </w:r>
          </w:p>
          <w:p>
            <w:pPr>
              <w:pStyle w:val="24"/>
              <w:pageBreakBefore w:val="0"/>
              <w:kinsoku/>
              <w:wordWrap/>
              <w:overflowPunct/>
              <w:topLinePunct w:val="0"/>
              <w:bidi w:val="0"/>
              <w:jc w:val="center"/>
              <w:outlineLvl w:val="9"/>
              <w:rPr>
                <w:rFonts w:hint="eastAsia" w:ascii="仿宋_GB2312" w:eastAsia="仿宋_GB2312" w:cs="宋体"/>
                <w:b/>
                <w:bCs/>
                <w:color w:val="000000"/>
                <w:sz w:val="24"/>
                <w:szCs w:val="24"/>
                <w:lang w:eastAsia="zh-CN" w:bidi="ar"/>
              </w:rPr>
            </w:pPr>
            <w:r>
              <w:rPr>
                <w:rFonts w:hint="eastAsia" w:ascii="仿宋_GB2312" w:eastAsia="仿宋_GB2312" w:cs="宋体"/>
                <w:b/>
                <w:bCs/>
                <w:color w:val="000000"/>
                <w:sz w:val="24"/>
                <w:szCs w:val="24"/>
                <w:lang w:eastAsia="zh-CN" w:bidi="ar"/>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Ex>
        <w:trPr>
          <w:trHeight w:val="567" w:hRule="atLeast"/>
          <w:jc w:val="center"/>
        </w:trPr>
        <w:tc>
          <w:tcPr>
            <w:tcW w:w="953"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946"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2511"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427"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074"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608"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Ex>
        <w:trPr>
          <w:trHeight w:val="567" w:hRule="atLeast"/>
          <w:jc w:val="center"/>
        </w:trPr>
        <w:tc>
          <w:tcPr>
            <w:tcW w:w="953"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946"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2511"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427"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074"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608"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Ex>
        <w:trPr>
          <w:trHeight w:val="567" w:hRule="atLeast"/>
          <w:jc w:val="center"/>
        </w:trPr>
        <w:tc>
          <w:tcPr>
            <w:tcW w:w="953"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946"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2511"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427"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074"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c>
          <w:tcPr>
            <w:tcW w:w="1608" w:type="dxa"/>
            <w:shd w:val="clear" w:color="auto" w:fill="FFFFFF"/>
            <w:vAlign w:val="center"/>
          </w:tcPr>
          <w:p>
            <w:pPr>
              <w:pStyle w:val="24"/>
              <w:pageBreakBefore w:val="0"/>
              <w:kinsoku/>
              <w:wordWrap/>
              <w:overflowPunct/>
              <w:topLinePunct w:val="0"/>
              <w:bidi w:val="0"/>
              <w:jc w:val="center"/>
              <w:outlineLvl w:val="9"/>
              <w:rPr>
                <w:rFonts w:eastAsia="宋体"/>
                <w:color w:val="000000"/>
                <w:sz w:val="32"/>
                <w:szCs w:val="32"/>
                <w:lang w:eastAsia="zh-CN" w:bidi="ar-SA"/>
              </w:rPr>
            </w:pPr>
          </w:p>
        </w:tc>
      </w:tr>
    </w:tbl>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6.毕业设计（论文）/职业能力测试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职业能力测试包括通用模块和专业模块。</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通用模块测试由通识教育学院负责，以学生通用能力标准为依据，对职业能力测试等级、测试方式、测试内容、测试时间、组织安排、相关要求进行描述。</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专业模块测试由专业所在二级学院负责。以学生职业能力等级标准为依据，对职业能力测试等级、测试方式、测试内容、测试时间、组织安排、相关要求进行描述。</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专业模块测试统一按照两级进行设计，一级为毕业门槛，要求所有学生通过考核才能毕业。二级则是提供给具有较强学习能力的学生进行自选。测试应是综合性的，包括理论及实践测试，可设置为多个模块，各模块测试时间可灵活安排。鼓励职业能力测试与毕业设计结合开展。</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各专业职业能力测试应体现“6+N”评价维度，即至少从规范性、合作性、经济性、环保性、忠诚性、创新性6个维度进行评价（评分），此外还可根据专业特点增加，如展示性、功能性等等。6为必试维度，N为可选维度。</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（四）管理能力体系</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以培养自我管理能力、基层管理能力和精益生产管理能力为目标，开设管理类课程并把管理能力融入系列课程，开展全员实训管理，打造融入精益精神的教学和实训环境。</w:t>
      </w:r>
    </w:p>
    <w:p>
      <w:pPr>
        <w:pageBreakBefore w:val="0"/>
        <w:kinsoku/>
        <w:wordWrap/>
        <w:overflowPunct/>
        <w:topLinePunct w:val="0"/>
        <w:bidi w:val="0"/>
        <w:spacing w:line="596" w:lineRule="exact"/>
        <w:ind w:firstLine="643" w:firstLineChars="200"/>
        <w:jc w:val="center"/>
        <w:outlineLvl w:val="9"/>
        <w:rPr>
          <w:rFonts w:ascii="仿宋_GB2312" w:eastAsia="仿宋_GB2312"/>
          <w:b/>
          <w:bCs/>
          <w:sz w:val="32"/>
          <w:szCs w:val="32"/>
        </w:rPr>
      </w:pPr>
      <w:r>
        <w:rPr>
          <w:rFonts w:hint="eastAsia" w:ascii="仿宋_GB2312" w:eastAsia="仿宋_GB2312"/>
          <w:b/>
          <w:bCs/>
          <w:sz w:val="32"/>
          <w:szCs w:val="32"/>
        </w:rPr>
        <w:t>表5-5  管理能力体系一览表</w:t>
      </w:r>
    </w:p>
    <w:tbl>
      <w:tblPr>
        <w:tblStyle w:val="17"/>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3"/>
        <w:gridCol w:w="4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4343"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4177" w:type="dxa"/>
            <w:vAlign w:val="center"/>
          </w:tcPr>
          <w:p>
            <w:pPr>
              <w:pageBreakBefore w:val="0"/>
              <w:widowControl/>
              <w:kinsoku/>
              <w:wordWrap/>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4343" w:type="dxa"/>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1.精益生产与管理基础</w:t>
            </w:r>
          </w:p>
        </w:tc>
        <w:tc>
          <w:tcPr>
            <w:tcW w:w="4177" w:type="dxa"/>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全员实训管理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4343" w:type="dxa"/>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2.管理类选修课程</w:t>
            </w:r>
          </w:p>
        </w:tc>
        <w:tc>
          <w:tcPr>
            <w:tcW w:w="417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jc w:val="center"/>
        </w:trPr>
        <w:tc>
          <w:tcPr>
            <w:tcW w:w="4343"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3.专业类管理课程</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（具体化，每个专业至少1门）</w:t>
            </w:r>
          </w:p>
        </w:tc>
        <w:tc>
          <w:tcPr>
            <w:tcW w:w="4177" w:type="dxa"/>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（五）创新创业体系</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系统设计创新创业教育，细化创新创业素质能力要求，不断完善创新创业教育课程体系，针对不同学生的需求开设创新创业系列选修课程和培训课程，每个专业结合专业实际情况，开展“课程双创”教学改革。</w:t>
      </w:r>
    </w:p>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表5-6  创新创业能力体系一览表</w:t>
      </w:r>
    </w:p>
    <w:tbl>
      <w:tblPr>
        <w:tblStyle w:val="17"/>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4"/>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4024" w:type="dxa"/>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4495" w:type="dxa"/>
            <w:vAlign w:val="center"/>
          </w:tcPr>
          <w:p>
            <w:pPr>
              <w:pageBreakBefore w:val="0"/>
              <w:widowControl/>
              <w:kinsoku/>
              <w:wordWrap/>
              <w:overflowPunct/>
              <w:topLinePunct w:val="0"/>
              <w:bidi w:val="0"/>
              <w:spacing w:line="260" w:lineRule="exact"/>
              <w:jc w:val="center"/>
              <w:textAlignment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5" w:hRule="atLeast"/>
        </w:trPr>
        <w:tc>
          <w:tcPr>
            <w:tcW w:w="4024" w:type="dxa"/>
            <w:vAlign w:val="center"/>
          </w:tcPr>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1.职业发展与生涯规划</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2.职业发展与就业指导</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3.创新思维训练</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4.创新与创业实务</w:t>
            </w:r>
          </w:p>
        </w:tc>
        <w:tc>
          <w:tcPr>
            <w:tcW w:w="4495" w:type="dxa"/>
            <w:vAlign w:val="center"/>
          </w:tcPr>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1.创新创业训练营</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2.创客马拉松</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3.科学商店进社区</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4.双创活动月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4024" w:type="dxa"/>
            <w:vAlign w:val="center"/>
          </w:tcPr>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创新创业系列选修课程</w:t>
            </w:r>
          </w:p>
        </w:tc>
        <w:tc>
          <w:tcPr>
            <w:tcW w:w="4495" w:type="dxa"/>
            <w:vAlign w:val="center"/>
          </w:tcPr>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1.移动商务创业</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2.精益创业</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3.大学生KAB创业基础</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4.SYB创业基础</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5.创业之星虚拟运营</w:t>
            </w:r>
          </w:p>
          <w:p>
            <w:pPr>
              <w:pageBreakBefore w:val="0"/>
              <w:widowControl/>
              <w:kinsoku/>
              <w:wordWrap/>
              <w:overflowPunct/>
              <w:topLinePunct w:val="0"/>
              <w:bidi w:val="0"/>
              <w:spacing w:line="260" w:lineRule="exact"/>
              <w:jc w:val="lef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6.桌游艺术——职场能力训练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4024" w:type="dxa"/>
            <w:vAlign w:val="center"/>
          </w:tcPr>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专业类创新创业课程</w:t>
            </w:r>
          </w:p>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（具体化，每个专业至少2门）</w:t>
            </w:r>
          </w:p>
        </w:tc>
        <w:tc>
          <w:tcPr>
            <w:tcW w:w="4495" w:type="dxa"/>
            <w:vAlign w:val="center"/>
          </w:tcPr>
          <w:p>
            <w:pPr>
              <w:pageBreakBefore w:val="0"/>
              <w:widowControl/>
              <w:kinsoku/>
              <w:wordWrap/>
              <w:overflowPunct/>
              <w:topLinePunct w:val="0"/>
              <w:bidi w:val="0"/>
              <w:spacing w:line="260" w:lineRule="exact"/>
              <w:jc w:val="left"/>
              <w:textAlignment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六、人才培养工作安排</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（一）教学活动时间分配表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用图表的形式（见表6-1），对专业教学活动进行总体（含第一课堂和第二课堂）的规划，标明三年中每一个时段的不同的教学活动安排，除学校规定的表格项目外，各专业可以根据专业情况自行增加，但不得删除学校规定项目。</w:t>
      </w:r>
    </w:p>
    <w:p>
      <w:pPr>
        <w:pageBreakBefore w:val="0"/>
        <w:kinsoku/>
        <w:wordWrap/>
        <w:overflowPunct/>
        <w:topLinePunct w:val="0"/>
        <w:bidi w:val="0"/>
        <w:spacing w:line="596" w:lineRule="exact"/>
        <w:ind w:firstLine="643" w:firstLineChars="200"/>
        <w:jc w:val="center"/>
        <w:outlineLvl w:val="9"/>
        <w:rPr>
          <w:rFonts w:hint="eastAsia" w:ascii="仿宋_GB2312" w:eastAsia="仿宋_GB2312"/>
          <w:b/>
          <w:bCs/>
          <w:sz w:val="32"/>
          <w:szCs w:val="32"/>
        </w:rPr>
      </w:pPr>
      <w:r>
        <w:rPr>
          <w:rFonts w:hint="eastAsia" w:ascii="仿宋_GB2312" w:eastAsia="仿宋_GB2312"/>
          <w:b/>
          <w:bCs/>
          <w:sz w:val="32"/>
          <w:szCs w:val="32"/>
        </w:rPr>
        <w:t>表6-1  **专业教学活动时间分配表（单位：周）</w:t>
      </w:r>
    </w:p>
    <w:tbl>
      <w:tblPr>
        <w:tblStyle w:val="17"/>
        <w:tblW w:w="9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35"/>
        <w:gridCol w:w="1063"/>
        <w:gridCol w:w="1097"/>
        <w:gridCol w:w="1045"/>
        <w:gridCol w:w="1012"/>
        <w:gridCol w:w="891"/>
        <w:gridCol w:w="99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05" w:hRule="exact"/>
          <w:jc w:val="center"/>
        </w:trPr>
        <w:tc>
          <w:tcPr>
            <w:tcW w:w="2735" w:type="dxa"/>
            <w:vMerge w:val="restart"/>
            <w:vAlign w:val="center"/>
          </w:tcPr>
          <w:p>
            <w:pPr>
              <w:pStyle w:val="23"/>
              <w:pageBreakBefore w:val="0"/>
              <w:kinsoku/>
              <w:wordWrap/>
              <w:overflowPunct/>
              <w:topLinePunct w:val="0"/>
              <w:bidi w:val="0"/>
              <w:ind w:firstLine="480"/>
              <w:jc w:val="right"/>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学年</w:t>
            </w:r>
          </w:p>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周</w:t>
            </w:r>
          </w:p>
          <w:p>
            <w:pPr>
              <w:pStyle w:val="23"/>
              <w:pageBreakBefore w:val="0"/>
              <w:kinsoku/>
              <w:wordWrap/>
              <w:overflowPunct/>
              <w:topLinePunct w:val="0"/>
              <w:bidi w:val="0"/>
              <w:ind w:firstLine="480"/>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项目</w:t>
            </w:r>
            <w:r>
              <w:rPr>
                <w:rFonts w:hint="eastAsia" w:ascii="仿宋_GB2312" w:eastAsia="仿宋_GB2312" w:cs="宋体"/>
                <w:b/>
                <w:bCs/>
                <w:color w:val="000000"/>
                <w:kern w:val="0"/>
                <w:sz w:val="24"/>
                <w:szCs w:val="24"/>
              </w:rPr>
              <mc:AlternateContent>
                <mc:Choice Requires="wps">
                  <w:drawing>
                    <wp:anchor distT="0" distB="0" distL="114300" distR="114300" simplePos="0" relativeHeight="251727872" behindDoc="0" locked="1" layoutInCell="1" allowOverlap="1">
                      <wp:simplePos x="0" y="0"/>
                      <wp:positionH relativeFrom="column">
                        <wp:posOffset>895985</wp:posOffset>
                      </wp:positionH>
                      <wp:positionV relativeFrom="paragraph">
                        <wp:posOffset>-382270</wp:posOffset>
                      </wp:positionV>
                      <wp:extent cx="804545" cy="498475"/>
                      <wp:effectExtent l="2540" t="3810" r="12065" b="12065"/>
                      <wp:wrapNone/>
                      <wp:docPr id="256" name="直线连接符 256"/>
                      <wp:cNvGraphicFramePr/>
                      <a:graphic xmlns:a="http://schemas.openxmlformats.org/drawingml/2006/main">
                        <a:graphicData uri="http://schemas.microsoft.com/office/word/2010/wordprocessingShape">
                          <wps:wsp>
                            <wps:cNvCnPr>
                              <a:cxnSpLocks noChangeShapeType="1"/>
                            </wps:cNvCnPr>
                            <wps:spPr bwMode="auto">
                              <a:xfrm>
                                <a:off x="0" y="0"/>
                                <a:ext cx="804545" cy="498475"/>
                              </a:xfrm>
                              <a:prstGeom prst="line">
                                <a:avLst/>
                              </a:prstGeom>
                              <a:noFill/>
                              <a:ln w="9525">
                                <a:solidFill>
                                  <a:srgbClr val="000000"/>
                                </a:solidFill>
                                <a:round/>
                              </a:ln>
                              <a:effectLst/>
                            </wps:spPr>
                            <wps:bodyPr/>
                          </wps:wsp>
                        </a:graphicData>
                      </a:graphic>
                    </wp:anchor>
                  </w:drawing>
                </mc:Choice>
                <mc:Fallback>
                  <w:pict>
                    <v:line id="直线连接符 256" o:spid="_x0000_s1026" o:spt="20" style="position:absolute;left:0pt;margin-left:70.55pt;margin-top:-30.1pt;height:39.25pt;width:63.35pt;z-index:251727872;mso-width-relative:page;mso-height-relative:page;" filled="f" stroked="t" coordsize="21600,21600" o:gfxdata="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Iepz+1wAAAAoBAAAPAAAAAAAAAAEA&#10;IAAAACIAAABkcnMvZG93bnJldi54bWxQSwECFAAUAAAACACHTuJAU3XZJNcBAAByAwAADgAAAAAA&#10;AAABACAAAAAmAQAAZHJzL2Uyb0RvYy54bWxQSwUGAAAAAAYABgBZAQAAbwUAAAAA&#10;">
                      <v:fill on="f" focussize="0,0"/>
                      <v:stroke color="#000000" joinstyle="round"/>
                      <v:imagedata o:title=""/>
                      <o:lock v:ext="edit" aspectratio="f"/>
                      <w10:anchorlock/>
                    </v:line>
                  </w:pict>
                </mc:Fallback>
              </mc:AlternateContent>
            </w:r>
            <w:r>
              <w:rPr>
                <w:rFonts w:hint="eastAsia" w:ascii="仿宋_GB2312" w:eastAsia="仿宋_GB2312" w:cs="宋体"/>
                <w:b/>
                <w:bCs/>
                <w:color w:val="000000"/>
                <w:kern w:val="0"/>
                <w:sz w:val="24"/>
                <w:szCs w:val="24"/>
              </w:rPr>
              <mc:AlternateContent>
                <mc:Choice Requires="wps">
                  <w:drawing>
                    <wp:anchor distT="0" distB="0" distL="114300" distR="114300" simplePos="0" relativeHeight="251728896" behindDoc="0" locked="1" layoutInCell="1" allowOverlap="1">
                      <wp:simplePos x="0" y="0"/>
                      <wp:positionH relativeFrom="column">
                        <wp:posOffset>-24130</wp:posOffset>
                      </wp:positionH>
                      <wp:positionV relativeFrom="paragraph">
                        <wp:posOffset>-63500</wp:posOffset>
                      </wp:positionV>
                      <wp:extent cx="1680845" cy="201295"/>
                      <wp:effectExtent l="635" t="4445" r="13970" b="22860"/>
                      <wp:wrapNone/>
                      <wp:docPr id="255" name="直线连接符 255"/>
                      <wp:cNvGraphicFramePr/>
                      <a:graphic xmlns:a="http://schemas.openxmlformats.org/drawingml/2006/main">
                        <a:graphicData uri="http://schemas.microsoft.com/office/word/2010/wordprocessingShape">
                          <wps:wsp>
                            <wps:cNvCnPr>
                              <a:cxnSpLocks noChangeShapeType="1"/>
                            </wps:cNvCnPr>
                            <wps:spPr bwMode="auto">
                              <a:xfrm>
                                <a:off x="0" y="0"/>
                                <a:ext cx="1680845" cy="201295"/>
                              </a:xfrm>
                              <a:prstGeom prst="line">
                                <a:avLst/>
                              </a:prstGeom>
                              <a:noFill/>
                              <a:ln w="9525">
                                <a:solidFill>
                                  <a:srgbClr val="000000"/>
                                </a:solidFill>
                                <a:round/>
                              </a:ln>
                              <a:effectLst/>
                            </wps:spPr>
                            <wps:bodyPr/>
                          </wps:wsp>
                        </a:graphicData>
                      </a:graphic>
                    </wp:anchor>
                  </w:drawing>
                </mc:Choice>
                <mc:Fallback>
                  <w:pict>
                    <v:line id="直线连接符 255" o:spid="_x0000_s1026" o:spt="20" style="position:absolute;left:0pt;margin-left:-1.9pt;margin-top:-5pt;height:15.85pt;width:132.35pt;z-index:251728896;mso-width-relative:page;mso-height-relative:page;" filled="f" stroked="t" coordsize="21600,21600" o:gfxdata="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eUJfXAAAACQEAAA8AAAAAAAAA&#10;AQAgAAAAIgAAAGRycy9kb3ducmV2LnhtbFBLAQIUABQAAAAIAIdO4kDM2Fj22QEAAHMDAAAOAAAA&#10;AAAAAAEAIAAAACYBAABkcnMvZTJvRG9jLnhtbFBLBQYAAAAABgAGAFkBAABxBQAAAAA=&#10;">
                      <v:fill on="f" focussize="0,0"/>
                      <v:stroke color="#000000" joinstyle="round"/>
                      <v:imagedata o:title=""/>
                      <o:lock v:ext="edit" aspectratio="f"/>
                      <w10:anchorlock/>
                    </v:line>
                  </w:pict>
                </mc:Fallback>
              </mc:AlternateContent>
            </w:r>
          </w:p>
        </w:tc>
        <w:tc>
          <w:tcPr>
            <w:tcW w:w="2160"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一</w:t>
            </w:r>
          </w:p>
        </w:tc>
        <w:tc>
          <w:tcPr>
            <w:tcW w:w="2057"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二</w:t>
            </w:r>
          </w:p>
        </w:tc>
        <w:tc>
          <w:tcPr>
            <w:tcW w:w="1888"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三</w:t>
            </w:r>
          </w:p>
        </w:tc>
        <w:tc>
          <w:tcPr>
            <w:tcW w:w="992" w:type="dxa"/>
            <w:vMerge w:val="restart"/>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4" w:hRule="exact"/>
          <w:jc w:val="center"/>
        </w:trPr>
        <w:tc>
          <w:tcPr>
            <w:tcW w:w="2735" w:type="dxa"/>
            <w:vMerge w:val="continue"/>
            <w:vAlign w:val="center"/>
          </w:tcPr>
          <w:p>
            <w:pPr>
              <w:pStyle w:val="23"/>
              <w:pageBreakBefore w:val="0"/>
              <w:kinsoku/>
              <w:wordWrap/>
              <w:overflowPunct/>
              <w:topLinePunct w:val="0"/>
              <w:bidi w:val="0"/>
              <w:ind w:firstLine="480"/>
              <w:outlineLvl w:val="9"/>
              <w:rPr>
                <w:rFonts w:hint="eastAsia" w:ascii="仿宋_GB2312" w:eastAsia="仿宋_GB2312" w:cs="宋体"/>
                <w:color w:val="000000"/>
                <w:kern w:val="0"/>
                <w:sz w:val="24"/>
                <w:szCs w:val="24"/>
                <w:lang w:bidi="ar"/>
              </w:rPr>
            </w:pP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1</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2</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3</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4</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5</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6</w:t>
            </w:r>
          </w:p>
        </w:tc>
        <w:tc>
          <w:tcPr>
            <w:tcW w:w="992" w:type="dxa"/>
            <w:vMerge w:val="continue"/>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4"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1.学期教育总周数小计</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20</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其中：课堂教学</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集中实训教学</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0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军事技能</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6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毕业设计（论文）/职业能力测试</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实习</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校运会</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劳动周</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0.5</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2.寒暑假</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4</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6</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4</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6</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4</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6</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3.机动</w:t>
            </w:r>
          </w:p>
        </w:tc>
        <w:tc>
          <w:tcPr>
            <w:tcW w:w="1063"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10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104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101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891"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997"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66" w:hRule="exact"/>
          <w:jc w:val="center"/>
        </w:trPr>
        <w:tc>
          <w:tcPr>
            <w:tcW w:w="2735"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合计</w:t>
            </w:r>
          </w:p>
        </w:tc>
        <w:tc>
          <w:tcPr>
            <w:tcW w:w="2160"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52</w:t>
            </w:r>
          </w:p>
        </w:tc>
        <w:tc>
          <w:tcPr>
            <w:tcW w:w="2057"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52</w:t>
            </w:r>
          </w:p>
        </w:tc>
        <w:tc>
          <w:tcPr>
            <w:tcW w:w="1888" w:type="dxa"/>
            <w:gridSpan w:val="2"/>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52</w:t>
            </w:r>
          </w:p>
        </w:tc>
        <w:tc>
          <w:tcPr>
            <w:tcW w:w="992" w:type="dxa"/>
            <w:vAlign w:val="center"/>
          </w:tcPr>
          <w:p>
            <w:pPr>
              <w:pStyle w:val="23"/>
              <w:pageBreakBefore w:val="0"/>
              <w:kinsoku/>
              <w:wordWrap/>
              <w:overflowPunct/>
              <w:topLinePunct w:val="0"/>
              <w:bidi w:val="0"/>
              <w:ind w:firstLine="480"/>
              <w:jc w:val="center"/>
              <w:outlineLvl w:val="9"/>
              <w:rPr>
                <w:rFonts w:hint="eastAsia" w:ascii="仿宋_GB2312" w:eastAsia="仿宋_GB2312" w:cs="宋体"/>
                <w:color w:val="000000"/>
                <w:kern w:val="0"/>
                <w:sz w:val="24"/>
                <w:szCs w:val="24"/>
                <w:lang w:bidi="ar"/>
              </w:rPr>
            </w:pPr>
            <w:r>
              <w:rPr>
                <w:rFonts w:hint="eastAsia" w:ascii="仿宋_GB2312" w:eastAsia="仿宋_GB2312" w:cs="宋体"/>
                <w:color w:val="000000"/>
                <w:kern w:val="0"/>
                <w:sz w:val="24"/>
                <w:szCs w:val="24"/>
                <w:lang w:bidi="ar"/>
              </w:rPr>
              <w:t>156</w:t>
            </w:r>
          </w:p>
        </w:tc>
      </w:tr>
    </w:tbl>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（二）课程学分学时比例构成表</w:t>
      </w:r>
    </w:p>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表6-2   各类课程学分学时比例构成表</w:t>
      </w:r>
    </w:p>
    <w:tbl>
      <w:tblPr>
        <w:tblStyle w:val="17"/>
        <w:tblW w:w="8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576"/>
        <w:gridCol w:w="576"/>
        <w:gridCol w:w="934"/>
        <w:gridCol w:w="934"/>
        <w:gridCol w:w="236"/>
        <w:gridCol w:w="934"/>
        <w:gridCol w:w="575"/>
        <w:gridCol w:w="575"/>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纵向结构</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学分</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w:t>
            </w: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学分比例</w:t>
            </w:r>
            <w:r>
              <w:rPr>
                <w:rFonts w:hint="eastAsia" w:ascii="仿宋_GB2312" w:hAnsi="宋体" w:eastAsia="仿宋_GB2312" w:cs="宋体"/>
                <w:b/>
                <w:bCs/>
                <w:color w:val="000000"/>
                <w:kern w:val="0"/>
                <w:sz w:val="24"/>
                <w:lang w:bidi="ar"/>
              </w:rPr>
              <w:br w:type="textWrapping"/>
            </w:r>
            <w:r>
              <w:rPr>
                <w:rFonts w:hint="eastAsia" w:ascii="仿宋_GB2312" w:hAnsi="宋体" w:eastAsia="仿宋_GB2312" w:cs="宋体"/>
                <w:b/>
                <w:bCs/>
                <w:color w:val="000000"/>
                <w:kern w:val="0"/>
                <w:sz w:val="24"/>
                <w:lang w:bidi="ar"/>
              </w:rPr>
              <w:t>（%）</w:t>
            </w: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学时比例</w:t>
            </w:r>
            <w:r>
              <w:rPr>
                <w:rFonts w:hint="eastAsia" w:ascii="仿宋_GB2312" w:hAnsi="宋体" w:eastAsia="仿宋_GB2312" w:cs="宋体"/>
                <w:b/>
                <w:bCs/>
                <w:color w:val="000000"/>
                <w:kern w:val="0"/>
                <w:sz w:val="24"/>
                <w:lang w:bidi="ar"/>
              </w:rPr>
              <w:br w:type="textWrapping"/>
            </w:r>
            <w:r>
              <w:rPr>
                <w:rFonts w:hint="eastAsia" w:ascii="仿宋_GB2312" w:hAnsi="宋体" w:eastAsia="仿宋_GB2312" w:cs="宋体"/>
                <w:b/>
                <w:bCs/>
                <w:color w:val="000000"/>
                <w:kern w:val="0"/>
                <w:sz w:val="24"/>
                <w:lang w:bidi="ar"/>
              </w:rPr>
              <w:t>（%）</w:t>
            </w:r>
          </w:p>
        </w:tc>
        <w:tc>
          <w:tcPr>
            <w:tcW w:w="236" w:type="dxa"/>
            <w:vMerge w:val="restart"/>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横向结构</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学分</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w:t>
            </w: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学分比例</w:t>
            </w:r>
            <w:r>
              <w:rPr>
                <w:rFonts w:hint="eastAsia" w:ascii="仿宋_GB2312" w:hAnsi="宋体" w:eastAsia="仿宋_GB2312" w:cs="宋体"/>
                <w:b/>
                <w:bCs/>
                <w:color w:val="000000"/>
                <w:kern w:val="0"/>
                <w:sz w:val="24"/>
                <w:lang w:bidi="ar"/>
              </w:rPr>
              <w:br w:type="textWrapping"/>
            </w:r>
            <w:r>
              <w:rPr>
                <w:rFonts w:hint="eastAsia" w:ascii="仿宋_GB2312" w:hAnsi="宋体" w:eastAsia="仿宋_GB2312" w:cs="宋体"/>
                <w:b/>
                <w:bCs/>
                <w:color w:val="000000"/>
                <w:kern w:val="0"/>
                <w:sz w:val="24"/>
                <w:lang w:bidi="ar"/>
              </w:rPr>
              <w:t>（%）</w:t>
            </w: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学时比例</w:t>
            </w:r>
            <w:r>
              <w:rPr>
                <w:rFonts w:hint="eastAsia" w:ascii="仿宋_GB2312" w:hAnsi="宋体" w:eastAsia="仿宋_GB2312" w:cs="宋体"/>
                <w:b/>
                <w:bCs/>
                <w:color w:val="000000"/>
                <w:kern w:val="0"/>
                <w:sz w:val="24"/>
                <w:lang w:bidi="ar"/>
              </w:rPr>
              <w:br w:type="textWrapping"/>
            </w:r>
            <w:r>
              <w:rPr>
                <w:rFonts w:hint="eastAsia" w:ascii="仿宋_GB2312" w:hAnsi="宋体" w:eastAsia="仿宋_GB2312" w:cs="宋体"/>
                <w:b/>
                <w:bCs/>
                <w:color w:val="000000"/>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公共必修课程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必修课</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群平台</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选修课</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专业方向课程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合计</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专业拓展课程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理论学时</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综合实践课程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实践学时</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合计</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合计</w:t>
            </w: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新技术</w:t>
            </w:r>
          </w:p>
          <w:p>
            <w:pPr>
              <w:pageBreakBefore w:val="0"/>
              <w:widowControl/>
              <w:kinsoku/>
              <w:wordWrap/>
              <w:overflowPunct/>
              <w:topLinePunct w:val="0"/>
              <w:bidi w:val="0"/>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294" w:type="dxa"/>
            <w:vAlign w:val="center"/>
          </w:tcPr>
          <w:p>
            <w:pPr>
              <w:pageBreakBefore w:val="0"/>
              <w:widowControl/>
              <w:kinsoku/>
              <w:wordWrap/>
              <w:overflowPunct/>
              <w:topLinePunct w:val="0"/>
              <w:bidi w:val="0"/>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统考课程</w:t>
            </w: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6"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236" w:type="dxa"/>
            <w:vMerge w:val="continue"/>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75"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934" w:type="dxa"/>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（三）第一课堂进程安排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第一课堂进程安排，见附件3。</w:t>
      </w:r>
    </w:p>
    <w:p>
      <w:pPr>
        <w:pStyle w:val="23"/>
        <w:pageBreakBefore w:val="0"/>
        <w:kinsoku/>
        <w:wordWrap/>
        <w:overflowPunct/>
        <w:topLinePunct w:val="0"/>
        <w:bidi w:val="0"/>
        <w:ind w:firstLine="640"/>
        <w:jc w:val="center"/>
        <w:outlineLvl w:val="9"/>
        <w:rPr>
          <w:rFonts w:hint="eastAsia" w:ascii="仿宋_GB2312" w:hAnsi="Times New Roman" w:eastAsia="仿宋_GB2312"/>
          <w:b/>
          <w:bCs/>
          <w:sz w:val="32"/>
          <w:szCs w:val="32"/>
        </w:rPr>
      </w:pPr>
      <w:r>
        <w:rPr>
          <w:rFonts w:hint="eastAsia" w:ascii="仿宋_GB2312" w:hAnsi="Times New Roman" w:eastAsia="仿宋_GB2312"/>
          <w:b/>
          <w:bCs/>
          <w:sz w:val="32"/>
          <w:szCs w:val="32"/>
        </w:rPr>
        <w:t>表6-3  第一课堂进程安排表</w:t>
      </w:r>
    </w:p>
    <w:tbl>
      <w:tblPr>
        <w:tblStyle w:val="17"/>
        <w:tblW w:w="8884" w:type="dxa"/>
        <w:tblInd w:w="0" w:type="dxa"/>
        <w:tblLayout w:type="fixed"/>
        <w:tblCellMar>
          <w:top w:w="0" w:type="dxa"/>
          <w:left w:w="108" w:type="dxa"/>
          <w:bottom w:w="0" w:type="dxa"/>
          <w:right w:w="108" w:type="dxa"/>
        </w:tblCellMar>
      </w:tblPr>
      <w:tblGrid>
        <w:gridCol w:w="539"/>
        <w:gridCol w:w="539"/>
        <w:gridCol w:w="449"/>
        <w:gridCol w:w="494"/>
        <w:gridCol w:w="473"/>
        <w:gridCol w:w="473"/>
        <w:gridCol w:w="832"/>
        <w:gridCol w:w="810"/>
        <w:gridCol w:w="420"/>
        <w:gridCol w:w="450"/>
        <w:gridCol w:w="330"/>
        <w:gridCol w:w="345"/>
        <w:gridCol w:w="375"/>
        <w:gridCol w:w="315"/>
        <w:gridCol w:w="360"/>
        <w:gridCol w:w="360"/>
        <w:gridCol w:w="540"/>
        <w:gridCol w:w="780"/>
      </w:tblGrid>
      <w:tr>
        <w:tblPrEx>
          <w:tblLayout w:type="fixed"/>
          <w:tblCellMar>
            <w:top w:w="0" w:type="dxa"/>
            <w:left w:w="108" w:type="dxa"/>
            <w:bottom w:w="0" w:type="dxa"/>
            <w:right w:w="108" w:type="dxa"/>
          </w:tblCellMar>
        </w:tblPrEx>
        <w:trPr>
          <w:trHeight w:val="272" w:hRule="atLeast"/>
        </w:trPr>
        <w:tc>
          <w:tcPr>
            <w:tcW w:w="1078" w:type="dxa"/>
            <w:gridSpan w:val="2"/>
            <w:vMerge w:val="restart"/>
            <w:tcBorders>
              <w:top w:val="single" w:color="auto" w:sz="4" w:space="0"/>
              <w:left w:val="single" w:color="auto" w:sz="4" w:space="0"/>
              <w:bottom w:val="single" w:color="000000" w:sz="4" w:space="0"/>
              <w:right w:val="single" w:color="000000"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模块名称及比例</w:t>
            </w:r>
          </w:p>
        </w:tc>
        <w:tc>
          <w:tcPr>
            <w:tcW w:w="449"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494"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473"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总学分</w:t>
            </w:r>
          </w:p>
        </w:tc>
        <w:tc>
          <w:tcPr>
            <w:tcW w:w="473" w:type="dxa"/>
            <w:vMerge w:val="restart"/>
            <w:tcBorders>
              <w:top w:val="single" w:color="auto" w:sz="4" w:space="0"/>
              <w:left w:val="single" w:color="auto" w:sz="4" w:space="0"/>
              <w:bottom w:val="single" w:color="000000"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总学时</w:t>
            </w:r>
          </w:p>
        </w:tc>
        <w:tc>
          <w:tcPr>
            <w:tcW w:w="1642"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课内课外学时构成</w:t>
            </w:r>
          </w:p>
        </w:tc>
        <w:tc>
          <w:tcPr>
            <w:tcW w:w="870"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理论实践学时构成</w:t>
            </w:r>
          </w:p>
        </w:tc>
        <w:tc>
          <w:tcPr>
            <w:tcW w:w="675"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第一学年</w:t>
            </w:r>
          </w:p>
        </w:tc>
        <w:tc>
          <w:tcPr>
            <w:tcW w:w="690"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第二学年</w:t>
            </w:r>
          </w:p>
        </w:tc>
        <w:tc>
          <w:tcPr>
            <w:tcW w:w="720"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第三学年</w:t>
            </w:r>
          </w:p>
        </w:tc>
        <w:tc>
          <w:tcPr>
            <w:tcW w:w="540" w:type="dxa"/>
            <w:vMerge w:val="restart"/>
            <w:tcBorders>
              <w:top w:val="single" w:color="auto" w:sz="4" w:space="0"/>
              <w:left w:val="nil"/>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是否统考</w:t>
            </w:r>
          </w:p>
        </w:tc>
        <w:tc>
          <w:tcPr>
            <w:tcW w:w="780" w:type="dxa"/>
            <w:vMerge w:val="restart"/>
            <w:tcBorders>
              <w:top w:val="single" w:color="auto" w:sz="4" w:space="0"/>
              <w:left w:val="nil"/>
              <w:right w:val="single" w:color="auto" w:sz="4" w:space="0"/>
            </w:tcBorders>
            <w:vAlign w:val="center"/>
          </w:tcPr>
          <w:p>
            <w:pPr>
              <w:pageBreakBefore w:val="0"/>
              <w:widowControl/>
              <w:kinsoku/>
              <w:wordWrap/>
              <w:overflowPunct/>
              <w:topLinePunct w:val="0"/>
              <w:bidi w:val="0"/>
              <w:jc w:val="center"/>
              <w:outlineLvl w:val="9"/>
              <w:rPr>
                <w:rFonts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是否新技术课程</w:t>
            </w:r>
          </w:p>
        </w:tc>
      </w:tr>
      <w:tr>
        <w:tblPrEx>
          <w:tblLayout w:type="fixed"/>
          <w:tblCellMar>
            <w:top w:w="0" w:type="dxa"/>
            <w:left w:w="108" w:type="dxa"/>
            <w:bottom w:w="0" w:type="dxa"/>
            <w:right w:w="108" w:type="dxa"/>
          </w:tblCellMar>
        </w:tblPrEx>
        <w:trPr>
          <w:trHeight w:val="272" w:hRule="atLeast"/>
        </w:trPr>
        <w:tc>
          <w:tcPr>
            <w:tcW w:w="1078" w:type="dxa"/>
            <w:gridSpan w:val="2"/>
            <w:vMerge w:val="continue"/>
            <w:tcBorders>
              <w:top w:val="single" w:color="auto" w:sz="4" w:space="0"/>
              <w:left w:val="single" w:color="auto" w:sz="4" w:space="0"/>
              <w:bottom w:val="single" w:color="auto" w:sz="4" w:space="0"/>
              <w:right w:val="single" w:color="000000"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44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49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473"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473"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p>
        </w:tc>
        <w:tc>
          <w:tcPr>
            <w:tcW w:w="832"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课内（线上）</w:t>
            </w:r>
          </w:p>
        </w:tc>
        <w:tc>
          <w:tcPr>
            <w:tcW w:w="81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课外（线下）</w:t>
            </w: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理论</w:t>
            </w: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实践</w:t>
            </w: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1</w:t>
            </w: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2</w:t>
            </w:r>
          </w:p>
        </w:tc>
        <w:tc>
          <w:tcPr>
            <w:tcW w:w="375"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3</w:t>
            </w:r>
          </w:p>
        </w:tc>
        <w:tc>
          <w:tcPr>
            <w:tcW w:w="315"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4</w:t>
            </w:r>
          </w:p>
        </w:tc>
        <w:tc>
          <w:tcPr>
            <w:tcW w:w="36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5</w:t>
            </w:r>
          </w:p>
        </w:tc>
        <w:tc>
          <w:tcPr>
            <w:tcW w:w="36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6</w:t>
            </w:r>
          </w:p>
        </w:tc>
        <w:tc>
          <w:tcPr>
            <w:tcW w:w="540" w:type="dxa"/>
            <w:vMerge w:val="continue"/>
            <w:tcBorders>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vMerge w:val="continue"/>
            <w:tcBorders>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39" w:type="dxa"/>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必修课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公共必修课程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39" w:type="dxa"/>
            <w:vMerge w:val="continue"/>
            <w:tcBorders>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限定选修课程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1956" w:hRule="atLeast"/>
        </w:trPr>
        <w:tc>
          <w:tcPr>
            <w:tcW w:w="539" w:type="dxa"/>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专业必修课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群平台课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1616" w:hRule="atLeast"/>
        </w:trPr>
        <w:tc>
          <w:tcPr>
            <w:tcW w:w="539" w:type="dxa"/>
            <w:vMerge w:val="continue"/>
            <w:tcBorders>
              <w:left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专业方向课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39" w:type="dxa"/>
            <w:vMerge w:val="continue"/>
            <w:tcBorders>
              <w:left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专业拓展课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39" w:type="dxa"/>
            <w:vMerge w:val="continue"/>
            <w:tcBorders>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综合实践课</w:t>
            </w:r>
          </w:p>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专业选修课程</w:t>
            </w:r>
          </w:p>
        </w:tc>
        <w:tc>
          <w:tcPr>
            <w:tcW w:w="53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专业选修课程</w:t>
            </w:r>
          </w:p>
        </w:tc>
        <w:tc>
          <w:tcPr>
            <w:tcW w:w="44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94"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7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81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45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4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7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15"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36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54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jc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（四）第二课堂教育活动进程安排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第二课堂教育活动进程安排，见附件4。</w:t>
      </w:r>
    </w:p>
    <w:p>
      <w:pPr>
        <w:pStyle w:val="23"/>
        <w:pageBreakBefore w:val="0"/>
        <w:kinsoku/>
        <w:wordWrap/>
        <w:overflowPunct/>
        <w:topLinePunct w:val="0"/>
        <w:bidi w:val="0"/>
        <w:ind w:firstLine="640"/>
        <w:jc w:val="center"/>
        <w:outlineLvl w:val="9"/>
        <w:rPr>
          <w:rFonts w:hint="eastAsia" w:ascii="仿宋_GB2312" w:hAnsi="Times New Roman" w:eastAsia="仿宋_GB2312"/>
          <w:b/>
          <w:bCs/>
          <w:sz w:val="32"/>
          <w:szCs w:val="32"/>
        </w:rPr>
      </w:pPr>
      <w:r>
        <w:rPr>
          <w:rFonts w:hint="eastAsia" w:ascii="仿宋_GB2312" w:hAnsi="Times New Roman" w:eastAsia="仿宋_GB2312"/>
          <w:b/>
          <w:bCs/>
          <w:sz w:val="32"/>
          <w:szCs w:val="32"/>
        </w:rPr>
        <w:t>表6-4  非专业类第二课堂教育活动进程表</w:t>
      </w:r>
    </w:p>
    <w:tbl>
      <w:tblPr>
        <w:tblStyle w:val="1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681"/>
        <w:gridCol w:w="1387"/>
        <w:gridCol w:w="794"/>
        <w:gridCol w:w="440"/>
        <w:gridCol w:w="399"/>
        <w:gridCol w:w="430"/>
        <w:gridCol w:w="360"/>
        <w:gridCol w:w="360"/>
        <w:gridCol w:w="474"/>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517"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681"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活动体系分类（基本素养、专业能力、管理能力、创新创业）</w:t>
            </w:r>
          </w:p>
        </w:tc>
        <w:tc>
          <w:tcPr>
            <w:tcW w:w="1387"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活动名称</w:t>
            </w:r>
          </w:p>
        </w:tc>
        <w:tc>
          <w:tcPr>
            <w:tcW w:w="794"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活动分</w:t>
            </w:r>
          </w:p>
        </w:tc>
        <w:tc>
          <w:tcPr>
            <w:tcW w:w="2463" w:type="dxa"/>
            <w:gridSpan w:val="6"/>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学期安排</w:t>
            </w:r>
          </w:p>
        </w:tc>
        <w:tc>
          <w:tcPr>
            <w:tcW w:w="1677"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exact"/>
          <w:jc w:val="center"/>
        </w:trPr>
        <w:tc>
          <w:tcPr>
            <w:tcW w:w="517"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1681"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1387"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794"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44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1</w:t>
            </w:r>
          </w:p>
        </w:tc>
        <w:tc>
          <w:tcPr>
            <w:tcW w:w="399"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2</w:t>
            </w:r>
          </w:p>
        </w:tc>
        <w:tc>
          <w:tcPr>
            <w:tcW w:w="43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3</w:t>
            </w: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4</w:t>
            </w: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5</w:t>
            </w:r>
          </w:p>
        </w:tc>
        <w:tc>
          <w:tcPr>
            <w:tcW w:w="47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6</w:t>
            </w:r>
          </w:p>
        </w:tc>
        <w:tc>
          <w:tcPr>
            <w:tcW w:w="1677"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51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1681"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1387"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9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99"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3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7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167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jc w:val="center"/>
        </w:trPr>
        <w:tc>
          <w:tcPr>
            <w:tcW w:w="51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1681"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1387"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9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99"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3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7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1677"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51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1681"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1387"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c>
          <w:tcPr>
            <w:tcW w:w="79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99"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3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36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7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1677" w:type="dxa"/>
            <w:vAlign w:val="center"/>
          </w:tcPr>
          <w:p>
            <w:pPr>
              <w:pageBreakBefore w:val="0"/>
              <w:kinsoku/>
              <w:wordWrap/>
              <w:overflowPunct/>
              <w:topLinePunct w:val="0"/>
              <w:bidi w:val="0"/>
              <w:jc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表6-5  专业类第二课堂教育活动进程表</w:t>
      </w:r>
    </w:p>
    <w:tbl>
      <w:tblPr>
        <w:tblStyle w:val="1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871"/>
        <w:gridCol w:w="970"/>
        <w:gridCol w:w="537"/>
        <w:gridCol w:w="487"/>
        <w:gridCol w:w="527"/>
        <w:gridCol w:w="441"/>
        <w:gridCol w:w="441"/>
        <w:gridCol w:w="564"/>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636"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871"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活动体系分类（基本素养、专业能力、管理能力、创新创业）</w:t>
            </w:r>
          </w:p>
        </w:tc>
        <w:tc>
          <w:tcPr>
            <w:tcW w:w="970"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活动分</w:t>
            </w:r>
          </w:p>
        </w:tc>
        <w:tc>
          <w:tcPr>
            <w:tcW w:w="2997" w:type="dxa"/>
            <w:gridSpan w:val="6"/>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学期安排</w:t>
            </w:r>
          </w:p>
        </w:tc>
        <w:tc>
          <w:tcPr>
            <w:tcW w:w="2045" w:type="dxa"/>
            <w:vMerge w:val="restart"/>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exact"/>
          <w:jc w:val="center"/>
        </w:trPr>
        <w:tc>
          <w:tcPr>
            <w:tcW w:w="636"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1871"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970"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p>
        </w:tc>
        <w:tc>
          <w:tcPr>
            <w:tcW w:w="53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1</w:t>
            </w:r>
          </w:p>
        </w:tc>
        <w:tc>
          <w:tcPr>
            <w:tcW w:w="48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2</w:t>
            </w:r>
          </w:p>
        </w:tc>
        <w:tc>
          <w:tcPr>
            <w:tcW w:w="52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3</w:t>
            </w: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4</w:t>
            </w: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5</w:t>
            </w:r>
          </w:p>
        </w:tc>
        <w:tc>
          <w:tcPr>
            <w:tcW w:w="56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6</w:t>
            </w:r>
          </w:p>
        </w:tc>
        <w:tc>
          <w:tcPr>
            <w:tcW w:w="2045" w:type="dxa"/>
            <w:vMerge w:val="continue"/>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636"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187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97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3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8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2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6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2045"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jc w:val="center"/>
        </w:trPr>
        <w:tc>
          <w:tcPr>
            <w:tcW w:w="636"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187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97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3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8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2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6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2045"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636"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187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970"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3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8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27"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441"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564"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c>
          <w:tcPr>
            <w:tcW w:w="2045" w:type="dxa"/>
            <w:vAlign w:val="center"/>
          </w:tcPr>
          <w:p>
            <w:pPr>
              <w:pStyle w:val="25"/>
              <w:pageBreakBefore w:val="0"/>
              <w:kinsoku/>
              <w:wordWrap/>
              <w:overflowPunct/>
              <w:topLinePunct w:val="0"/>
              <w:bidi w:val="0"/>
              <w:spacing w:beforeLines="0" w:afterLines="0" w:line="240" w:lineRule="auto"/>
              <w:jc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（五）专业选修课安排</w:t>
      </w:r>
    </w:p>
    <w:p>
      <w:pPr>
        <w:pageBreakBefore w:val="0"/>
        <w:kinsoku/>
        <w:wordWrap/>
        <w:overflowPunct/>
        <w:topLinePunct w:val="0"/>
        <w:bidi w:val="0"/>
        <w:spacing w:line="596" w:lineRule="exact"/>
        <w:ind w:firstLine="640" w:firstLineChars="200"/>
        <w:outlineLvl w:val="9"/>
        <w:rPr>
          <w:rFonts w:hint="eastAsia" w:ascii="宋体" w:hAnsi="宋体"/>
          <w:b/>
          <w:color w:val="000000"/>
          <w:sz w:val="32"/>
          <w:szCs w:val="32"/>
        </w:rPr>
      </w:pPr>
      <w:r>
        <w:rPr>
          <w:rFonts w:hint="eastAsia" w:ascii="仿宋_GB2312" w:eastAsia="仿宋_GB2312"/>
          <w:sz w:val="32"/>
          <w:szCs w:val="32"/>
        </w:rPr>
        <w:t>专业选修课是在一定的专业学习的基础上，为特定专业学生开设的、用于加深或拓展特定专业技能的课程。</w:t>
      </w:r>
    </w:p>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表6-6   专业选修课安排表</w:t>
      </w:r>
      <w:bookmarkStart w:id="413" w:name="_Toc257988334"/>
    </w:p>
    <w:tbl>
      <w:tblPr>
        <w:tblStyle w:val="1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806"/>
        <w:gridCol w:w="731"/>
        <w:gridCol w:w="621"/>
        <w:gridCol w:w="994"/>
        <w:gridCol w:w="1739"/>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jc w:val="both"/>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序号</w:t>
            </w:r>
          </w:p>
        </w:tc>
        <w:tc>
          <w:tcPr>
            <w:tcW w:w="2806"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课程名称</w:t>
            </w:r>
          </w:p>
        </w:tc>
        <w:tc>
          <w:tcPr>
            <w:tcW w:w="73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jc w:val="both"/>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学时</w:t>
            </w:r>
          </w:p>
        </w:tc>
        <w:tc>
          <w:tcPr>
            <w:tcW w:w="62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480"/>
              <w:jc w:val="center"/>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学分</w:t>
            </w:r>
          </w:p>
        </w:tc>
        <w:tc>
          <w:tcPr>
            <w:tcW w:w="994"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jc w:val="both"/>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开课 学期</w:t>
            </w:r>
          </w:p>
        </w:tc>
        <w:tc>
          <w:tcPr>
            <w:tcW w:w="1739"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480"/>
              <w:jc w:val="both"/>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面向专业</w:t>
            </w:r>
          </w:p>
        </w:tc>
        <w:tc>
          <w:tcPr>
            <w:tcW w:w="95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jc w:val="both"/>
              <w:outlineLvl w:val="9"/>
              <w:rPr>
                <w:rFonts w:hint="eastAsia" w:ascii="仿宋_GB2312" w:eastAsia="仿宋_GB2312" w:cs="宋体"/>
                <w:b/>
                <w:bCs/>
                <w:color w:val="000000"/>
                <w:kern w:val="0"/>
                <w:sz w:val="24"/>
                <w:szCs w:val="24"/>
                <w:lang w:bidi="ar"/>
              </w:rPr>
            </w:pPr>
            <w:r>
              <w:rPr>
                <w:rFonts w:hint="eastAsia" w:ascii="仿宋_GB2312" w:eastAsia="仿宋_GB2312" w:cs="宋体"/>
                <w:b/>
                <w:bCs/>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jc w:val="center"/>
              <w:outlineLvl w:val="9"/>
              <w:rPr>
                <w:sz w:val="32"/>
                <w:szCs w:val="32"/>
              </w:rPr>
            </w:pPr>
          </w:p>
        </w:tc>
        <w:tc>
          <w:tcPr>
            <w:tcW w:w="2806"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73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62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1739"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5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jc w:val="center"/>
              <w:outlineLvl w:val="9"/>
              <w:rPr>
                <w:sz w:val="32"/>
                <w:szCs w:val="32"/>
              </w:rPr>
            </w:pPr>
          </w:p>
        </w:tc>
        <w:tc>
          <w:tcPr>
            <w:tcW w:w="2806"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73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62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1739"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5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jc w:val="center"/>
              <w:outlineLvl w:val="9"/>
              <w:rPr>
                <w:sz w:val="32"/>
                <w:szCs w:val="32"/>
              </w:rPr>
            </w:pPr>
          </w:p>
        </w:tc>
        <w:tc>
          <w:tcPr>
            <w:tcW w:w="2806"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73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621"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1739" w:type="dxa"/>
            <w:tcBorders>
              <w:left w:val="single" w:color="auto" w:sz="4" w:space="0"/>
              <w:right w:val="single" w:color="auto" w:sz="4" w:space="0"/>
            </w:tcBorders>
            <w:vAlign w:val="center"/>
          </w:tcPr>
          <w:p>
            <w:pPr>
              <w:pStyle w:val="23"/>
              <w:pageBreakBefore w:val="0"/>
              <w:kinsoku/>
              <w:wordWrap/>
              <w:overflowPunct/>
              <w:topLinePunct w:val="0"/>
              <w:bidi w:val="0"/>
              <w:ind w:firstLine="640"/>
              <w:outlineLvl w:val="9"/>
              <w:rPr>
                <w:sz w:val="32"/>
                <w:szCs w:val="32"/>
              </w:rPr>
            </w:pPr>
          </w:p>
        </w:tc>
        <w:tc>
          <w:tcPr>
            <w:tcW w:w="951" w:type="dxa"/>
            <w:tcBorders>
              <w:left w:val="single" w:color="auto" w:sz="4" w:space="0"/>
              <w:right w:val="single" w:color="auto" w:sz="4" w:space="0"/>
            </w:tcBorders>
          </w:tcPr>
          <w:p>
            <w:pPr>
              <w:pStyle w:val="23"/>
              <w:pageBreakBefore w:val="0"/>
              <w:kinsoku/>
              <w:wordWrap/>
              <w:overflowPunct/>
              <w:topLinePunct w:val="0"/>
              <w:bidi w:val="0"/>
              <w:ind w:firstLine="640"/>
              <w:outlineLvl w:val="9"/>
              <w:rPr>
                <w:sz w:val="32"/>
                <w:szCs w:val="32"/>
              </w:rPr>
            </w:pPr>
          </w:p>
        </w:tc>
      </w:tr>
      <w:bookmarkEnd w:id="413"/>
    </w:tbl>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七、实施保障</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（一）实训基地配备</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以一个实践教学班30人（计算机类课程50人）为标准，校内基地和校外基地结合，规划完成实践教学项目需要配备的实训室、实训设备等。融入新技术的实训室请在备注中进行标识。见表7-1。</w:t>
      </w:r>
    </w:p>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表7-1  实训条件配备</w:t>
      </w:r>
    </w:p>
    <w:tbl>
      <w:tblPr>
        <w:tblStyle w:val="17"/>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55"/>
        <w:gridCol w:w="1380"/>
        <w:gridCol w:w="1695"/>
        <w:gridCol w:w="1230"/>
        <w:gridCol w:w="186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724" w:type="dxa"/>
            <w:vAlign w:val="center"/>
          </w:tcPr>
          <w:p>
            <w:pPr>
              <w:pageBreakBefore w:val="0"/>
              <w:kinsoku/>
              <w:wordWrap/>
              <w:overflowPunct/>
              <w:topLinePunct w:val="0"/>
              <w:bidi w:val="0"/>
              <w:jc w:val="left"/>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1455"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实训室名称</w:t>
            </w:r>
          </w:p>
        </w:tc>
        <w:tc>
          <w:tcPr>
            <w:tcW w:w="1380"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校内/校外</w:t>
            </w:r>
          </w:p>
        </w:tc>
        <w:tc>
          <w:tcPr>
            <w:tcW w:w="1695"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主要设备名称</w:t>
            </w:r>
          </w:p>
        </w:tc>
        <w:tc>
          <w:tcPr>
            <w:tcW w:w="1230"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配备数量</w:t>
            </w:r>
          </w:p>
        </w:tc>
        <w:tc>
          <w:tcPr>
            <w:tcW w:w="1860"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实训项目/内容</w:t>
            </w:r>
          </w:p>
        </w:tc>
        <w:tc>
          <w:tcPr>
            <w:tcW w:w="645" w:type="dxa"/>
            <w:vAlign w:val="center"/>
          </w:tcPr>
          <w:p>
            <w:pPr>
              <w:pageBreakBefore w:val="0"/>
              <w:kinsoku/>
              <w:wordWrap/>
              <w:overflowPunct/>
              <w:topLinePunct w:val="0"/>
              <w:bidi w:val="0"/>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724" w:type="dxa"/>
            <w:vAlign w:val="center"/>
          </w:tcPr>
          <w:p>
            <w:pPr>
              <w:pageBreakBefore w:val="0"/>
              <w:kinsoku/>
              <w:wordWrap/>
              <w:overflowPunct/>
              <w:topLinePunct w:val="0"/>
              <w:bidi w:val="0"/>
              <w:outlineLvl w:val="9"/>
              <w:rPr>
                <w:rFonts w:ascii="宋体" w:hAnsi="宋体"/>
                <w:color w:val="FF0000"/>
                <w:sz w:val="32"/>
                <w:szCs w:val="32"/>
              </w:rPr>
            </w:pPr>
          </w:p>
        </w:tc>
        <w:tc>
          <w:tcPr>
            <w:tcW w:w="1455" w:type="dxa"/>
            <w:vAlign w:val="center"/>
          </w:tcPr>
          <w:p>
            <w:pPr>
              <w:pageBreakBefore w:val="0"/>
              <w:kinsoku/>
              <w:wordWrap/>
              <w:overflowPunct/>
              <w:topLinePunct w:val="0"/>
              <w:bidi w:val="0"/>
              <w:outlineLvl w:val="9"/>
              <w:rPr>
                <w:rFonts w:ascii="宋体" w:hAnsi="宋体"/>
                <w:color w:val="FF0000"/>
                <w:sz w:val="32"/>
                <w:szCs w:val="32"/>
              </w:rPr>
            </w:pPr>
          </w:p>
        </w:tc>
        <w:tc>
          <w:tcPr>
            <w:tcW w:w="1380" w:type="dxa"/>
            <w:vAlign w:val="center"/>
          </w:tcPr>
          <w:p>
            <w:pPr>
              <w:pageBreakBefore w:val="0"/>
              <w:kinsoku/>
              <w:wordWrap/>
              <w:overflowPunct/>
              <w:topLinePunct w:val="0"/>
              <w:bidi w:val="0"/>
              <w:outlineLvl w:val="9"/>
              <w:rPr>
                <w:rFonts w:ascii="宋体" w:hAnsi="宋体"/>
                <w:color w:val="FF0000"/>
                <w:sz w:val="32"/>
                <w:szCs w:val="32"/>
              </w:rPr>
            </w:pPr>
          </w:p>
        </w:tc>
        <w:tc>
          <w:tcPr>
            <w:tcW w:w="1695" w:type="dxa"/>
            <w:vAlign w:val="center"/>
          </w:tcPr>
          <w:p>
            <w:pPr>
              <w:pageBreakBefore w:val="0"/>
              <w:kinsoku/>
              <w:wordWrap/>
              <w:overflowPunct/>
              <w:topLinePunct w:val="0"/>
              <w:bidi w:val="0"/>
              <w:outlineLvl w:val="9"/>
              <w:rPr>
                <w:rFonts w:ascii="宋体" w:hAnsi="宋体"/>
                <w:color w:val="FF0000"/>
                <w:sz w:val="32"/>
                <w:szCs w:val="32"/>
              </w:rPr>
            </w:pPr>
          </w:p>
        </w:tc>
        <w:tc>
          <w:tcPr>
            <w:tcW w:w="1230" w:type="dxa"/>
            <w:vAlign w:val="center"/>
          </w:tcPr>
          <w:p>
            <w:pPr>
              <w:pageBreakBefore w:val="0"/>
              <w:kinsoku/>
              <w:wordWrap/>
              <w:overflowPunct/>
              <w:topLinePunct w:val="0"/>
              <w:bidi w:val="0"/>
              <w:outlineLvl w:val="9"/>
              <w:rPr>
                <w:rFonts w:ascii="宋体" w:hAnsi="宋体"/>
                <w:color w:val="FF0000"/>
                <w:sz w:val="32"/>
                <w:szCs w:val="32"/>
              </w:rPr>
            </w:pPr>
          </w:p>
        </w:tc>
        <w:tc>
          <w:tcPr>
            <w:tcW w:w="1860" w:type="dxa"/>
            <w:vAlign w:val="center"/>
          </w:tcPr>
          <w:p>
            <w:pPr>
              <w:pageBreakBefore w:val="0"/>
              <w:kinsoku/>
              <w:wordWrap/>
              <w:overflowPunct/>
              <w:topLinePunct w:val="0"/>
              <w:bidi w:val="0"/>
              <w:outlineLvl w:val="9"/>
              <w:rPr>
                <w:rFonts w:ascii="宋体" w:hAnsi="宋体"/>
                <w:color w:val="FF0000"/>
                <w:sz w:val="32"/>
                <w:szCs w:val="32"/>
              </w:rPr>
            </w:pPr>
          </w:p>
        </w:tc>
        <w:tc>
          <w:tcPr>
            <w:tcW w:w="645" w:type="dxa"/>
            <w:vAlign w:val="center"/>
          </w:tcPr>
          <w:p>
            <w:pPr>
              <w:pageBreakBefore w:val="0"/>
              <w:kinsoku/>
              <w:wordWrap/>
              <w:overflowPunct/>
              <w:topLinePunct w:val="0"/>
              <w:bidi w:val="0"/>
              <w:outlineLvl w:val="9"/>
              <w:rPr>
                <w:rFonts w:ascii="宋体" w:hAnsi="宋体"/>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724" w:type="dxa"/>
            <w:vAlign w:val="center"/>
          </w:tcPr>
          <w:p>
            <w:pPr>
              <w:pageBreakBefore w:val="0"/>
              <w:kinsoku/>
              <w:wordWrap/>
              <w:overflowPunct/>
              <w:topLinePunct w:val="0"/>
              <w:bidi w:val="0"/>
              <w:outlineLvl w:val="9"/>
              <w:rPr>
                <w:rFonts w:ascii="宋体" w:hAnsi="宋体"/>
                <w:color w:val="FF0000"/>
                <w:sz w:val="32"/>
                <w:szCs w:val="32"/>
              </w:rPr>
            </w:pPr>
          </w:p>
        </w:tc>
        <w:tc>
          <w:tcPr>
            <w:tcW w:w="1455" w:type="dxa"/>
            <w:vAlign w:val="center"/>
          </w:tcPr>
          <w:p>
            <w:pPr>
              <w:pageBreakBefore w:val="0"/>
              <w:kinsoku/>
              <w:wordWrap/>
              <w:overflowPunct/>
              <w:topLinePunct w:val="0"/>
              <w:bidi w:val="0"/>
              <w:outlineLvl w:val="9"/>
              <w:rPr>
                <w:rFonts w:ascii="宋体" w:hAnsi="宋体"/>
                <w:color w:val="FF0000"/>
                <w:sz w:val="32"/>
                <w:szCs w:val="32"/>
              </w:rPr>
            </w:pPr>
          </w:p>
        </w:tc>
        <w:tc>
          <w:tcPr>
            <w:tcW w:w="1380" w:type="dxa"/>
            <w:vAlign w:val="center"/>
          </w:tcPr>
          <w:p>
            <w:pPr>
              <w:pageBreakBefore w:val="0"/>
              <w:kinsoku/>
              <w:wordWrap/>
              <w:overflowPunct/>
              <w:topLinePunct w:val="0"/>
              <w:bidi w:val="0"/>
              <w:outlineLvl w:val="9"/>
              <w:rPr>
                <w:rFonts w:ascii="宋体" w:hAnsi="宋体"/>
                <w:color w:val="FF0000"/>
                <w:sz w:val="32"/>
                <w:szCs w:val="32"/>
              </w:rPr>
            </w:pPr>
          </w:p>
        </w:tc>
        <w:tc>
          <w:tcPr>
            <w:tcW w:w="1695" w:type="dxa"/>
            <w:vAlign w:val="center"/>
          </w:tcPr>
          <w:p>
            <w:pPr>
              <w:pageBreakBefore w:val="0"/>
              <w:kinsoku/>
              <w:wordWrap/>
              <w:overflowPunct/>
              <w:topLinePunct w:val="0"/>
              <w:bidi w:val="0"/>
              <w:outlineLvl w:val="9"/>
              <w:rPr>
                <w:rFonts w:ascii="宋体" w:hAnsi="宋体"/>
                <w:color w:val="FF0000"/>
                <w:sz w:val="32"/>
                <w:szCs w:val="32"/>
              </w:rPr>
            </w:pPr>
          </w:p>
        </w:tc>
        <w:tc>
          <w:tcPr>
            <w:tcW w:w="1230" w:type="dxa"/>
            <w:vAlign w:val="center"/>
          </w:tcPr>
          <w:p>
            <w:pPr>
              <w:pageBreakBefore w:val="0"/>
              <w:kinsoku/>
              <w:wordWrap/>
              <w:overflowPunct/>
              <w:topLinePunct w:val="0"/>
              <w:bidi w:val="0"/>
              <w:outlineLvl w:val="9"/>
              <w:rPr>
                <w:rFonts w:ascii="宋体" w:hAnsi="宋体"/>
                <w:color w:val="FF0000"/>
                <w:sz w:val="32"/>
                <w:szCs w:val="32"/>
              </w:rPr>
            </w:pPr>
          </w:p>
        </w:tc>
        <w:tc>
          <w:tcPr>
            <w:tcW w:w="1860" w:type="dxa"/>
            <w:vAlign w:val="center"/>
          </w:tcPr>
          <w:p>
            <w:pPr>
              <w:pageBreakBefore w:val="0"/>
              <w:kinsoku/>
              <w:wordWrap/>
              <w:overflowPunct/>
              <w:topLinePunct w:val="0"/>
              <w:bidi w:val="0"/>
              <w:outlineLvl w:val="9"/>
              <w:rPr>
                <w:rFonts w:ascii="宋体" w:hAnsi="宋体"/>
                <w:color w:val="FF0000"/>
                <w:sz w:val="32"/>
                <w:szCs w:val="32"/>
              </w:rPr>
            </w:pPr>
          </w:p>
        </w:tc>
        <w:tc>
          <w:tcPr>
            <w:tcW w:w="645" w:type="dxa"/>
            <w:vAlign w:val="center"/>
          </w:tcPr>
          <w:p>
            <w:pPr>
              <w:pageBreakBefore w:val="0"/>
              <w:kinsoku/>
              <w:wordWrap/>
              <w:overflowPunct/>
              <w:topLinePunct w:val="0"/>
              <w:bidi w:val="0"/>
              <w:outlineLvl w:val="9"/>
              <w:rPr>
                <w:rFonts w:ascii="宋体" w:hAnsi="宋体"/>
                <w:color w:val="FF0000"/>
                <w:sz w:val="32"/>
                <w:szCs w:val="32"/>
              </w:rPr>
            </w:pPr>
          </w:p>
        </w:tc>
      </w:tr>
    </w:tbl>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（二）结构化教学团队</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包括专任教师和兼职教师。专业带头人原则上应具有高级职称。“双师型”教师一般不低于60%。兼职教师应主要来自于行业企业。</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（三）教学资源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主要包括能够满足学生专业学习、教师专业教学研究和教学实施需要的教材、图书及数字化资源等。 </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1.教材选用基本要求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按照国家教材管理相关规定选用优质教材，教材选用应结合区域和学校实际，切实服务人才培养。教材选用过程须公开、公平、公正，严格按照程序选用。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2.图书文献配备基本要求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图书文献配备能够满足人才培养、专业建设、教学科研等工作需要，方便师生查询、借阅。专业类图书文献主要包括：有关劳动与社会保障技术、方法、思维以及实务操作类图书，经济、管理、法律和文化类文献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3.数字教学资源配置基本要求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建设、配备与本专业有关的音视频素材、教学课件、微课、在线课程、数字化教学案例库、虚拟仿真软件、数字教材等数字教学资源，种类丰富、形式多样、使用便捷、动态更新、满足教学。</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（四）教学方法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对实施教学应采用的方法提出要求和建议。结合学生和教学内容的实际情况，选择适当的教学方法，广泛运用项目教学、案例教学、情境教学、混合式教学等教学模式，推进信息技术与教学有机融合。</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（五）学习评价</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对学生学习评价的方式方法提出要求和建议。内容上，可以从专业能力、方法能力、社会能力方面进行评价，落实“6+N”评价维度；方式上，可以采用笔试、口试、项目、实践活动等多种方式对学生进行评价，采取过程性评价（侧重于教学过程）和终结性评价（侧重于教学结果）相结合的方式进行。</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（六）质量管理</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对专业人才培养的质量管理提出要求。建立专业建设和教学质量诊断与改进机制，健全专业教学质量监控管理制度，完善课堂教学、教学评价、实训实习、毕业设计（论文）/职业能力测试等方面质量标准建设，建立毕业生跟踪反馈机制及社会评价机制，充分利用评价分析结果改进专业教学，持续提高人才培养质量。</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八、有关人才培养方案的补充说明</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关于人才培养方案制订/修订依据的说明以及其他需要说明的内容。</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九、附件</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1.职业能力等级标准</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各专业根据工作任务分析的结果，将人才培养规格进一步综合和具体化，分等级描述学生应达到的职业能力。职业能力等级标准统一按照两级进行设计。</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2.专业社会调研报告</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采取“三访一研”的形式开展社会调研，确定培养目标和岗位要求。调研对象包括行业企业、其他院校、毕业生等。调研报告主要包括调研目的、对象、方法、内容、教改思路等。社会调研结果是人才培养方案制订、修订的重要依据。</w:t>
      </w: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596" w:lineRule="exact"/>
        <w:jc w:val="left"/>
        <w:outlineLvl w:val="9"/>
        <w:rPr>
          <w:rFonts w:hint="eastAsia" w:ascii="黑体" w:eastAsia="黑体"/>
          <w:sz w:val="32"/>
          <w:szCs w:val="32"/>
        </w:rPr>
      </w:pPr>
    </w:p>
    <w:p>
      <w:pPr>
        <w:pageBreakBefore w:val="0"/>
        <w:kinsoku/>
        <w:wordWrap/>
        <w:overflowPunct/>
        <w:topLinePunct w:val="0"/>
        <w:bidi w:val="0"/>
        <w:outlineLvl w:val="9"/>
        <w:rPr>
          <w:rFonts w:hint="eastAsia" w:ascii="黑体" w:eastAsia="黑体"/>
          <w:sz w:val="32"/>
          <w:szCs w:val="32"/>
        </w:rPr>
      </w:pPr>
      <w:r>
        <w:rPr>
          <w:rFonts w:hint="eastAsia" w:ascii="黑体" w:eastAsia="黑体"/>
          <w:sz w:val="32"/>
          <w:szCs w:val="32"/>
        </w:rPr>
        <w:br w:type="page"/>
      </w:r>
      <w:r>
        <w:rPr>
          <w:rFonts w:hint="eastAsia" w:ascii="黑体" w:eastAsia="黑体"/>
          <w:sz w:val="32"/>
          <w:szCs w:val="32"/>
        </w:rPr>
        <w:t>附件3：</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第一课堂课程说明和进程安排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一、课程类别</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各专业根据课程的特征对课程进行分类。一般包括公共必修课程、群平台课程、专业核心课程、专业方向课程、专业拓展课程、综合实践课程等（各专业可以自定）。公共必修课程学时不少于总学时的1/4。专业核心课程指对达成培养目标和毕业要求起到关键支撑作用的、工学结合的专业课程，一般按职业岗位（群）的能力要求，在专业方向课程中确定6-8门专业核心课程，用“*”标注。按照“人工智能+”专业升级的要求，专业开设的新技术课程不少于24学分，在第一课堂进程表中进行标识。</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二、课时安排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课程的课内和课外总学时一般在2500-2800之间，其中必修课的课内总学时原则上不超过1800学时。实践性教学学时原则上占总学时数50%以上。必修课的周学时一般控制在20～28学时之间。</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对由于课内学时减少无法完成教学任务的课程，可设置不超过该课程总学时50%的课外学时。课外学时安排计入总学时，以网络学习方式或学生完成规定的实践项目为主要形式开展学习。鼓励有条件的必修课、选修课设置不少于课程1/4的线上学时，积极开展混合式教学改革。</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三、学分计算</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学分计算以该门课程在人才培养方案中安排的学时数为主要依据，人才培养方案规定的学时数可包括课内学时与课外学时。学分以学期为计算单位，如果一门课程在多个学期开设，每个学期对应一个课程名称，如《大学生安全教育（一）》，需要注明不同学期的学分数（参照表2样式）。</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理论课（含课内实验实训）16学时计1学分，整周实践每周计20学时，计1学分。学分最多保留一位小数（保留为0.5）。</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四、公共基础课安排</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表1  公共基础课程安排</w:t>
      </w:r>
    </w:p>
    <w:tbl>
      <w:tblPr>
        <w:tblStyle w:val="17"/>
        <w:tblW w:w="8688" w:type="dxa"/>
        <w:jc w:val="center"/>
        <w:tblInd w:w="0" w:type="dxa"/>
        <w:tblLayout w:type="fixed"/>
        <w:tblCellMar>
          <w:top w:w="0" w:type="dxa"/>
          <w:left w:w="108" w:type="dxa"/>
          <w:bottom w:w="0" w:type="dxa"/>
          <w:right w:w="108" w:type="dxa"/>
        </w:tblCellMar>
      </w:tblPr>
      <w:tblGrid>
        <w:gridCol w:w="1980"/>
        <w:gridCol w:w="4678"/>
        <w:gridCol w:w="2030"/>
      </w:tblGrid>
      <w:tr>
        <w:tblPrEx>
          <w:tblLayout w:type="fixed"/>
          <w:tblCellMar>
            <w:top w:w="0" w:type="dxa"/>
            <w:left w:w="108" w:type="dxa"/>
            <w:bottom w:w="0" w:type="dxa"/>
            <w:right w:w="108" w:type="dxa"/>
          </w:tblCellMar>
        </w:tblPrEx>
        <w:trPr>
          <w:trHeight w:val="612"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bookmarkStart w:id="414" w:name="RANGE!A1:F31"/>
            <w:r>
              <w:rPr>
                <w:rFonts w:hint="eastAsia" w:ascii="仿宋_GB2312" w:hAnsi="宋体" w:eastAsia="仿宋_GB2312" w:cs="宋体"/>
                <w:b/>
                <w:bCs/>
                <w:color w:val="000000"/>
                <w:kern w:val="0"/>
                <w:sz w:val="24"/>
                <w:lang w:bidi="ar"/>
              </w:rPr>
              <w:t>课程名称</w:t>
            </w:r>
            <w:bookmarkEnd w:id="414"/>
          </w:p>
        </w:tc>
        <w:tc>
          <w:tcPr>
            <w:tcW w:w="467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开设时间、形式等说明</w:t>
            </w:r>
          </w:p>
        </w:tc>
        <w:tc>
          <w:tcPr>
            <w:tcW w:w="20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负责部门</w:t>
            </w:r>
          </w:p>
        </w:tc>
      </w:tr>
      <w:tr>
        <w:tblPrEx>
          <w:tblLayout w:type="fixed"/>
          <w:tblCellMar>
            <w:top w:w="0" w:type="dxa"/>
            <w:left w:w="108" w:type="dxa"/>
            <w:bottom w:w="0" w:type="dxa"/>
            <w:right w:w="108" w:type="dxa"/>
          </w:tblCellMar>
        </w:tblPrEx>
        <w:trPr>
          <w:trHeight w:val="510"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军事技能</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第一学期开设（新生入学后第一、二周）。</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612"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军事理论</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第一、二学期开设。课外学时以网络学习形式开展。</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540"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大学生安全教育（一）-（五）</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分五个学期开设。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学生工作处</w:t>
            </w:r>
          </w:p>
        </w:tc>
      </w:tr>
      <w:tr>
        <w:tblPrEx>
          <w:tblLayout w:type="fixed"/>
          <w:tblCellMar>
            <w:top w:w="0" w:type="dxa"/>
            <w:left w:w="108" w:type="dxa"/>
            <w:bottom w:w="0" w:type="dxa"/>
            <w:right w:w="108" w:type="dxa"/>
          </w:tblCellMar>
        </w:tblPrEx>
        <w:trPr>
          <w:trHeight w:val="612"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形势与政策（一）-（四）</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以讲座形式开设，从第1学期至第4学期，每学期8学时（课内学时4，课外学时4）</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803"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思想道德修养与法律基础</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在第1学期开设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918"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毛泽东思想和中国特色社会主义理论体系概论</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744"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职业发展与生涯规划</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第1学期。课外6学时为网络学习，以学生网络自主学习的方式开展。</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826"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创新思维训练</w:t>
            </w:r>
          </w:p>
        </w:tc>
        <w:tc>
          <w:tcPr>
            <w:tcW w:w="467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第2学期。课外6学时为网络学习，以学生网络自主学习的方式开展。</w:t>
            </w:r>
          </w:p>
        </w:tc>
        <w:tc>
          <w:tcPr>
            <w:tcW w:w="20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710"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职业发展与就业指导</w:t>
            </w:r>
          </w:p>
        </w:tc>
        <w:tc>
          <w:tcPr>
            <w:tcW w:w="467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第3学期。课外6学时为网络学习，以学生网络自主学习的方式开展。</w:t>
            </w:r>
          </w:p>
        </w:tc>
        <w:tc>
          <w:tcPr>
            <w:tcW w:w="20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706"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创新与创业实务</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第4学期。课外6学时为网络学习，以学生网络自主学习的方式开展。</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612"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高职学生心理健康教育</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环境与食品工程学院、财经与物流管理学院、贸易与旅游管理学院、艺术学院安排在第1学期开设；机电工程学院、电子信息工程学院、汽车工程学院安排在第2学期开设。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480"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高职英语</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分三个学期开设，第1学期，基础英语模块；第2学期，职业英语模块；第3学期跨文化交际英语模块。前2个模块为必修模块，后1个模块为限定选修模块。</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510"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高职语文</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汽车工程学院、财经与物流管理学院、贸易与旅游管理学院、艺术学院安排在第1学期开设；机电工程学院、电子信息工程学院、环境与食品工程学院安排在第2学期开设。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1464"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高等数学</w:t>
            </w:r>
          </w:p>
        </w:tc>
        <w:tc>
          <w:tcPr>
            <w:tcW w:w="467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机电工程学院所有专业第1学期开设，电子信息工程学院的现代通信技术、电子信息工程技术、云计算技术应用、物联网应用技术等专业第1学期开设；汽车工程学院所有专业在第2学期开设。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4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经济数学</w:t>
            </w:r>
          </w:p>
        </w:tc>
        <w:tc>
          <w:tcPr>
            <w:tcW w:w="467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第2学期。物流专业群开设。</w:t>
            </w:r>
          </w:p>
        </w:tc>
        <w:tc>
          <w:tcPr>
            <w:tcW w:w="203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4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经济数学与统计</w:t>
            </w:r>
          </w:p>
        </w:tc>
        <w:tc>
          <w:tcPr>
            <w:tcW w:w="467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第2学期。财会与金融专业群开设。</w:t>
            </w: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612"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体育与健康（一）、（二）、（三）</w:t>
            </w:r>
          </w:p>
        </w:tc>
        <w:tc>
          <w:tcPr>
            <w:tcW w:w="4678" w:type="dxa"/>
            <w:tcBorders>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分别在第1、第2、第3学期开设。由学生根据自己的兴趣选择运动项目；学生需在军训第一周完成选课，一旦选定项目不得更改。</w:t>
            </w:r>
          </w:p>
        </w:tc>
        <w:tc>
          <w:tcPr>
            <w:tcW w:w="20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1224"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艺术修养</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汽车工程学院、财经与物流管理学院、贸易与旅游管理学院、艺术学院在第3学期开设，机电工程学院、电子信息工程学院、环境与食品工程学院在第4学期开设。</w:t>
            </w:r>
          </w:p>
        </w:tc>
        <w:tc>
          <w:tcPr>
            <w:tcW w:w="20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艺术学院</w:t>
            </w:r>
          </w:p>
        </w:tc>
      </w:tr>
      <w:tr>
        <w:tblPrEx>
          <w:tblLayout w:type="fixed"/>
          <w:tblCellMar>
            <w:top w:w="0" w:type="dxa"/>
            <w:left w:w="108" w:type="dxa"/>
            <w:bottom w:w="0" w:type="dxa"/>
            <w:right w:w="108" w:type="dxa"/>
          </w:tblCellMar>
        </w:tblPrEx>
        <w:trPr>
          <w:trHeight w:val="540"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通用礼仪</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机电工程学院、环境与食品工程学院、电子信息工程学院第1学期开设；汽车工程学院、财经与物流管理学院、艺术学院第2学期开设。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525"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工业·匠心</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与职业素养与劳动教育实践同时安排。</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w:t>
            </w:r>
          </w:p>
        </w:tc>
      </w:tr>
      <w:tr>
        <w:tblPrEx>
          <w:tblLayout w:type="fixed"/>
          <w:tblCellMar>
            <w:top w:w="0" w:type="dxa"/>
            <w:left w:w="108" w:type="dxa"/>
            <w:bottom w:w="0" w:type="dxa"/>
            <w:right w:w="108" w:type="dxa"/>
          </w:tblCellMar>
        </w:tblPrEx>
        <w:trPr>
          <w:trHeight w:val="1224"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精益生产与管理基础</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机电工程学院、电子信息工程学院、环境与食品工程学院在第3学期开设；财经与物流管理学院、艺术学院、汽车工程学院、贸易与旅游管理学院在第4学期开设。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1467" w:hRule="atLeast"/>
          <w:jc w:val="center"/>
        </w:trPr>
        <w:tc>
          <w:tcPr>
            <w:tcW w:w="1980"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信息技术（云物大智基础）</w:t>
            </w:r>
          </w:p>
        </w:tc>
        <w:tc>
          <w:tcPr>
            <w:tcW w:w="467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机电工程学院、电子信息工程学院、贸易与旅游管理学院、艺术学院在第1学期开设；</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环境与食品工程学院，汽车工程学院、财经与物流管理学院在第2学期开设。</w:t>
            </w:r>
          </w:p>
        </w:tc>
        <w:tc>
          <w:tcPr>
            <w:tcW w:w="20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电子信息工程学院</w:t>
            </w:r>
          </w:p>
        </w:tc>
      </w:tr>
    </w:tbl>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五、综合实践课安排</w:t>
      </w:r>
    </w:p>
    <w:tbl>
      <w:tblPr>
        <w:tblStyle w:val="17"/>
        <w:tblW w:w="8506" w:type="dxa"/>
        <w:jc w:val="center"/>
        <w:tblInd w:w="0" w:type="dxa"/>
        <w:tblLayout w:type="fixed"/>
        <w:tblCellMar>
          <w:top w:w="0" w:type="dxa"/>
          <w:left w:w="108" w:type="dxa"/>
          <w:bottom w:w="0" w:type="dxa"/>
          <w:right w:w="108" w:type="dxa"/>
        </w:tblCellMar>
      </w:tblPr>
      <w:tblGrid>
        <w:gridCol w:w="1831"/>
        <w:gridCol w:w="4832"/>
        <w:gridCol w:w="1843"/>
      </w:tblGrid>
      <w:tr>
        <w:tblPrEx>
          <w:tblLayout w:type="fixed"/>
          <w:tblCellMar>
            <w:top w:w="0" w:type="dxa"/>
            <w:left w:w="108" w:type="dxa"/>
            <w:bottom w:w="0" w:type="dxa"/>
            <w:right w:w="108" w:type="dxa"/>
          </w:tblCellMar>
        </w:tblPrEx>
        <w:trPr>
          <w:trHeight w:val="612"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4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开设时间、内容等说明</w:t>
            </w:r>
          </w:p>
        </w:tc>
        <w:tc>
          <w:tcPr>
            <w:tcW w:w="184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负责部门</w:t>
            </w:r>
          </w:p>
        </w:tc>
      </w:tr>
      <w:tr>
        <w:tblPrEx>
          <w:tblLayout w:type="fixed"/>
          <w:tblCellMar>
            <w:top w:w="0" w:type="dxa"/>
            <w:left w:w="108" w:type="dxa"/>
            <w:bottom w:w="0" w:type="dxa"/>
            <w:right w:w="108" w:type="dxa"/>
          </w:tblCellMar>
        </w:tblPrEx>
        <w:trPr>
          <w:trHeight w:val="612"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通用核心能力测试</w:t>
            </w:r>
          </w:p>
        </w:tc>
        <w:tc>
          <w:tcPr>
            <w:tcW w:w="4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安排在第2个学期，机考，由负责部门组织实施。</w:t>
            </w:r>
          </w:p>
        </w:tc>
        <w:tc>
          <w:tcPr>
            <w:tcW w:w="184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Layout w:type="fixed"/>
          <w:tblCellMar>
            <w:top w:w="0" w:type="dxa"/>
            <w:left w:w="108" w:type="dxa"/>
            <w:bottom w:w="0" w:type="dxa"/>
            <w:right w:w="108" w:type="dxa"/>
          </w:tblCellMar>
        </w:tblPrEx>
        <w:trPr>
          <w:trHeight w:val="480" w:hRule="atLeast"/>
          <w:jc w:val="center"/>
        </w:trPr>
        <w:tc>
          <w:tcPr>
            <w:tcW w:w="1831" w:type="dxa"/>
            <w:tcBorders>
              <w:top w:val="nil"/>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毕业设计（论文）/职业能力测试</w:t>
            </w:r>
          </w:p>
        </w:tc>
        <w:tc>
          <w:tcPr>
            <w:tcW w:w="4832" w:type="dxa"/>
            <w:tcBorders>
              <w:top w:val="nil"/>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各专业根据情况安排职业能力测试时间、测试等级、测试形式，与毕业设计结合的，总学时控制在80学时、总学分控制在4学分。理论学时、实践学时由专业确定。</w:t>
            </w:r>
          </w:p>
        </w:tc>
        <w:tc>
          <w:tcPr>
            <w:tcW w:w="1843" w:type="dxa"/>
            <w:tcBorders>
              <w:top w:val="nil"/>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w:t>
            </w:r>
          </w:p>
        </w:tc>
      </w:tr>
      <w:tr>
        <w:tblPrEx>
          <w:tblLayout w:type="fixed"/>
          <w:tblCellMar>
            <w:top w:w="0" w:type="dxa"/>
            <w:left w:w="108" w:type="dxa"/>
            <w:bottom w:w="0" w:type="dxa"/>
            <w:right w:w="108" w:type="dxa"/>
          </w:tblCellMar>
        </w:tblPrEx>
        <w:trPr>
          <w:trHeight w:val="480" w:hRule="atLeast"/>
          <w:jc w:val="center"/>
        </w:trPr>
        <w:tc>
          <w:tcPr>
            <w:tcW w:w="1831" w:type="dxa"/>
            <w:tcBorders>
              <w:top w:val="nil"/>
              <w:left w:val="single" w:color="auto" w:sz="4" w:space="0"/>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专业入门教育</w:t>
            </w:r>
          </w:p>
        </w:tc>
        <w:tc>
          <w:tcPr>
            <w:tcW w:w="4832" w:type="dxa"/>
            <w:tcBorders>
              <w:top w:val="nil"/>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第一学期。专业课程概要、企业环境、企业文化、职业认知等。理论学时、实践学时由专业确定。</w:t>
            </w:r>
          </w:p>
        </w:tc>
        <w:tc>
          <w:tcPr>
            <w:tcW w:w="1843" w:type="dxa"/>
            <w:tcBorders>
              <w:top w:val="nil"/>
              <w:left w:val="nil"/>
              <w:bottom w:val="single" w:color="auto" w:sz="4" w:space="0"/>
              <w:right w:val="single" w:color="auto" w:sz="4" w:space="0"/>
            </w:tcBorders>
            <w:shd w:val="clear" w:color="auto" w:fill="FFFFFF"/>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w:t>
            </w:r>
          </w:p>
        </w:tc>
      </w:tr>
      <w:tr>
        <w:tblPrEx>
          <w:tblLayout w:type="fixed"/>
          <w:tblCellMar>
            <w:top w:w="0" w:type="dxa"/>
            <w:left w:w="108" w:type="dxa"/>
            <w:bottom w:w="0" w:type="dxa"/>
            <w:right w:w="108" w:type="dxa"/>
          </w:tblCellMar>
        </w:tblPrEx>
        <w:trPr>
          <w:trHeight w:val="480" w:hRule="atLeast"/>
          <w:jc w:val="center"/>
        </w:trPr>
        <w:tc>
          <w:tcPr>
            <w:tcW w:w="1831"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职业素养与劳动教育实践</w:t>
            </w:r>
          </w:p>
        </w:tc>
        <w:tc>
          <w:tcPr>
            <w:tcW w:w="4832"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二级学院根据专业实际情况安排</w:t>
            </w:r>
          </w:p>
        </w:tc>
        <w:tc>
          <w:tcPr>
            <w:tcW w:w="184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w:t>
            </w:r>
          </w:p>
        </w:tc>
      </w:tr>
      <w:tr>
        <w:tblPrEx>
          <w:tblLayout w:type="fixed"/>
          <w:tblCellMar>
            <w:top w:w="0" w:type="dxa"/>
            <w:left w:w="108" w:type="dxa"/>
            <w:bottom w:w="0" w:type="dxa"/>
            <w:right w:w="108" w:type="dxa"/>
          </w:tblCellMar>
        </w:tblPrEx>
        <w:trPr>
          <w:trHeight w:val="485" w:hRule="atLeast"/>
          <w:jc w:val="center"/>
        </w:trPr>
        <w:tc>
          <w:tcPr>
            <w:tcW w:w="183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预就业实习</w:t>
            </w:r>
          </w:p>
        </w:tc>
        <w:tc>
          <w:tcPr>
            <w:tcW w:w="4832"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第5-6学期</w:t>
            </w:r>
          </w:p>
        </w:tc>
        <w:tc>
          <w:tcPr>
            <w:tcW w:w="184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二级学院</w:t>
            </w:r>
          </w:p>
        </w:tc>
      </w:tr>
    </w:tbl>
    <w:p>
      <w:pPr>
        <w:pageBreakBefore w:val="0"/>
        <w:kinsoku/>
        <w:wordWrap/>
        <w:overflowPunct/>
        <w:topLinePunct w:val="0"/>
        <w:bidi w:val="0"/>
        <w:spacing w:line="480" w:lineRule="exact"/>
        <w:outlineLvl w:val="9"/>
        <w:rPr>
          <w:rFonts w:ascii="宋体" w:hAnsi="宋体"/>
          <w:b/>
          <w:color w:val="FF0000"/>
          <w:sz w:val="32"/>
          <w:szCs w:val="32"/>
        </w:rPr>
        <w:sectPr>
          <w:footerReference r:id="rId23" w:type="even"/>
          <w:pgSz w:w="11906" w:h="16838"/>
          <w:pgMar w:top="2098" w:right="1474" w:bottom="1984" w:left="1587" w:header="851" w:footer="992" w:gutter="0"/>
          <w:pgNumType w:fmt="decimal"/>
          <w:cols w:space="720" w:num="1"/>
          <w:docGrid w:type="lines" w:linePitch="312" w:charSpace="0"/>
        </w:sectPr>
      </w:pP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表2  第一课堂进程安排表（可以用电子表格呈现）</w:t>
      </w:r>
    </w:p>
    <w:tbl>
      <w:tblPr>
        <w:tblStyle w:val="17"/>
        <w:tblW w:w="14377" w:type="dxa"/>
        <w:tblInd w:w="0" w:type="dxa"/>
        <w:tblLayout w:type="fixed"/>
        <w:tblCellMar>
          <w:top w:w="0" w:type="dxa"/>
          <w:left w:w="108" w:type="dxa"/>
          <w:bottom w:w="0" w:type="dxa"/>
          <w:right w:w="108" w:type="dxa"/>
        </w:tblCellMar>
      </w:tblPr>
      <w:tblGrid>
        <w:gridCol w:w="544"/>
        <w:gridCol w:w="768"/>
        <w:gridCol w:w="781"/>
        <w:gridCol w:w="2429"/>
        <w:gridCol w:w="780"/>
        <w:gridCol w:w="623"/>
        <w:gridCol w:w="638"/>
        <w:gridCol w:w="638"/>
        <w:gridCol w:w="661"/>
        <w:gridCol w:w="661"/>
        <w:gridCol w:w="589"/>
        <w:gridCol w:w="615"/>
        <w:gridCol w:w="630"/>
        <w:gridCol w:w="570"/>
        <w:gridCol w:w="630"/>
        <w:gridCol w:w="600"/>
        <w:gridCol w:w="1200"/>
        <w:gridCol w:w="1020"/>
      </w:tblGrid>
      <w:tr>
        <w:tblPrEx>
          <w:tblLayout w:type="fixed"/>
          <w:tblCellMar>
            <w:top w:w="0" w:type="dxa"/>
            <w:left w:w="108" w:type="dxa"/>
            <w:bottom w:w="0" w:type="dxa"/>
            <w:right w:w="108" w:type="dxa"/>
          </w:tblCellMar>
        </w:tblPrEx>
        <w:trPr>
          <w:trHeight w:val="272" w:hRule="atLeast"/>
        </w:trPr>
        <w:tc>
          <w:tcPr>
            <w:tcW w:w="1312" w:type="dxa"/>
            <w:gridSpan w:val="2"/>
            <w:vMerge w:val="restart"/>
            <w:tcBorders>
              <w:top w:val="single" w:color="auto" w:sz="4" w:space="0"/>
              <w:left w:val="single" w:color="auto" w:sz="4" w:space="0"/>
              <w:bottom w:val="single" w:color="000000" w:sz="4" w:space="0"/>
              <w:right w:val="single" w:color="000000"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模块名称</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2429"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课程名称</w:t>
            </w:r>
          </w:p>
        </w:tc>
        <w:tc>
          <w:tcPr>
            <w:tcW w:w="780"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总学分</w:t>
            </w:r>
          </w:p>
        </w:tc>
        <w:tc>
          <w:tcPr>
            <w:tcW w:w="623" w:type="dxa"/>
            <w:vMerge w:val="restart"/>
            <w:tcBorders>
              <w:top w:val="single" w:color="auto" w:sz="4" w:space="0"/>
              <w:left w:val="single" w:color="auto" w:sz="4" w:space="0"/>
              <w:bottom w:val="single" w:color="000000"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总学时</w:t>
            </w:r>
          </w:p>
        </w:tc>
        <w:tc>
          <w:tcPr>
            <w:tcW w:w="1276"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课内课外</w:t>
            </w: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w:t>
            </w:r>
          </w:p>
        </w:tc>
        <w:tc>
          <w:tcPr>
            <w:tcW w:w="1322"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理论实践</w:t>
            </w: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学时</w:t>
            </w:r>
          </w:p>
        </w:tc>
        <w:tc>
          <w:tcPr>
            <w:tcW w:w="1204"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第一学年</w:t>
            </w:r>
          </w:p>
        </w:tc>
        <w:tc>
          <w:tcPr>
            <w:tcW w:w="1200"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第二学年</w:t>
            </w:r>
          </w:p>
        </w:tc>
        <w:tc>
          <w:tcPr>
            <w:tcW w:w="1230"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第三学年</w:t>
            </w:r>
          </w:p>
        </w:tc>
        <w:tc>
          <w:tcPr>
            <w:tcW w:w="1200" w:type="dxa"/>
            <w:vMerge w:val="restart"/>
            <w:tcBorders>
              <w:top w:val="single" w:color="auto" w:sz="4" w:space="0"/>
              <w:left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是否统考</w:t>
            </w:r>
          </w:p>
        </w:tc>
        <w:tc>
          <w:tcPr>
            <w:tcW w:w="1020" w:type="dxa"/>
            <w:vMerge w:val="restart"/>
            <w:tcBorders>
              <w:top w:val="single" w:color="auto" w:sz="4" w:space="0"/>
              <w:left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是否新技术课程</w:t>
            </w:r>
          </w:p>
        </w:tc>
      </w:tr>
      <w:tr>
        <w:tblPrEx>
          <w:tblLayout w:type="fixed"/>
          <w:tblCellMar>
            <w:top w:w="0" w:type="dxa"/>
            <w:left w:w="108" w:type="dxa"/>
            <w:bottom w:w="0" w:type="dxa"/>
            <w:right w:w="108" w:type="dxa"/>
          </w:tblCellMar>
        </w:tblPrEx>
        <w:trPr>
          <w:trHeight w:val="272" w:hRule="atLeast"/>
        </w:trPr>
        <w:tc>
          <w:tcPr>
            <w:tcW w:w="1312" w:type="dxa"/>
            <w:gridSpan w:val="2"/>
            <w:vMerge w:val="continue"/>
            <w:tcBorders>
              <w:top w:val="single" w:color="auto" w:sz="4" w:space="0"/>
              <w:left w:val="single" w:color="auto" w:sz="4" w:space="0"/>
              <w:bottom w:val="single" w:color="000000" w:sz="4" w:space="0"/>
              <w:right w:val="single" w:color="000000"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p>
        </w:tc>
        <w:tc>
          <w:tcPr>
            <w:tcW w:w="242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p>
        </w:tc>
        <w:tc>
          <w:tcPr>
            <w:tcW w:w="623" w:type="dxa"/>
            <w:vMerge w:val="continue"/>
            <w:tcBorders>
              <w:top w:val="single" w:color="auto" w:sz="4" w:space="0"/>
              <w:left w:val="single" w:color="auto" w:sz="4" w:space="0"/>
              <w:bottom w:val="single" w:color="000000"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课内（线下）</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课外</w:t>
            </w:r>
          </w:p>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（线上）</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理论</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实践</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1</w:t>
            </w: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2</w:t>
            </w: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3</w:t>
            </w: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4</w:t>
            </w: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5</w:t>
            </w: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6</w:t>
            </w:r>
          </w:p>
        </w:tc>
        <w:tc>
          <w:tcPr>
            <w:tcW w:w="1200" w:type="dxa"/>
            <w:vMerge w:val="continue"/>
            <w:tcBorders>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vMerge w:val="continue"/>
            <w:tcBorders>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restart"/>
            <w:tcBorders>
              <w:top w:val="nil"/>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公共基础课程</w:t>
            </w:r>
          </w:p>
        </w:tc>
        <w:tc>
          <w:tcPr>
            <w:tcW w:w="768" w:type="dxa"/>
            <w:vMerge w:val="restart"/>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公共必修课程</w:t>
            </w: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军事技能</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112</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军事理论</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14</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形势与政策（一）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形势与政策（二）</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形势与政策（三）</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形势与政策（四）</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思想道德修养与法律基础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456"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毛泽东思想和中国特色社会主义理论体系概论</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64</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9</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职业发展与生涯规划</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创新思维训练</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90"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职业发展与就业指导</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创新与创业实务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129"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信息技术（云物大智基础）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44</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大学生安全教育（二）</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大学生安全教育（三）</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17</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大学生安全教育（四）</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18</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大学生安全教育（五）</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19</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高职学生心理健康教育</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体育与健康（一）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21</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体育与健康（二）</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30</w:t>
            </w: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22</w:t>
            </w:r>
          </w:p>
        </w:tc>
        <w:tc>
          <w:tcPr>
            <w:tcW w:w="242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高职英语（基础英语）</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62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44</w:t>
            </w: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高职英语（职业英语）</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高职语文</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90"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36.5</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676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410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314</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396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90"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高等数学</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26</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经济数学</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nil"/>
              <w:left w:val="single" w:color="auto" w:sz="4" w:space="0"/>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27</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经济数学与统计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64</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公共限定选修课程</w:t>
            </w: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通用礼仪</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艺术修养</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jc w:val="center"/>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工业</w:t>
            </w:r>
            <w:r>
              <w:rPr>
                <w:rFonts w:hint="eastAsia" w:ascii="宋体" w:hAnsi="宋体" w:cs="宋体"/>
                <w:color w:val="000000"/>
                <w:kern w:val="0"/>
                <w:sz w:val="24"/>
                <w:lang w:bidi="ar"/>
              </w:rPr>
              <w:t>·</w:t>
            </w:r>
            <w:r>
              <w:rPr>
                <w:rFonts w:hint="eastAsia" w:ascii="仿宋_GB2312" w:hAnsi="宋体" w:eastAsia="仿宋_GB2312" w:cs="宋体"/>
                <w:color w:val="000000"/>
                <w:kern w:val="0"/>
                <w:sz w:val="24"/>
                <w:lang w:bidi="ar"/>
              </w:rPr>
              <w:t>匠心</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精益生产与管理基础</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高职英语（跨文化交流）</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体育与健康（三）</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32</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专业必修课</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程</w:t>
            </w: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群平台课程</w:t>
            </w: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专业方向课程</w:t>
            </w: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专业拓展课程（X证书）</w:t>
            </w: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综合实践课程</w:t>
            </w:r>
          </w:p>
        </w:tc>
        <w:tc>
          <w:tcPr>
            <w:tcW w:w="78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通用核心能力测试</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毕业设计（论文）/职业能力测试</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（整周实践）</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专业入门教育</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0</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474"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职业素养与劳动教育实践（整周实践）</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104</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104</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预就业实习</w:t>
            </w:r>
          </w:p>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（整周实践）</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18</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360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352</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352</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30</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35</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40</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45</w:t>
            </w: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50</w:t>
            </w: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55</w:t>
            </w: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专业选修课程</w:t>
            </w:r>
          </w:p>
        </w:tc>
        <w:tc>
          <w:tcPr>
            <w:tcW w:w="768"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专业选修课程</w:t>
            </w: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23"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87"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72"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42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72"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429"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78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23"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　</w:t>
            </w: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72" w:hRule="atLeast"/>
        </w:trPr>
        <w:tc>
          <w:tcPr>
            <w:tcW w:w="544"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3210" w:type="dxa"/>
            <w:gridSpan w:val="2"/>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小计</w:t>
            </w:r>
          </w:p>
        </w:tc>
        <w:tc>
          <w:tcPr>
            <w:tcW w:w="78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23"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8"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6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8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1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57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3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60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20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nil"/>
              <w:left w:val="nil"/>
              <w:bottom w:val="nil"/>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r>
        <w:tblPrEx>
          <w:tblLayout w:type="fixed"/>
          <w:tblCellMar>
            <w:top w:w="0" w:type="dxa"/>
            <w:left w:w="108" w:type="dxa"/>
            <w:bottom w:w="0" w:type="dxa"/>
            <w:right w:w="108" w:type="dxa"/>
          </w:tblCellMar>
        </w:tblPrEx>
        <w:trPr>
          <w:trHeight w:val="272" w:hRule="atLeast"/>
        </w:trPr>
        <w:tc>
          <w:tcPr>
            <w:tcW w:w="544" w:type="dxa"/>
            <w:vMerge w:val="continue"/>
            <w:tcBorders>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68"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781"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备注</w:t>
            </w:r>
          </w:p>
        </w:tc>
        <w:tc>
          <w:tcPr>
            <w:tcW w:w="11264" w:type="dxa"/>
            <w:gridSpan w:val="14"/>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c>
          <w:tcPr>
            <w:tcW w:w="1020" w:type="dxa"/>
            <w:tcBorders>
              <w:top w:val="single" w:color="auto" w:sz="4" w:space="0"/>
              <w:left w:val="nil"/>
              <w:bottom w:val="single" w:color="auto" w:sz="4" w:space="0"/>
              <w:right w:val="single" w:color="auto" w:sz="4" w:space="0"/>
            </w:tcBorders>
            <w:vAlign w:val="center"/>
          </w:tcPr>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tc>
      </w:tr>
    </w:tbl>
    <w:p>
      <w:pPr>
        <w:pageBreakBefore w:val="0"/>
        <w:widowControl/>
        <w:kinsoku/>
        <w:wordWrap/>
        <w:overflowPunct/>
        <w:topLinePunct w:val="0"/>
        <w:bidi w:val="0"/>
        <w:spacing w:line="260" w:lineRule="exact"/>
        <w:textAlignment w:val="center"/>
        <w:outlineLvl w:val="9"/>
        <w:rPr>
          <w:rFonts w:hint="eastAsia" w:ascii="仿宋_GB2312" w:hAnsi="宋体" w:eastAsia="仿宋_GB2312" w:cs="宋体"/>
          <w:color w:val="000000"/>
          <w:kern w:val="0"/>
          <w:sz w:val="24"/>
          <w:lang w:bidi="ar"/>
        </w:rPr>
      </w:pPr>
    </w:p>
    <w:p>
      <w:pPr>
        <w:pageBreakBefore w:val="0"/>
        <w:widowControl/>
        <w:kinsoku/>
        <w:wordWrap/>
        <w:overflowPunct/>
        <w:topLinePunct w:val="0"/>
        <w:bidi w:val="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注：</w:t>
      </w:r>
      <w:r>
        <w:rPr>
          <w:rFonts w:hint="eastAsia" w:ascii="仿宋_GB2312" w:hAnsi="宋体" w:eastAsia="仿宋_GB2312" w:cs="宋体"/>
          <w:color w:val="000000"/>
          <w:kern w:val="0"/>
          <w:sz w:val="24"/>
          <w:lang w:bidi="ar"/>
        </w:rPr>
        <w:t>1.如果一门课程在多个学期开设，请注明不同学期的学分数。</w:t>
      </w:r>
    </w:p>
    <w:p>
      <w:pPr>
        <w:pageBreakBefore w:val="0"/>
        <w:widowControl/>
        <w:kinsoku/>
        <w:wordWrap/>
        <w:overflowPunct/>
        <w:topLinePunct w:val="0"/>
        <w:bidi w:val="0"/>
        <w:ind w:firstLine="480" w:firstLineChars="20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2.课程构成由理论部分和实践部分组成。</w:t>
      </w:r>
    </w:p>
    <w:p>
      <w:pPr>
        <w:pageBreakBefore w:val="0"/>
        <w:widowControl/>
        <w:kinsoku/>
        <w:wordWrap/>
        <w:overflowPunct/>
        <w:topLinePunct w:val="0"/>
        <w:bidi w:val="0"/>
        <w:ind w:firstLine="480" w:firstLineChars="200"/>
        <w:textAlignment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3.统考指统一出题、统一阅卷，实施考教分离。3-5学期的专业课程，原则上每学期需要安排1-2门课程进行统考。课程总评成绩可由过程性考核成绩和统考成绩构成。</w:t>
      </w:r>
    </w:p>
    <w:p>
      <w:pPr>
        <w:pageBreakBefore w:val="0"/>
        <w:widowControl/>
        <w:kinsoku/>
        <w:wordWrap/>
        <w:overflowPunct/>
        <w:topLinePunct w:val="0"/>
        <w:bidi w:val="0"/>
        <w:ind w:firstLine="480" w:firstLineChars="200"/>
        <w:textAlignment w:val="center"/>
        <w:outlineLvl w:val="9"/>
        <w:rPr>
          <w:rFonts w:ascii="宋体" w:hAnsi="宋体"/>
          <w:color w:val="000000"/>
          <w:sz w:val="32"/>
          <w:szCs w:val="32"/>
        </w:rPr>
      </w:pPr>
      <w:r>
        <w:rPr>
          <w:rFonts w:hint="eastAsia" w:ascii="仿宋_GB2312" w:hAnsi="宋体" w:eastAsia="仿宋_GB2312" w:cs="宋体"/>
          <w:color w:val="000000"/>
          <w:kern w:val="0"/>
          <w:sz w:val="24"/>
          <w:lang w:bidi="ar"/>
        </w:rPr>
        <w:t>4.公共选修课、专业选修课学分/学时小计按照应修学分/学时计，所列课程总学分/学时应大于应修学分/学时。</w:t>
      </w: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sectPr>
          <w:footerReference r:id="rId24" w:type="default"/>
          <w:pgSz w:w="16838" w:h="11906" w:orient="landscape"/>
          <w:pgMar w:top="720" w:right="1803" w:bottom="720" w:left="720" w:header="851" w:footer="992" w:gutter="0"/>
          <w:pgNumType w:fmt="decimal"/>
          <w:cols w:space="720" w:num="1"/>
          <w:docGrid w:type="lines" w:linePitch="317" w:charSpace="0"/>
        </w:sectPr>
      </w:pPr>
    </w:p>
    <w:p>
      <w:pPr>
        <w:pageBreakBefore w:val="0"/>
        <w:kinsoku/>
        <w:wordWrap/>
        <w:overflowPunct/>
        <w:topLinePunct w:val="0"/>
        <w:bidi w:val="0"/>
        <w:spacing w:line="596" w:lineRule="exact"/>
        <w:jc w:val="left"/>
        <w:outlineLvl w:val="9"/>
        <w:rPr>
          <w:rFonts w:hint="eastAsia" w:ascii="黑体" w:eastAsia="黑体"/>
          <w:sz w:val="32"/>
          <w:szCs w:val="32"/>
        </w:rPr>
      </w:pPr>
      <w:r>
        <w:rPr>
          <w:rFonts w:hint="eastAsia" w:ascii="黑体" w:eastAsia="黑体"/>
          <w:sz w:val="32"/>
          <w:szCs w:val="32"/>
        </w:rPr>
        <w:t>附件4：</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第二课堂教育活动进程安排</w:t>
      </w:r>
    </w:p>
    <w:tbl>
      <w:tblPr>
        <w:tblStyle w:val="17"/>
        <w:tblW w:w="9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560"/>
        <w:gridCol w:w="2249"/>
        <w:gridCol w:w="663"/>
        <w:gridCol w:w="457"/>
        <w:gridCol w:w="457"/>
        <w:gridCol w:w="457"/>
        <w:gridCol w:w="457"/>
        <w:gridCol w:w="457"/>
        <w:gridCol w:w="457"/>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1" w:type="dxa"/>
            <w:gridSpan w:val="11"/>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基本素质第二课堂活动安排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活动体系分类</w:t>
            </w:r>
          </w:p>
        </w:tc>
        <w:tc>
          <w:tcPr>
            <w:tcW w:w="560"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序号</w:t>
            </w:r>
          </w:p>
        </w:tc>
        <w:tc>
          <w:tcPr>
            <w:tcW w:w="2249"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活动名称</w:t>
            </w:r>
          </w:p>
        </w:tc>
        <w:tc>
          <w:tcPr>
            <w:tcW w:w="663"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活动分</w:t>
            </w:r>
          </w:p>
        </w:tc>
        <w:tc>
          <w:tcPr>
            <w:tcW w:w="2742" w:type="dxa"/>
            <w:gridSpan w:val="6"/>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学期安排</w:t>
            </w:r>
          </w:p>
        </w:tc>
        <w:tc>
          <w:tcPr>
            <w:tcW w:w="2033"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p>
        </w:tc>
        <w:tc>
          <w:tcPr>
            <w:tcW w:w="560"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p>
        </w:tc>
        <w:tc>
          <w:tcPr>
            <w:tcW w:w="2249"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p>
        </w:tc>
        <w:tc>
          <w:tcPr>
            <w:tcW w:w="663"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1</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2</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3</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5</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b/>
                <w:bCs/>
                <w:color w:val="000000"/>
                <w:kern w:val="0"/>
                <w:sz w:val="24"/>
                <w:lang w:bidi="ar"/>
              </w:rPr>
            </w:pPr>
            <w:r>
              <w:rPr>
                <w:rFonts w:hint="eastAsia" w:ascii="仿宋_GB2312" w:hAnsi="宋体" w:eastAsia="仿宋_GB2312" w:cs="宋体"/>
                <w:b/>
                <w:bCs/>
                <w:color w:val="000000"/>
                <w:kern w:val="0"/>
                <w:sz w:val="24"/>
                <w:lang w:bidi="ar"/>
              </w:rPr>
              <w:t>6</w:t>
            </w:r>
          </w:p>
        </w:tc>
        <w:tc>
          <w:tcPr>
            <w:tcW w:w="2033"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基本素养体系</w:t>
            </w: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行为规范准则教育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校情教育与学习管理教育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安全教育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适应教育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励志教育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感恩教育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诚信教育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禁毒、防艾教育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9</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5.25心理健康教育活动</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心理健康团体辅导</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心理电影赏析</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“新生节”系列活动</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13</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假期社会实践</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14</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素质大讲堂讲座</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742" w:type="dxa"/>
            <w:gridSpan w:val="6"/>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每个学院每个学期2次</w:t>
            </w: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15</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阳光长跑</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数学文化讲座</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17</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志愿服务活动</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18</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暑期“三下乡”</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19</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乡村社区挂职</w:t>
            </w:r>
          </w:p>
        </w:tc>
        <w:tc>
          <w:tcPr>
            <w:tcW w:w="66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20</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阅读</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21</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垃圾分类教育</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后勤处+学工处+团委+二级学院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22</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“五四文化艺术节”系列活动</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23</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“社团文化艺术节”系列活动</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团委+二级学院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创新创业体系</w:t>
            </w: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24</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创新创业训练营</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25</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创客马拉松</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26</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科学商店进社区</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1" w:type="dxa"/>
            <w:gridSpan w:val="11"/>
            <w:tcBorders>
              <w:bottom w:val="single" w:color="auto" w:sz="4" w:space="0"/>
            </w:tcBorders>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通用技能竞赛安排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活动体系分类</w:t>
            </w:r>
          </w:p>
        </w:tc>
        <w:tc>
          <w:tcPr>
            <w:tcW w:w="560"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序号</w:t>
            </w:r>
          </w:p>
        </w:tc>
        <w:tc>
          <w:tcPr>
            <w:tcW w:w="2249"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活动名称</w:t>
            </w:r>
          </w:p>
        </w:tc>
        <w:tc>
          <w:tcPr>
            <w:tcW w:w="663"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活动分</w:t>
            </w:r>
          </w:p>
        </w:tc>
        <w:tc>
          <w:tcPr>
            <w:tcW w:w="2742" w:type="dxa"/>
            <w:gridSpan w:val="6"/>
            <w:tcBorders>
              <w:bottom w:val="single" w:color="auto" w:sz="4" w:space="0"/>
            </w:tcBorders>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学期安排</w:t>
            </w:r>
          </w:p>
        </w:tc>
        <w:tc>
          <w:tcPr>
            <w:tcW w:w="2033"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249" w:type="dxa"/>
            <w:vMerge w:val="continue"/>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p>
        </w:tc>
        <w:tc>
          <w:tcPr>
            <w:tcW w:w="663"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033"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基本素养体系</w:t>
            </w: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大学生演讲赛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大学生辩论赛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马克思主义学院+二级学院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田径运动会</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6"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气排球联赛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3"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羽毛球联赛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w:t>
            </w:r>
          </w:p>
        </w:tc>
        <w:tc>
          <w:tcPr>
            <w:tcW w:w="2249"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篮球联赛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广西职业院校学生技能大赛英语口语赛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p>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英语演讲赛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9</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全国大学生英语竞赛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10</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英语口语风采赛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11</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经典诵读比赛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 +二级学院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12</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心理剧大赛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学工处+马克思主义学院+二级学院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13</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数学建模竞赛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14</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大学生数独竞赛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15</w:t>
            </w:r>
          </w:p>
        </w:tc>
        <w:tc>
          <w:tcPr>
            <w:tcW w:w="2249" w:type="dxa"/>
            <w:vAlign w:val="center"/>
          </w:tcPr>
          <w:p>
            <w:pPr>
              <w:pageBreakBefore w:val="0"/>
              <w:widowControl/>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模拟招聘大赛</w:t>
            </w:r>
          </w:p>
        </w:tc>
        <w:tc>
          <w:tcPr>
            <w:tcW w:w="663"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156" w:after="156"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就业处+通识教育学院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exact"/>
          <w:jc w:val="center"/>
        </w:trPr>
        <w:tc>
          <w:tcPr>
            <w:tcW w:w="974" w:type="dxa"/>
            <w:vMerge w:val="restart"/>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创新创业体系</w:t>
            </w: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16</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职业生涯规划大赛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通识教育学院+二级学院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974" w:type="dxa"/>
            <w:vMerge w:val="continue"/>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17</w:t>
            </w: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中国互联网+大学生创新创业大赛</w:t>
            </w: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8</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w:t>
            </w: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教务处+通识教育学院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exact"/>
          <w:jc w:val="center"/>
        </w:trPr>
        <w:tc>
          <w:tcPr>
            <w:tcW w:w="9221" w:type="dxa"/>
            <w:gridSpan w:val="11"/>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专业类第二课堂活动安排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974"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974"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974"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560"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249" w:type="dxa"/>
            <w:vAlign w:val="center"/>
          </w:tcPr>
          <w:p>
            <w:pPr>
              <w:pageBreakBefore w:val="0"/>
              <w:kinsoku/>
              <w:wordWrap/>
              <w:overflowPunct/>
              <w:topLinePunct w:val="0"/>
              <w:bidi w:val="0"/>
              <w:spacing w:line="400" w:lineRule="exact"/>
              <w:jc w:val="center"/>
              <w:outlineLvl w:val="9"/>
              <w:rPr>
                <w:rFonts w:hint="eastAsia" w:ascii="仿宋_GB2312" w:hAnsi="宋体" w:eastAsia="仿宋_GB2312" w:cs="宋体"/>
                <w:color w:val="000000"/>
                <w:kern w:val="0"/>
                <w:sz w:val="24"/>
                <w:lang w:bidi="ar"/>
              </w:rPr>
            </w:pPr>
          </w:p>
        </w:tc>
        <w:tc>
          <w:tcPr>
            <w:tcW w:w="66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457"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c>
          <w:tcPr>
            <w:tcW w:w="2033" w:type="dxa"/>
            <w:vAlign w:val="center"/>
          </w:tcPr>
          <w:p>
            <w:pPr>
              <w:pStyle w:val="25"/>
              <w:pageBreakBefore w:val="0"/>
              <w:kinsoku/>
              <w:wordWrap/>
              <w:overflowPunct/>
              <w:topLinePunct w:val="0"/>
              <w:bidi w:val="0"/>
              <w:spacing w:beforeLines="0" w:afterLines="0" w:line="400" w:lineRule="exact"/>
              <w:jc w:val="center"/>
              <w:outlineLvl w:val="9"/>
              <w:rPr>
                <w:rFonts w:hint="eastAsia" w:ascii="仿宋_GB2312" w:hAnsi="宋体" w:eastAsia="仿宋_GB2312" w:cs="宋体"/>
                <w:color w:val="000000"/>
                <w:kern w:val="0"/>
                <w:sz w:val="24"/>
                <w:lang w:bidi="ar"/>
              </w:rPr>
            </w:pPr>
          </w:p>
        </w:tc>
      </w:tr>
    </w:tbl>
    <w:p>
      <w:pPr>
        <w:pageBreakBefore w:val="0"/>
        <w:kinsoku/>
        <w:wordWrap/>
        <w:overflowPunct/>
        <w:topLinePunct w:val="0"/>
        <w:bidi w:val="0"/>
        <w:spacing w:line="400" w:lineRule="exact"/>
        <w:outlineLvl w:val="9"/>
        <w:rPr>
          <w:rFonts w:hint="eastAsia" w:ascii="仿宋_GB2312" w:hAnsi="宋体" w:eastAsia="仿宋_GB2312" w:cs="宋体"/>
          <w:color w:val="000000"/>
          <w:kern w:val="0"/>
          <w:sz w:val="24"/>
          <w:lang w:bidi="ar"/>
        </w:rPr>
      </w:pPr>
      <w:r>
        <w:rPr>
          <w:rFonts w:hint="eastAsia" w:ascii="仿宋_GB2312" w:hAnsi="宋体" w:eastAsia="仿宋_GB2312" w:cs="宋体"/>
          <w:b/>
          <w:bCs/>
          <w:color w:val="000000"/>
          <w:kern w:val="0"/>
          <w:sz w:val="24"/>
          <w:lang w:bidi="ar"/>
        </w:rPr>
        <w:t>注：</w:t>
      </w:r>
      <w:r>
        <w:rPr>
          <w:rFonts w:hint="eastAsia" w:ascii="仿宋_GB2312" w:hAnsi="宋体" w:eastAsia="仿宋_GB2312" w:cs="宋体"/>
          <w:color w:val="000000"/>
          <w:kern w:val="0"/>
          <w:sz w:val="24"/>
          <w:lang w:bidi="ar"/>
        </w:rPr>
        <w:t>1.其中专业类包括了专业技能竞赛等，不能确定时间的也可注明机动。</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2.每学年60分为达标，各二级学院仍可自行安排本专业的基本素质活动6-10个。跨学期的活动在第四学期结束时给学生记分。</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3.“行为规范准则教育、院情教育与学习管理教育”渗透在入学教育中。</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4.“安全教育”与大学生安全教育课程不同，渗透在每学期开学、期末安全教育中。</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5.“感恩教育”主要通过辅导员主题班会和资助征文、资助演讲、毕业离校教育等活动开展。</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6.“诚信教育”主要通过辅导员主题班会开展，主要有个人信息诚信、诚信考试、诚信还贷等内容。</w:t>
      </w:r>
    </w:p>
    <w:p>
      <w:pPr>
        <w:pageBreakBefore w:val="0"/>
        <w:kinsoku/>
        <w:wordWrap/>
        <w:overflowPunct/>
        <w:topLinePunct w:val="0"/>
        <w:bidi w:val="0"/>
        <w:spacing w:line="400" w:lineRule="exact"/>
        <w:ind w:firstLine="480"/>
        <w:outlineLvl w:val="9"/>
        <w:rPr>
          <w:rFonts w:hint="eastAsia" w:ascii="仿宋_GB2312" w:hAnsi="宋体" w:eastAsia="仿宋_GB2312" w:cs="宋体"/>
          <w:color w:val="000000"/>
          <w:kern w:val="0"/>
          <w:sz w:val="24"/>
          <w:lang w:bidi="ar"/>
        </w:rPr>
      </w:pPr>
      <w:r>
        <w:rPr>
          <w:rFonts w:hint="eastAsia" w:ascii="仿宋_GB2312" w:hAnsi="宋体" w:eastAsia="仿宋_GB2312" w:cs="宋体"/>
          <w:color w:val="000000"/>
          <w:kern w:val="0"/>
          <w:sz w:val="24"/>
          <w:lang w:bidi="ar"/>
        </w:rPr>
        <w:t>7.“暑期社会实践”各学院安排的暑期实习可替代。</w:t>
      </w:r>
    </w:p>
    <w:p>
      <w:pPr>
        <w:pageBreakBefore w:val="0"/>
        <w:kinsoku/>
        <w:wordWrap/>
        <w:overflowPunct/>
        <w:topLinePunct w:val="0"/>
        <w:bidi w:val="0"/>
        <w:spacing w:line="400" w:lineRule="exact"/>
        <w:ind w:firstLine="480"/>
        <w:outlineLvl w:val="9"/>
        <w:rPr>
          <w:rFonts w:ascii="宋体" w:hAnsi="宋体"/>
          <w:sz w:val="32"/>
          <w:szCs w:val="32"/>
        </w:rPr>
      </w:pPr>
      <w:r>
        <w:rPr>
          <w:rFonts w:hint="eastAsia" w:ascii="仿宋_GB2312" w:hAnsi="宋体" w:eastAsia="仿宋_GB2312" w:cs="宋体"/>
          <w:color w:val="000000"/>
          <w:kern w:val="0"/>
          <w:sz w:val="24"/>
          <w:lang w:bidi="ar"/>
        </w:rPr>
        <w:t>8.“素质大讲堂”由学工处与二级学院协调，保证每班有一次讲座（每个学院每个学期2次）。</w:t>
      </w: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outlineLvl w:val="9"/>
        <w:rPr>
          <w:rFonts w:hint="eastAsia" w:ascii="黑体" w:eastAsia="黑体"/>
          <w:sz w:val="32"/>
          <w:szCs w:val="32"/>
        </w:rPr>
      </w:pPr>
      <w:r>
        <w:rPr>
          <w:b/>
          <w:bCs/>
          <w:sz w:val="32"/>
          <w:szCs w:val="32"/>
        </w:rPr>
        <w:br w:type="page"/>
      </w:r>
      <w:r>
        <w:rPr>
          <w:rFonts w:hint="eastAsia" w:ascii="黑体" w:eastAsia="黑体"/>
          <w:sz w:val="32"/>
          <w:szCs w:val="32"/>
        </w:rPr>
        <w:t>附件5：</w:t>
      </w:r>
    </w:p>
    <w:p>
      <w:pPr>
        <w:pageBreakBefore w:val="0"/>
        <w:kinsoku/>
        <w:wordWrap/>
        <w:overflowPunct/>
        <w:topLinePunct w:val="0"/>
        <w:bidi w:val="0"/>
        <w:spacing w:line="596" w:lineRule="exact"/>
        <w:jc w:val="center"/>
        <w:outlineLvl w:val="9"/>
        <w:rPr>
          <w:rFonts w:hint="eastAsia"/>
          <w:b/>
          <w:color w:val="000000"/>
          <w:sz w:val="36"/>
          <w:szCs w:val="36"/>
        </w:rPr>
      </w:pPr>
      <w:r>
        <w:rPr>
          <w:rFonts w:hint="eastAsia"/>
          <w:b/>
          <w:color w:val="000000"/>
          <w:sz w:val="36"/>
          <w:szCs w:val="36"/>
        </w:rPr>
        <w:t xml:space="preserve">  专业社会调研报告框架（参考）</w:t>
      </w:r>
    </w:p>
    <w:p>
      <w:pPr>
        <w:pageBreakBefore w:val="0"/>
        <w:kinsoku/>
        <w:wordWrap/>
        <w:overflowPunct/>
        <w:topLinePunct w:val="0"/>
        <w:bidi w:val="0"/>
        <w:jc w:val="left"/>
        <w:outlineLvl w:val="9"/>
        <w:rPr>
          <w:sz w:val="32"/>
          <w:szCs w:val="32"/>
        </w:rPr>
      </w:pPr>
    </w:p>
    <w:p>
      <w:pPr>
        <w:pageBreakBefore w:val="0"/>
        <w:kinsoku/>
        <w:wordWrap/>
        <w:overflowPunct/>
        <w:topLinePunct w:val="0"/>
        <w:bidi w:val="0"/>
        <w:spacing w:line="596" w:lineRule="exact"/>
        <w:jc w:val="center"/>
        <w:outlineLvl w:val="9"/>
        <w:rPr>
          <w:rFonts w:hint="eastAsia" w:ascii="仿宋_GB2312" w:eastAsia="仿宋_GB2312"/>
          <w:b/>
          <w:bCs/>
          <w:sz w:val="32"/>
          <w:szCs w:val="32"/>
        </w:rPr>
      </w:pPr>
      <w:r>
        <w:rPr>
          <w:rFonts w:hint="eastAsia" w:ascii="仿宋_GB2312" w:eastAsia="仿宋_GB2312"/>
          <w:b/>
          <w:bCs/>
          <w:sz w:val="32"/>
          <w:szCs w:val="32"/>
        </w:rPr>
        <w:t>**专业社会调研报告</w:t>
      </w:r>
    </w:p>
    <w:p>
      <w:pPr>
        <w:pageBreakBefore w:val="0"/>
        <w:kinsoku/>
        <w:wordWrap/>
        <w:overflowPunct/>
        <w:topLinePunct w:val="0"/>
        <w:bidi w:val="0"/>
        <w:jc w:val="center"/>
        <w:outlineLvl w:val="9"/>
        <w:rPr>
          <w:rFonts w:hint="eastAsia"/>
          <w:b/>
          <w:sz w:val="32"/>
          <w:szCs w:val="32"/>
        </w:rPr>
      </w:pP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一、调研的目的与对象</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（一）调研目的</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（二）调研对象</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二、调研的方法与内容</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（一）调研方法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（二）调研内容</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三、专业人才需求调研</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（一）行业发展现状与趋势</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（二）从业人员基本情况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（三）专业对应的职业岗位分析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（四）专业对应的职业证书分析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（五）专业人才招聘渠道分析</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（六）在职人员进修需求分析</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四、专业现状调研</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（一）专业点分布情况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（二）专业招生与就业岗位分布情况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（三）专业在职人员培训情况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（四）毕业生调查情况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（五）在校生教学情况及存在的主要问题</w:t>
      </w:r>
    </w:p>
    <w:p>
      <w:pPr>
        <w:pageBreakBefore w:val="0"/>
        <w:kinsoku/>
        <w:wordWrap/>
        <w:overflowPunct/>
        <w:topLinePunct w:val="0"/>
        <w:bidi w:val="0"/>
        <w:spacing w:line="596" w:lineRule="exact"/>
        <w:ind w:firstLine="643" w:firstLineChars="200"/>
        <w:outlineLvl w:val="9"/>
        <w:rPr>
          <w:rFonts w:hint="eastAsia" w:ascii="黑体" w:hAnsi="黑体" w:eastAsia="黑体"/>
          <w:b/>
          <w:sz w:val="32"/>
          <w:szCs w:val="32"/>
        </w:rPr>
      </w:pPr>
      <w:r>
        <w:rPr>
          <w:rFonts w:hint="eastAsia" w:ascii="黑体" w:hAnsi="黑体" w:eastAsia="黑体"/>
          <w:b/>
          <w:sz w:val="32"/>
          <w:szCs w:val="32"/>
        </w:rPr>
        <w:t>五、对专业改革的建议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（一）专业培养目标与专业方向调整建议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（二）专业课程设置建议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（三）专业教学改革建议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（四）专业师资与实训条件配置建议</w:t>
      </w:r>
    </w:p>
    <w:p>
      <w:pPr>
        <w:pageBreakBefore w:val="0"/>
        <w:kinsoku/>
        <w:wordWrap/>
        <w:overflowPunct/>
        <w:topLinePunct w:val="0"/>
        <w:bidi w:val="0"/>
        <w:spacing w:line="360" w:lineRule="auto"/>
        <w:jc w:val="left"/>
        <w:outlineLvl w:val="9"/>
        <w:rPr>
          <w:rFonts w:hint="eastAsia"/>
          <w:sz w:val="32"/>
          <w:szCs w:val="32"/>
        </w:rPr>
      </w:pPr>
    </w:p>
    <w:p>
      <w:pPr>
        <w:pageBreakBefore w:val="0"/>
        <w:kinsoku/>
        <w:wordWrap/>
        <w:overflowPunct/>
        <w:topLinePunct w:val="0"/>
        <w:bidi w:val="0"/>
        <w:outlineLvl w:val="9"/>
        <w:rPr>
          <w:rFonts w:ascii="仿宋_GB2312" w:eastAsia="仿宋_GB2312"/>
          <w:bCs/>
          <w:sz w:val="32"/>
          <w:szCs w:val="32"/>
        </w:rPr>
      </w:pPr>
      <w:r>
        <w:rPr>
          <w:rFonts w:ascii="仿宋_GB2312" w:eastAsia="仿宋_GB2312"/>
          <w:bCs/>
          <w:sz w:val="32"/>
          <w:szCs w:val="32"/>
        </w:rPr>
        <w:br w:type="page"/>
      </w:r>
    </w:p>
    <w:p>
      <w:pPr>
        <w:pageBreakBefore w:val="0"/>
        <w:kinsoku/>
        <w:wordWrap/>
        <w:overflowPunct/>
        <w:topLinePunct w:val="0"/>
        <w:bidi w:val="0"/>
        <w:spacing w:line="596" w:lineRule="exact"/>
        <w:jc w:val="left"/>
        <w:outlineLvl w:val="9"/>
        <w:rPr>
          <w:rFonts w:hint="eastAsia" w:ascii="黑体" w:hAnsi="Times New Roman" w:eastAsia="黑体" w:cs="Times New Roman"/>
          <w:sz w:val="32"/>
          <w:szCs w:val="32"/>
          <w:lang w:val="en-US" w:eastAsia="zh-CN"/>
        </w:rPr>
      </w:pPr>
      <w:r>
        <w:rPr>
          <w:rFonts w:hint="eastAsia" w:ascii="黑体" w:hAnsi="Times New Roman" w:eastAsia="黑体" w:cs="Times New Roman"/>
          <w:sz w:val="32"/>
          <w:szCs w:val="32"/>
          <w:lang w:val="en-US" w:eastAsia="zh-CN"/>
        </w:rPr>
        <w:t>附件6：</w:t>
      </w:r>
    </w:p>
    <w:p>
      <w:pPr>
        <w:pageBreakBefore w:val="0"/>
        <w:kinsoku/>
        <w:wordWrap/>
        <w:overflowPunct/>
        <w:topLinePunct w:val="0"/>
        <w:bidi w:val="0"/>
        <w:spacing w:line="596" w:lineRule="exact"/>
        <w:jc w:val="center"/>
        <w:outlineLvl w:val="9"/>
        <w:rPr>
          <w:rFonts w:hint="eastAsia" w:ascii="Times New Roman" w:hAnsi="Times New Roman" w:eastAsia="宋体" w:cs="Times New Roman"/>
          <w:b/>
          <w:color w:val="000000"/>
          <w:sz w:val="36"/>
          <w:szCs w:val="36"/>
        </w:rPr>
      </w:pPr>
      <w:r>
        <w:rPr>
          <w:rFonts w:hint="eastAsia" w:ascii="Times New Roman" w:hAnsi="Times New Roman" w:eastAsia="宋体" w:cs="Times New Roman"/>
          <w:b/>
          <w:color w:val="000000"/>
          <w:sz w:val="36"/>
          <w:szCs w:val="36"/>
        </w:rPr>
        <w:t>职业教育专业目录（2021年）</w:t>
      </w:r>
    </w:p>
    <w:p>
      <w:pPr>
        <w:pageBreakBefore w:val="0"/>
        <w:kinsoku/>
        <w:wordWrap/>
        <w:overflowPunct/>
        <w:topLinePunct w:val="0"/>
        <w:bidi w:val="0"/>
        <w:spacing w:line="596" w:lineRule="exact"/>
        <w:jc w:val="center"/>
        <w:outlineLvl w:val="9"/>
        <w:rPr>
          <w:rFonts w:hint="eastAsia" w:ascii="Times New Roman" w:hAnsi="Times New Roman" w:eastAsia="宋体" w:cs="Times New Roman"/>
          <w:b/>
          <w:color w:val="000000"/>
          <w:sz w:val="36"/>
          <w:szCs w:val="36"/>
          <w:lang w:val="en-US" w:eastAsia="zh-CN"/>
        </w:rPr>
      </w:pPr>
      <w:r>
        <w:rPr>
          <w:rFonts w:hint="eastAsia" w:ascii="Times New Roman" w:hAnsi="Times New Roman" w:eastAsia="宋体" w:cs="Times New Roman"/>
          <w:b/>
          <w:color w:val="000000"/>
          <w:sz w:val="36"/>
          <w:szCs w:val="36"/>
          <w:lang w:val="en-US" w:eastAsia="zh-CN"/>
        </w:rPr>
        <w:t>高等职业教育专科专业</w:t>
      </w:r>
    </w:p>
    <w:tbl>
      <w:tblPr>
        <w:tblStyle w:val="17"/>
        <w:tblW w:w="8275" w:type="dxa"/>
        <w:tblInd w:w="0" w:type="dxa"/>
        <w:tblLayout w:type="fixed"/>
        <w:tblCellMar>
          <w:top w:w="0" w:type="dxa"/>
          <w:left w:w="0" w:type="dxa"/>
          <w:bottom w:w="0" w:type="dxa"/>
          <w:right w:w="0" w:type="dxa"/>
        </w:tblCellMar>
      </w:tblPr>
      <w:tblGrid>
        <w:gridCol w:w="1165"/>
        <w:gridCol w:w="2100"/>
        <w:gridCol w:w="5010"/>
      </w:tblGrid>
      <w:tr>
        <w:tblPrEx>
          <w:tblLayout w:type="fixed"/>
          <w:tblCellMar>
            <w:top w:w="0" w:type="dxa"/>
            <w:left w:w="0" w:type="dxa"/>
            <w:bottom w:w="0" w:type="dxa"/>
            <w:right w:w="0" w:type="dxa"/>
          </w:tblCellMar>
        </w:tblPrEx>
        <w:trPr>
          <w:cantSplit/>
          <w:trHeight w:val="550" w:hRule="atLeast"/>
          <w:tblHeader/>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序号</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专业代码</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黑体" w:hAnsi="宋体" w:eastAsia="黑体" w:cs="黑体"/>
                <w:b/>
                <w:i w:val="0"/>
                <w:color w:val="000000"/>
                <w:sz w:val="24"/>
                <w:szCs w:val="24"/>
                <w:u w:val="none"/>
              </w:rPr>
            </w:pPr>
            <w:r>
              <w:rPr>
                <w:rFonts w:hint="eastAsia" w:ascii="黑体" w:hAnsi="宋体" w:eastAsia="黑体" w:cs="黑体"/>
                <w:b/>
                <w:i w:val="0"/>
                <w:color w:val="000000"/>
                <w:kern w:val="0"/>
                <w:sz w:val="24"/>
                <w:szCs w:val="24"/>
                <w:u w:val="none"/>
                <w:lang w:val="en-US" w:eastAsia="zh-CN" w:bidi="ar"/>
              </w:rPr>
              <w:t>专业名称</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Times New Roman" w:hAnsi="Times New Roman" w:eastAsia="黑体" w:cs="仿宋_GB2312"/>
                <w:b/>
                <w:bCs/>
                <w:kern w:val="0"/>
                <w:sz w:val="28"/>
                <w:szCs w:val="28"/>
                <w:lang w:val="en-US" w:eastAsia="zh-CN"/>
              </w:rPr>
            </w:pPr>
            <w:r>
              <w:rPr>
                <w:rFonts w:hint="default" w:ascii="Times New Roman" w:hAnsi="Times New Roman" w:eastAsia="黑体" w:cs="仿宋_GB2312"/>
                <w:b/>
                <w:bCs/>
                <w:kern w:val="0"/>
                <w:sz w:val="28"/>
                <w:szCs w:val="28"/>
                <w:lang w:val="en-US" w:eastAsia="zh-CN"/>
              </w:rPr>
              <w:t>41农林牧渔大类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default" w:ascii="Times New Roman" w:hAnsi="Times New Roman" w:eastAsia="仿宋_GB2312" w:cs="宋体"/>
                <w:b/>
                <w:bCs/>
                <w:kern w:val="0"/>
                <w:sz w:val="24"/>
                <w:szCs w:val="24"/>
                <w:lang w:val="en-US" w:eastAsia="zh-CN"/>
              </w:rPr>
            </w:pPr>
            <w:r>
              <w:rPr>
                <w:rFonts w:hint="default" w:ascii="Times New Roman" w:hAnsi="Times New Roman" w:eastAsia="仿宋_GB2312" w:cs="宋体"/>
                <w:b/>
                <w:bCs/>
                <w:kern w:val="0"/>
                <w:sz w:val="24"/>
                <w:szCs w:val="24"/>
                <w:lang w:val="en-US" w:eastAsia="zh-CN"/>
              </w:rPr>
              <w:t>4101农业类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种子生产与经营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作物生产与经营管理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现代农业技术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生态农业技术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园艺技术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植物保护与检疫技术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茶叶生产与加工技术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中草药栽培与加工技术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烟草栽培与加工技术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饲草生产技术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食用菌生产与加工技术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设施农业与装备</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现代农业装备应用技术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农产品加工与质量检测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绿色食品生产技术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农产品流通与管理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棉花加工与经营管理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休闲农业经营与管理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410119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现代农业经济管理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410120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农村新型经济组织管理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4102林业类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林业技术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园林技术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草业技术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花卉生产与花艺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经济林培育与利用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森林和草原资源保护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林草生态保护与修复</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野生动植物资源保护与利用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自然保护地建设与管理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森林生态旅游与康养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林业信息技术应用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木业智能装备应用技术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木业产品设计与制造</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4103畜牧业类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动物医学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动物药学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畜牧兽医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中兽医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宠物医疗技术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动物防疫与检疫</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畜禽智能化养殖</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410308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kern w:val="2"/>
                <w:sz w:val="24"/>
                <w:szCs w:val="24"/>
                <w:u w:val="none"/>
                <w:lang w:val="en-US" w:eastAsia="zh-CN" w:bidi="ar-SA"/>
              </w:rPr>
            </w:pPr>
            <w:r>
              <w:rPr>
                <w:rFonts w:hint="eastAsia" w:ascii="Times New Roman" w:hAnsi="Times New Roman" w:eastAsia="仿宋_GB2312" w:cs="仿宋_GB2312"/>
                <w:i w:val="0"/>
                <w:color w:val="000000"/>
                <w:kern w:val="0"/>
                <w:sz w:val="24"/>
                <w:szCs w:val="24"/>
                <w:u w:val="none"/>
                <w:lang w:val="en-US" w:eastAsia="zh-CN" w:bidi="ar"/>
              </w:rPr>
              <w:t>特种动物养殖技术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宠物养护与驯导</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动物营养与饲料</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410311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蚕桑技术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4104渔业类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水产养殖技术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海洋渔业技术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水族科学与技术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水生动物医学</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42资源环境与安全大类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4201资源勘查类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国土资源调查与管理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地质调查与矿产普查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生态地质调查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矿产地质勘查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煤田地质勘查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岩矿分析与鉴定</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宝玉石鉴定与加工</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4202地质类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工程地质勘查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水文与工程地质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矿山地质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钻探工程技术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岩土工程技术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地球物理勘探技术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地质灾害调查与防治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环境地质工程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城市地质勘查</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4203测绘地理信息类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工程测量技术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测绘工程技术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测绘地理信息技术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摄影测量与遥感技术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地籍测绘与土地管理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国土空间规划与测绘</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无人机测绘技术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矿山测量</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导航与位置服务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420310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空间数字建模与应用技术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4204石油与天然气类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油气储运技术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油气地质勘探技术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钻井技术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油气智能开采技术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油田化学应用技术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420406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石油工程技术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4205煤炭类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煤矿智能开采技术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矿井建设工程技术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通风技术与安全管理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矿山机电与智能装备</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煤炭清洁利用技术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420506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煤层气采输技术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4206金属与非金属矿类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矿山智能开采技术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矿物加工技术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4207气象类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大气科学技术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大气探测技术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应用气象技术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420704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雷电防护技术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4208环境保护类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环境监测技术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环境工程技术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生态保护技术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生态环境大数据技术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环境管理与评价</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生态环境修复技术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绿色低碳技术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资源综合利用技术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水净化与安全技术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核与辐射检测防护技术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420811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智能环保装备技术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4209安全类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安全技术与管理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化工安全技术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工程安全评价与监理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安全智能监测技术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应急救援技术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消防救援技术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森林草原防火技术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420908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职业健康安全技术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43能源动力与材料大类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4301电力技术类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发电厂及电力系统</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水电站机电设备与自动化</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水电站与电力网技术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分布式发电与智能微电网技术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电力系统自动化技术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电力系统继电保护技术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输配电工程技术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供用电技术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农业电气化技术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机场电工技术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电力客户服务与管理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4302热能与发电工程类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热能动力工程技术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城市热能应用技术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地热开发技术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太阳能光热技术与应用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发电运行技术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热工自动化技术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核电站动力设备运行与维护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电厂化学与环保技术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4303新能源发电工程类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光伏工程技术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风力发电工程技术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生物质能应用技术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氢能技术应用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工业节能技术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节电技术与管理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新能源材料应用技术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4304黑色金属材料类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钢铁智能冶金技术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智能轧钢技术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钢铁冶金设备维护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金属材料检测技术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4305有色金属材料类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有色金属智能冶金技术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金属智能加工技术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金属精密成型技术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储能材料技术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稀土材料技术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4306非金属材料类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材料工程技术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高分子材料智能制造技术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复合材料智能制造技术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航空复合材料成型与加工技术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非金属矿物材料技术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光伏材料制备技术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硅材料制备技术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炭材料工程技术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430609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橡胶智能制造技术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4307建筑材料类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建筑材料工程技术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新型建筑材料技术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建筑装饰材料技术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430704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建筑材料检测技术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430705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装配式建筑构件智能制造技术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44土木建筑大类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4401建筑设计类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建筑装饰工程技术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古建筑工程技术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园林工程技术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风景园林设计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建筑室内设计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建筑动画技术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4402城乡规划与管理类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城乡规划</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智慧城市管理技术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村镇建设与管理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4403土建施工类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装配式建筑工程技术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建筑钢结构工程技术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智能建造技术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地下与隧道工程技术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土木工程检测技术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4404建筑设备类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建筑设备工程技术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建筑电气工程技术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供热通风与空调工程技术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建筑智能化工程技术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工业设备安装工程技术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440406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建筑消防技术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4405建设工程管理类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工程造价</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建设工程管理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建筑经济信息化管理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建设工程监理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4406市政工程类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市政工程技术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给排水工程技术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城市燃气工程技术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440604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市政管网智能检测与维护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440605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城市环境工程技术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4407房地产类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房地产经营与管理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房地产智能检测与估价</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现代物业管理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45水利大类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4501水文水资源类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水文与水资源技术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水政水资源管理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4502水利工程与管理类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水利工程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智慧水利技术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199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水利水电工程技术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水利水电工程智能管理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水利水电建筑工程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机电排灌工程技术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治河与航道工程技术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智能水务管理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4503水利水电设备类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水电站设备安装与管理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水电站运行与智能管理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水利机电设备智能管理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4504水土保持与水环境类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水土保持技术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水环境智能监测与治理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水生态修复技术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46装备制造大类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4601机械设计制造类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机械设计与制造</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数字化设计与制造技术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数控技术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机械制造及自动化</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材料成型及控制技术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现代铸造技术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现代锻压技术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智能焊接技术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工业材料表面处理技术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增材制造技术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模具设计与制造</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特种加工技术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智能光电制造技术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电线电缆制造技术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内燃机制造与应用技术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机械装备制造技术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460119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工业产品质量检测技术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460120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理化测试与质检技术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4602机电设备类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智能制造装备技术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机电设备技术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电机与电器技术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新能源装备技术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制冷与空调技术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电梯工程技术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4603自动化类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机电一体化技术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智能机电技术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智能控制技术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智能机器人技术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工业机器人技术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电气自动化技术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工业过程自动化技术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工业自动化仪表技术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液压与气动技术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工业互联网应用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460311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计量测试与应用技术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4604轨道装备类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铁道机车车辆制造与维护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高速铁路动车组制造与维护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城市轨道交通车辆制造与维护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轨道交通通信信号设备制造与维护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轨道交通工程机械制造与维护</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4605船舶与海洋工程装备类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船舶动力工程技术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船舶电气工程技术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船舶智能焊接技术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船舶舾装工程技术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船舶涂装工程技术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船舶通信装备技术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游艇设计与制造</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邮轮内装技术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460510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海洋工程装备技术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4606航空装备类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飞行器数字化制造技术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飞行器数字化装配技术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航空发动机制造技术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航空发动机装配调试技术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飞机机载设备装配调试技术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航空装备表面处理技术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飞行器维修技术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航空发动机维修技术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无人机应用技术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航空材料精密成型技术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460611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导弹维修技术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4607汽车制造类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汽车制造与试验技术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新能源汽车技术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汽车电子技术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460704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智能网联汽车技术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460705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汽车造型与改装技术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47生物与化工大类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4701生物技术类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食品生物技术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药品生物技术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农业生物技术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化工生物技术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生物产品检验检疫</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绿色生物制造技术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生物信息技术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4702化工技术类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应用化工技术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石油炼制技术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精细化工技术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石油化工技术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煤化工技术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高分子合成技术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海洋化工技术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分析检验技术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化工智能制造技术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化工装备技术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化工自动化技术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涂装防护技术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烟花爆竹技术与管理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48轻工纺织大类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4801轻化工类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299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化妆品技术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现代造纸技术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家具设计与制造</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鞋类设计与工艺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陶瓷制造技术与工艺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珠宝首饰技术与管理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皮革加工技术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皮具制作与工艺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乐器制造与维护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香料香精技术与工艺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表面精饰工艺</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4802包装类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包装工程技术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包装策划与设计</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4803印刷类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数字印刷技术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印刷媒体技术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印刷数字图文技术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印刷设备应用技术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4804纺织服装类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现代纺织技术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服装设计与工艺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丝绸技术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针织技术与针织服装</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数字化染整技术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纺织品设计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现代家用纺织品设计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纺织材料与应用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现代非织造技术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纺织机电技术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纺织品检验与贸易</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480412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皮革服装制作与工艺</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49食品药品与粮食大类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4901食品类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食品智能加工技术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食品质量与安全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食品营养与健康</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食品检验检测技术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酿酒技术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食品贮运与营销</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4902药品与医疗器械类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药品生产技术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生物制药技术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药物制剂技术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化学制药技术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兽药制药技术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药品质量与安全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制药设备应用技术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药品经营与管理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食品药品监督管理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智能医疗装备技术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医用电子仪器技术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医用材料与应用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医疗器械维护与管理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医疗器械经营与服务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康复工程技术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保健食品质量与管理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化妆品经营与管理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490218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化妆品质量与安全</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4903粮食类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粮食工程技术与管理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粮食储运与质量安全</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50交通运输大类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5001铁道运输类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高速铁路施工与维护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铁道桥梁隧道工程技术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铁道养路机械应用技术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铁道机车运用与维护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铁道车辆技术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铁道供电技术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动车组检修技术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高速铁路综合维修技术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铁道信号自动控制</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铁道通信与信息化技术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铁道交通运营管理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500113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高速铁路客运服务</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5002道路运输类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道路与桥梁工程技术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道路机械化施工技术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智能工程机械运用技术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道路工程检测技术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道路工程造价</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道路养护与管理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智能交通技术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道路运输管理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交通运营管理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汽车技术服务与营销</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汽车检测与维修技术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新能源汽车检测与维修技术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5003水上运输类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航海技术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港口与航道工程技术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轮机工程技术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国际邮轮乘务管理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水路运输安全管理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港口机械与智能控制</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港口与航运管理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船舶电子电气技术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船舶检验</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500310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集装箱运输管理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5004航空运输类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民航运输服务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民航通信技术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定翼机驾驶技术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直升机驾驶技术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空中乘务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民航安全技术管理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民航空中安全保卫</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机场运行服务与管理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飞机机电设备维修</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飞机电子设备维修</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399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飞机部件修理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通用航空器维修</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飞机结构修理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航空地面设备维修</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机场场务技术与管理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通用航空航务技术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500417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航空油料</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5005管道运输类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管道工程技术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管道运输管理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5006城市轨道交通类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城市轨道车辆应用技术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城市轨道交通机电技术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城市轨道交通通信信号技术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城市轨道交通供配电技术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500606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城市轨道交通运营管理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5007邮政类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邮政快递运营管理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邮政快递智能技术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邮政通信管理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51电子与信息大类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5101电子信息类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电子信息工程技术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物联网应用技术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应用电子技术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电子产品制造技术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电子产品检测技术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移动互联应用技术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汽车智能技术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智能产品开发与应用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智能光电技术应用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光电显示技术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5102计算机类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计算机应用技术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计算机网络技术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软件技术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数字媒体技术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大数据技术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云计算技术应用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信息安全技术应用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虚拟现实技术应用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人工智能技术应用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嵌入式技术应用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工业互联网技术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区块链技术应用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移动应用开发</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工业软件开发技术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动漫制作技术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510216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密码技术应用</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5103通信类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现代通信技术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现代移动通信技术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通信软件技术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卫星通信与导航技术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通信工程设计与监理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通信系统运行管理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智能互联网络技术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网络规划与优化技术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电信服务与管理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5104集成电路类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集成电路技术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微电子技术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52医药卫生大类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5201临床医学类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520101K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临床医学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520102K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口腔医学</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5202护理类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护理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助产</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5203药学类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药学</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5204中医药类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中医骨伤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针灸推拿</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蒙医学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520405K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藏医学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520406K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维医学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520407K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傣医学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520408K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哈医学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520409K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朝医学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中药学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蒙药学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维药学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藏药学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中药材生产与加工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中药制药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中医康复技术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中医养生保健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520418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药膳与食疗</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5205医学技术类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医学检验技术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医学影像技术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医学生物技术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口腔医学技术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放射治疗技术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呼吸治疗技术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医学美容技术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520508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卫生检验与检疫技术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5206康复治疗类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康复治疗技术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康复辅助器具技术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言语听觉康复技术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5207公共卫生与卫生管理类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公共卫生管理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卫生信息管理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520703K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预防医学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520704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健康大数据管理与服务</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5208健康管理与促进类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健康管理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婴幼儿托育服务与管理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老年保健与管理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心理咨询</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医学营养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520806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生殖健康管理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5209眼视光类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520901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眼视光技术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499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520902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眼视光仪器技术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520903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视觉训练与康复</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53财经商贸大类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5301财政税务类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财税大数据应用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资产评估与管理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政府采购管理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5302金融类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金融服务与管理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金融科技应用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保险实务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信用管理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财富管理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证券实务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国际金融</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农村金融</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5303财务会计类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大数据与财务管理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大数据与会计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大数据与审计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会计信息管理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5304统计类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统计与大数据分析</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统计与会计核算</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市场调查与统计分析</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5305经济贸易类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530501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国际经济与贸易</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530503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关务与外贸服务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530504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服务外包</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国际文化贸易</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5306工商管理类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530601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工商企业管理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530602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连锁经营与管理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商务管理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530604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中小企业创业与经营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530605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市场营销</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5307电子商务类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电子商务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跨境电子商务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移动商务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网络营销与直播电商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农村电子商务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530706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商务数据分析与应用</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5308物流类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物流工程技术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现代物流管理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航空物流管理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铁路物流管理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冷链物流技术与管理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港口物流管理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工程物流管理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采购与供应管理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智能物流技术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530810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供应链运营</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54旅游大类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5401旅游类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旅游管理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导游</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旅行社经营与管理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定制旅行管理与服务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研学旅行管理与服务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酒店管理与数字化运营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民宿管理与运营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葡萄酒文化与营销</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茶艺与茶文化</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智慧景区开发与管理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智慧旅游技术应用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会展策划与管理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540113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休闲服务与管理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5402餐饮类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餐饮智能管理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烹饪工艺与营养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中西面点工艺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西式烹饪工艺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540205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营养配餐</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55文化艺术大类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5501艺术设计类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视觉传达设计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数字媒体艺术设计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产品艺术设计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服装与服饰设计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环境艺术设计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书画艺术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公共艺术设计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游戏艺术设计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展示艺术设计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美容美体艺术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工艺美术品设计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广告艺术设计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室内艺术设计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家具艺术设计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动漫设计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人物形象设计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摄影与摄像艺术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550119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雕刻艺术设计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皮具艺术设计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包装艺术设计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陶瓷设计与工艺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首饰设计与工艺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玉器设计与工艺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刺绣设计与工艺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雕塑设计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550127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服装陈列与展示设计</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5502表演艺术类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音乐表演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舞蹈表演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戏曲表演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表演艺术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戏剧影视表演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歌舞表演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曲艺表演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音乐剧表演</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国际标准舞</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现代流行音乐</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戏曲音乐</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音乐制作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钢琴伴奏</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钢琴调律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舞蹈编导</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音乐传播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时尚表演与传播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舞台艺术设计与制作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550219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作曲技术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550220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现代魔术设计与表演</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5503民族文化艺术类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民族表演艺术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民族美术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民族服装与饰品</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民族传统技艺</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中国少数民族语言文化</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5504文化服务类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文化创意与策划</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文化产业经营与管理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公共文化服务与管理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文物修复与保护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文物考古技术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文物展示利用技术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图书档案管理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550408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石窟寺保护技术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56新闻传播大类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5601新闻出版类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数字图文信息处理技术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网络新闻与传播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出版策划与编辑</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出版商务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数字出版</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数字媒体设备应用与管理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5602广播影视类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播音与主持</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广播影视节目制作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数字广播电视技术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影视编导</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新闻采编与制作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影视动画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影视制片管理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影视多媒体技术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影视照明技术与艺术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音像技术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录音技术与艺术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摄影摄像技术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融媒体技术与运营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网络直播与运营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传播与策划</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560216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全媒体广告策划与营销</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57教育与体育大类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5701教育类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早期教育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学前教育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小学语文教育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649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570105K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小学数学教育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570106K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小学英语教育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570107K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小学科学教育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570108K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音乐教育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570109K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美术教育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570110K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体育教育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小学道德与法治教育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舞蹈教育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艺术教育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特殊教育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659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570115K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现代教育技术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570116K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心理健康教育</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5702语言类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商务英语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应用英语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旅游英语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应用韩语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商务日语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应用日语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旅游日语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应用外语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669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中文</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应用俄语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应用法语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应用西班牙语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应用德语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应用泰语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应用越南语</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570216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应用阿拉伯语</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5703体育类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社会体育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休闲体育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679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运动训练</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民族传统体育</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运动防护</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体育保健与康复</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健身指导与管理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运动健康指导</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运动数据分析</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体能训练</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体育运营与管理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电子竞技运动与管理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689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高尔夫球运动与管理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冰雪运动与管理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冰雪设施运维与管理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570316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体育艺术表演</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58公安与司法大类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5801公安管理类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580101K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治安管理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580102K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道路交通管理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580103K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特警</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580104K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警务指挥与战术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5802公安技术类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580201K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刑事科学技术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580202K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网络安全与执法</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699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580203K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警犬技术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5803侦查类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580301K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刑事侦查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580302K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政治安全保卫</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580303K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经济犯罪侦查</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580304K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禁毒</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5804法律实务类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法律事务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580402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法律文秘</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580403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检察事务</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5805法律执行类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580501K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刑事执行</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580502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民事执行</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709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580503K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行政执行</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580504K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司法警务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580505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社区矫正</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5806司法技术类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580601K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刑事侦查技术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580602K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司法信息技术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司法鉴定技术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580604K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司法信息安全</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580605K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罪犯心理测量与矫正技术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580606K</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戒毒矫治技术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5807安全防范类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580701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安全防范技术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719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580702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安全保卫管理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580703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智能安防运营管理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BFBFBF"/>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黑体" w:cs="仿宋_GB2312"/>
                <w:b/>
                <w:bCs/>
                <w:kern w:val="0"/>
                <w:sz w:val="28"/>
                <w:szCs w:val="28"/>
                <w:lang w:val="en-US" w:eastAsia="zh-CN"/>
              </w:rPr>
            </w:pPr>
            <w:r>
              <w:rPr>
                <w:rFonts w:hint="eastAsia" w:ascii="Times New Roman" w:hAnsi="Times New Roman" w:eastAsia="黑体" w:cs="仿宋_GB2312"/>
                <w:b/>
                <w:bCs/>
                <w:kern w:val="0"/>
                <w:sz w:val="28"/>
                <w:szCs w:val="28"/>
                <w:lang w:val="en-US" w:eastAsia="zh-CN"/>
              </w:rPr>
              <w:t>59公共管理与服务大类</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5901公共事业类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社会工作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党务工作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青少年工作与管理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社区管理与服务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公共关系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590106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公益慈善事业管理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5902公共管理类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民政服务与管理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人力资源管理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729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劳动与社会保障</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网络舆情监测</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公共事务管理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行政管理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质量管理与认证</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590208</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知识产权管理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735</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590209</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职业指导与服务</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736</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590210</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标准化技术</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5903公共服务类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737</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现代家政服务与管理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738</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590302</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智慧健康养老服务与管理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739</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590303</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社区康复</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740</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590304</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婚庆服务与管理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741</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590305</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现代殡葬技术与管理</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742</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590306</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殡葬设备维护技术</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743</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590307</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陵园服务与管理</w:t>
            </w:r>
          </w:p>
        </w:tc>
      </w:tr>
      <w:tr>
        <w:tblPrEx>
          <w:tblLayout w:type="fixed"/>
          <w:tblCellMar>
            <w:top w:w="0" w:type="dxa"/>
            <w:left w:w="0" w:type="dxa"/>
            <w:bottom w:w="0" w:type="dxa"/>
            <w:right w:w="0" w:type="dxa"/>
          </w:tblCellMar>
        </w:tblPrEx>
        <w:trPr>
          <w:cantSplit/>
          <w:trHeight w:val="340" w:hRule="atLeast"/>
        </w:trPr>
        <w:tc>
          <w:tcPr>
            <w:tcW w:w="8275" w:type="dxa"/>
            <w:gridSpan w:val="3"/>
            <w:tcBorders>
              <w:top w:val="single" w:color="000000" w:sz="4" w:space="0"/>
              <w:left w:val="single" w:color="000000" w:sz="4" w:space="0"/>
              <w:bottom w:val="single" w:color="000000" w:sz="4" w:space="0"/>
              <w:right w:val="single" w:color="000000" w:sz="4" w:space="0"/>
            </w:tcBorders>
            <w:shd w:val="clear" w:color="auto" w:fill="D9D9D9"/>
            <w:noWrap w:val="0"/>
            <w:tcMar>
              <w:top w:w="8" w:type="dxa"/>
              <w:left w:w="8" w:type="dxa"/>
              <w:right w:w="8" w:type="dxa"/>
            </w:tcMar>
            <w:vAlign w:val="center"/>
          </w:tcPr>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imes New Roman" w:hAnsi="Times New Roman" w:eastAsia="仿宋_GB2312" w:cs="仿宋_GB2312"/>
                <w:b/>
                <w:bCs/>
                <w:kern w:val="0"/>
                <w:sz w:val="24"/>
                <w:szCs w:val="24"/>
                <w:lang w:val="en-US" w:eastAsia="zh-CN"/>
              </w:rPr>
            </w:pPr>
            <w:r>
              <w:rPr>
                <w:rFonts w:hint="eastAsia" w:ascii="Times New Roman" w:hAnsi="Times New Roman" w:eastAsia="仿宋_GB2312" w:cs="仿宋_GB2312"/>
                <w:b/>
                <w:bCs/>
                <w:kern w:val="0"/>
                <w:sz w:val="24"/>
                <w:szCs w:val="24"/>
                <w:lang w:val="en-US" w:eastAsia="zh-CN"/>
              </w:rPr>
              <w:t>5904文秘类</w:t>
            </w:r>
          </w:p>
        </w:tc>
      </w:tr>
      <w:tr>
        <w:tblPrEx>
          <w:tblLayout w:type="fixed"/>
          <w:tblCellMar>
            <w:top w:w="0" w:type="dxa"/>
            <w:left w:w="0" w:type="dxa"/>
            <w:bottom w:w="0" w:type="dxa"/>
            <w:right w:w="0" w:type="dxa"/>
          </w:tblCellMar>
        </w:tblPrEx>
        <w:trPr>
          <w:cantSplit/>
          <w:trHeight w:val="340" w:hRule="atLeast"/>
        </w:trPr>
        <w:tc>
          <w:tcPr>
            <w:tcW w:w="116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744</w:t>
            </w:r>
          </w:p>
        </w:tc>
        <w:tc>
          <w:tcPr>
            <w:tcW w:w="210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590401</w:t>
            </w:r>
          </w:p>
        </w:tc>
        <w:tc>
          <w:tcPr>
            <w:tcW w:w="5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Times New Roman" w:hAnsi="Times New Roman" w:eastAsia="仿宋_GB2312" w:cs="仿宋_GB2312"/>
                <w:i w:val="0"/>
                <w:color w:val="000000"/>
                <w:sz w:val="24"/>
                <w:szCs w:val="24"/>
                <w:u w:val="none"/>
              </w:rPr>
            </w:pPr>
            <w:r>
              <w:rPr>
                <w:rFonts w:hint="eastAsia" w:ascii="Times New Roman" w:hAnsi="Times New Roman" w:eastAsia="仿宋_GB2312" w:cs="仿宋_GB2312"/>
                <w:i w:val="0"/>
                <w:color w:val="000000"/>
                <w:kern w:val="0"/>
                <w:sz w:val="24"/>
                <w:szCs w:val="24"/>
                <w:u w:val="none"/>
                <w:lang w:val="en-US" w:eastAsia="zh-CN" w:bidi="ar"/>
              </w:rPr>
              <w:t>现代文秘</w:t>
            </w:r>
          </w:p>
        </w:tc>
      </w:tr>
    </w:tbl>
    <w:p>
      <w:pPr>
        <w:pageBreakBefore w:val="0"/>
        <w:kinsoku/>
        <w:wordWrap/>
        <w:overflowPunct/>
        <w:topLinePunct w:val="0"/>
        <w:bidi w:val="0"/>
        <w:outlineLvl w:val="9"/>
        <w:rPr>
          <w:rFonts w:hint="eastAsia"/>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415" w:name="_Toc470036787"/>
      <w:bookmarkStart w:id="416" w:name="_Toc23210"/>
      <w:bookmarkStart w:id="417" w:name="_Toc13623"/>
      <w:bookmarkStart w:id="418" w:name="_Toc425"/>
      <w:bookmarkStart w:id="419" w:name="_Toc829"/>
      <w:r>
        <w:rPr>
          <w:rFonts w:hint="eastAsia"/>
          <w:b/>
          <w:color w:val="000000"/>
          <w:sz w:val="36"/>
          <w:szCs w:val="36"/>
        </w:rPr>
        <w:t>柳州职业技术学院听课制度</w:t>
      </w:r>
      <w:bookmarkEnd w:id="415"/>
      <w:r>
        <w:rPr>
          <w:rFonts w:hint="eastAsia"/>
          <w:b/>
          <w:color w:val="000000"/>
          <w:sz w:val="36"/>
          <w:szCs w:val="36"/>
        </w:rPr>
        <w:t>（修订稿）</w:t>
      </w:r>
      <w:bookmarkEnd w:id="416"/>
      <w:bookmarkEnd w:id="417"/>
      <w:bookmarkEnd w:id="418"/>
      <w:bookmarkEnd w:id="419"/>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柳职院教字〔2021〕20号)</w:t>
      </w:r>
    </w:p>
    <w:p>
      <w:pPr>
        <w:pageBreakBefore w:val="0"/>
        <w:widowControl/>
        <w:kinsoku/>
        <w:wordWrap/>
        <w:overflowPunct/>
        <w:topLinePunct w:val="0"/>
        <w:bidi w:val="0"/>
        <w:jc w:val="center"/>
        <w:outlineLvl w:val="9"/>
        <w:rPr>
          <w:rFonts w:hint="eastAsia" w:ascii="仿宋_GB2312" w:eastAsia="仿宋_GB2312"/>
          <w:sz w:val="32"/>
          <w:szCs w:val="32"/>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根据《教育部关于深化职业教育教学改革 全面提高人才培养质量的若干意见》(教职成〔2015〕6号)、《关于加强广西高等学校教学管理工作的若干意见》(桂教高教〔2017〕41号)、《新时代高校思想政治理论课教学工作基本要求》（教社科〔2018〕2号）文件精神及相关文件要求，为进一步完善和落实我校听课制度，使各级领导深入了解和掌握教学动态，及时解决教学中存在的问题，教师间加强业务沟通和相互学习，努力提高教学水平，确保教学质量稳步提高，在原《柳州职业技术学院听课制度》（柳职院教字〔2015〕23号）的基础上制定本制度。</w:t>
      </w:r>
    </w:p>
    <w:p>
      <w:pPr>
        <w:pageBreakBefore w:val="0"/>
        <w:kinsoku/>
        <w:wordWrap/>
        <w:overflowPunct/>
        <w:topLinePunct w:val="0"/>
        <w:bidi w:val="0"/>
        <w:spacing w:line="596" w:lineRule="exact"/>
        <w:ind w:firstLine="640" w:firstLineChars="200"/>
        <w:outlineLvl w:val="9"/>
        <w:rPr>
          <w:rFonts w:hint="eastAsia" w:ascii="黑体" w:hAnsi="黑体" w:eastAsia="黑体"/>
          <w:b/>
          <w:sz w:val="32"/>
          <w:szCs w:val="32"/>
        </w:rPr>
      </w:pPr>
      <w:r>
        <w:rPr>
          <w:rFonts w:hint="eastAsia" w:ascii="黑体" w:hAnsi="黑体" w:eastAsia="黑体"/>
          <w:b/>
          <w:sz w:val="32"/>
          <w:szCs w:val="32"/>
        </w:rPr>
        <w:t>一、各级领导、教师的听课量</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学校领导班子每学期听课时数不少于4学时，主管教学工作的校级领导每学期听课时数不少于8学时，其中党委书记、校长、分管思想政治理论课建设和分管教学、科研工作的校领导，每学期至少听1次思想政治理论课必修课。校级领导听课旨在深入教学第一线，了解课堂教学情况，倾听师生对教学工作的意见，及时解决教学中存在的问题。</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教务与实训管理处、学生工作处、二级学院领导每学期听课不少于6次，其中思想政治理论课必修课不少于1次。教务与实训管理处、学生工作处人员听课旨在了解教师教学及学生学习情况，倾听师生对教学工作的意见，及时解决师生反映的问题；二级学院领导听课旨在了解二级学院教学实际状况，发现并逐步解决教学过程中存在的问题，指导教师更好地开展课堂教学活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教学团队负责人每学期听课不少于6次，其中优质课或精品课等级评定课不少于1次，二级学院或教学团队组织的公开课不少于1次。教学团队负责人听课旨在了解本教学团队教师教学情况，开展有针对性的教研活动和帮扶活动，提升团队教师教育教学能力。</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任课教师（含专任教师、兼课教师和兼职教师）每学期听课不少于4次。其中二级学院或教学团队组织的公开课不少于1次。教师听课旨在切磋教学内容，交流教学方法，改善教学效果，提高教学水平和教学质量。</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5.师徒结对、教学督导员、兼职督导员、实习期的教师，听课次数根据学校或学院相关规定执行。</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6.提倡其它职能部门人员参与听课，了解教学情况，倾听师生意见，提高服务质量。</w:t>
      </w:r>
    </w:p>
    <w:p>
      <w:pPr>
        <w:pageBreakBefore w:val="0"/>
        <w:kinsoku/>
        <w:wordWrap/>
        <w:overflowPunct/>
        <w:topLinePunct w:val="0"/>
        <w:bidi w:val="0"/>
        <w:spacing w:line="596" w:lineRule="exact"/>
        <w:ind w:firstLine="640" w:firstLineChars="200"/>
        <w:outlineLvl w:val="9"/>
        <w:rPr>
          <w:rFonts w:hint="eastAsia" w:ascii="黑体" w:hAnsi="黑体" w:eastAsia="黑体"/>
          <w:b/>
          <w:sz w:val="32"/>
          <w:szCs w:val="32"/>
        </w:rPr>
      </w:pPr>
      <w:r>
        <w:rPr>
          <w:rFonts w:hint="eastAsia" w:ascii="黑体" w:hAnsi="黑体" w:eastAsia="黑体"/>
          <w:b/>
          <w:sz w:val="32"/>
          <w:szCs w:val="32"/>
        </w:rPr>
        <w:t>二、听课方式、范围和要求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1.听课方式采用随机听课与组织听课相结合的形式，以随机、随堂听课为主，提倡组织重点听课、集体听课等。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2.听课范围主要是全日制班级所开课程，重点是新开课和开新课的课程。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3.每次听课不少于1学时。对同一教师的同一门课程，连续听课超过1学时的，按听课1次计算。</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听课人员每次听课必须认真、详细、如实填写《柳州职业技术学院课堂教学质量评价表（听课用表）》（以下简称“听课表”），听课后应及时与授课教师交换意见；涉及到环境设施、教风、学风等方面的问题应及时向相关部门反映。</w:t>
      </w:r>
    </w:p>
    <w:p>
      <w:pPr>
        <w:pageBreakBefore w:val="0"/>
        <w:kinsoku/>
        <w:wordWrap/>
        <w:overflowPunct/>
        <w:topLinePunct w:val="0"/>
        <w:bidi w:val="0"/>
        <w:spacing w:line="596" w:lineRule="exact"/>
        <w:ind w:firstLine="640" w:firstLineChars="200"/>
        <w:outlineLvl w:val="9"/>
        <w:rPr>
          <w:rFonts w:hint="eastAsia" w:ascii="黑体" w:hAnsi="黑体" w:eastAsia="黑体"/>
          <w:b/>
          <w:sz w:val="32"/>
          <w:szCs w:val="32"/>
        </w:rPr>
      </w:pPr>
      <w:r>
        <w:rPr>
          <w:rFonts w:hint="eastAsia" w:ascii="黑体" w:hAnsi="黑体" w:eastAsia="黑体"/>
          <w:b/>
          <w:sz w:val="32"/>
          <w:szCs w:val="32"/>
        </w:rPr>
        <w:t>三、听课制度组织管理</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1.听课人员应自觉遵守听课制度，不能以上课替代听课。</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各二级学院应定时对听课表所记载的主要情况和问题进行整理、汇总，并对听课中发现的属于教师教学方面的问题及时向授课教师反馈。凡属于二级学院组织教学存在的问题，由二级学院制定措施及时解决；凡属于全校性问题，由教务与实训管理处向学校汇报并由有关部门采取措施解决。</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3.各二级学院对教师听课情况进行自查，教务与实训管理处对二级学院听课情况不定期进行抽查。学校督导室负责监督全校听课制度的执行情况。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校级领导及职能部门人员应于听课后1周内将听课表交教务与实训管理处，教务与实训管理处负责将听课情况进行汇总整理；二级学院领导和教师应于听课后1周内将听课表交学院，并由二级学院负责将听课情况进行汇总整理。</w:t>
      </w:r>
    </w:p>
    <w:p>
      <w:pPr>
        <w:pageBreakBefore w:val="0"/>
        <w:kinsoku/>
        <w:wordWrap/>
        <w:overflowPunct/>
        <w:topLinePunct w:val="0"/>
        <w:bidi w:val="0"/>
        <w:spacing w:line="596" w:lineRule="exact"/>
        <w:ind w:firstLine="640" w:firstLineChars="200"/>
        <w:outlineLvl w:val="9"/>
        <w:rPr>
          <w:rFonts w:hint="eastAsia" w:ascii="黑体" w:hAnsi="黑体" w:eastAsia="黑体"/>
          <w:b/>
          <w:sz w:val="32"/>
          <w:szCs w:val="32"/>
        </w:rPr>
      </w:pPr>
      <w:r>
        <w:rPr>
          <w:rFonts w:hint="eastAsia" w:ascii="黑体" w:hAnsi="黑体" w:eastAsia="黑体"/>
          <w:b/>
          <w:sz w:val="32"/>
          <w:szCs w:val="32"/>
        </w:rPr>
        <w:t>四、其它</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1.本制度自发布之日起执行，原《柳州职业技术学院听课制度》（柳职院教字〔2015〕23号）废止，其它有关听课的规定与本制度不相符的，以本制度规定为准。</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2.本制度由教务与实训管理处负责解释</w:t>
      </w:r>
      <w:bookmarkStart w:id="420" w:name="产学研合作"/>
      <w:bookmarkEnd w:id="420"/>
      <w:r>
        <w:rPr>
          <w:rFonts w:hint="eastAsia" w:ascii="仿宋_GB2312" w:eastAsia="仿宋_GB2312"/>
          <w:sz w:val="32"/>
          <w:szCs w:val="32"/>
        </w:rPr>
        <w:t>。</w:t>
      </w:r>
    </w:p>
    <w:p>
      <w:pPr>
        <w:pageBreakBefore w:val="0"/>
        <w:widowControl/>
        <w:kinsoku/>
        <w:wordWrap/>
        <w:overflowPunct/>
        <w:topLinePunct w:val="0"/>
        <w:bidi w:val="0"/>
        <w:jc w:val="left"/>
        <w:outlineLvl w:val="9"/>
        <w:rPr>
          <w:rFonts w:ascii="仿宋_GB2312" w:eastAsia="仿宋_GB2312"/>
          <w:bCs/>
          <w:sz w:val="32"/>
          <w:szCs w:val="32"/>
        </w:rPr>
      </w:pPr>
      <w:r>
        <w:rPr>
          <w:rFonts w:ascii="仿宋_GB2312"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b/>
          <w:color w:val="000000"/>
          <w:sz w:val="36"/>
          <w:szCs w:val="36"/>
        </w:rPr>
      </w:pPr>
      <w:bookmarkStart w:id="421" w:name="_Toc22061"/>
      <w:bookmarkStart w:id="422" w:name="_Toc32061"/>
      <w:bookmarkStart w:id="423" w:name="_Toc4422"/>
      <w:bookmarkStart w:id="424" w:name="_Toc12228"/>
      <w:r>
        <w:rPr>
          <w:rFonts w:hint="eastAsia"/>
          <w:b/>
          <w:color w:val="000000"/>
          <w:sz w:val="36"/>
          <w:szCs w:val="36"/>
        </w:rPr>
        <w:t>柳州职业技术学院课堂教学质量等级评定管理办法（试行）</w:t>
      </w:r>
      <w:bookmarkEnd w:id="421"/>
      <w:bookmarkEnd w:id="422"/>
      <w:bookmarkEnd w:id="423"/>
      <w:bookmarkEnd w:id="424"/>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柳职院教字〔2021〕36号)</w:t>
      </w:r>
    </w:p>
    <w:p>
      <w:pPr>
        <w:pageBreakBefore w:val="0"/>
        <w:widowControl/>
        <w:kinsoku/>
        <w:wordWrap/>
        <w:overflowPunct/>
        <w:topLinePunct w:val="0"/>
        <w:bidi w:val="0"/>
        <w:jc w:val="center"/>
        <w:outlineLvl w:val="9"/>
        <w:rPr>
          <w:rFonts w:hint="eastAsia" w:ascii="仿宋_GB2312" w:eastAsia="仿宋_GB2312"/>
          <w:bCs/>
          <w:sz w:val="32"/>
          <w:szCs w:val="32"/>
        </w:rPr>
      </w:pPr>
    </w:p>
    <w:p>
      <w:pPr>
        <w:pageBreakBefore w:val="0"/>
        <w:kinsoku/>
        <w:wordWrap/>
        <w:overflowPunct/>
        <w:topLinePunct w:val="0"/>
        <w:bidi w:val="0"/>
        <w:spacing w:line="596" w:lineRule="exact"/>
        <w:jc w:val="center"/>
        <w:outlineLvl w:val="9"/>
        <w:rPr>
          <w:rFonts w:ascii="黑体" w:hAnsi="黑体" w:eastAsia="黑体"/>
          <w:b/>
          <w:sz w:val="32"/>
          <w:szCs w:val="32"/>
        </w:rPr>
      </w:pPr>
      <w:r>
        <w:rPr>
          <w:rFonts w:hint="eastAsia" w:ascii="黑体" w:hAnsi="黑体" w:eastAsia="黑体"/>
          <w:b/>
          <w:sz w:val="32"/>
          <w:szCs w:val="32"/>
        </w:rPr>
        <w:t>第一章  总 则</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第一条</w:t>
      </w:r>
      <w:r>
        <w:rPr>
          <w:rFonts w:hint="eastAsia" w:ascii="仿宋_GB2312" w:eastAsia="仿宋_GB2312"/>
          <w:sz w:val="32"/>
          <w:szCs w:val="32"/>
        </w:rPr>
        <w:t xml:space="preserve"> 为贯彻中共中央、国务院颁发的《深化新时代教育评价改革总体方案》，落实立德树人根本任务，适应新时代对人才需求的变化，适应新技术、新产业、新业态的变化，引导教师上好每一节课、关爱每一个学生，培养学生成为有理想信念、有工匠精神、有高超技艺的“素养·管理·创新”国际化复合型技术技能人才，切实不断提高课堂教学质量，特制定本办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第二条</w:t>
      </w:r>
      <w:r>
        <w:rPr>
          <w:rFonts w:hint="eastAsia" w:ascii="仿宋_GB2312" w:eastAsia="仿宋_GB2312"/>
          <w:sz w:val="32"/>
          <w:szCs w:val="32"/>
        </w:rPr>
        <w:t xml:space="preserve"> 课堂教学质量等级评定（以下简称“课堂评定”）遵循“全员覆盖、聚焦导向、持续改进”的原则，以二级学院作为评定主体，教学质量管理人员、教师、学生等教学相关人员全员参与课堂教学质量等级评定工作，共同对任课教师（包含专任、兼课、兼职、外聘教师等）的教学质量进行评定。按照教师所任课班级课程的课堂教学质量高低，划分为精品课、优质课、合格课、不合格课四个等级。</w:t>
      </w:r>
    </w:p>
    <w:p>
      <w:pPr>
        <w:pageBreakBefore w:val="0"/>
        <w:kinsoku/>
        <w:wordWrap/>
        <w:overflowPunct/>
        <w:topLinePunct w:val="0"/>
        <w:bidi w:val="0"/>
        <w:spacing w:line="596" w:lineRule="exact"/>
        <w:jc w:val="center"/>
        <w:outlineLvl w:val="9"/>
        <w:rPr>
          <w:rFonts w:ascii="黑体" w:hAnsi="黑体" w:eastAsia="黑体"/>
          <w:b/>
          <w:sz w:val="32"/>
          <w:szCs w:val="32"/>
        </w:rPr>
      </w:pPr>
      <w:r>
        <w:rPr>
          <w:rFonts w:hint="eastAsia" w:ascii="黑体" w:hAnsi="黑体" w:eastAsia="黑体"/>
          <w:b/>
          <w:sz w:val="32"/>
          <w:szCs w:val="32"/>
          <w:lang w:eastAsia="zh-Hans"/>
        </w:rPr>
        <w:t>第</w:t>
      </w:r>
      <w:r>
        <w:rPr>
          <w:rFonts w:hint="eastAsia" w:ascii="黑体" w:hAnsi="黑体" w:eastAsia="黑体"/>
          <w:b/>
          <w:sz w:val="32"/>
          <w:szCs w:val="32"/>
        </w:rPr>
        <w:t>二</w:t>
      </w:r>
      <w:r>
        <w:rPr>
          <w:rFonts w:hint="eastAsia" w:ascii="黑体" w:hAnsi="黑体" w:eastAsia="黑体"/>
          <w:b/>
          <w:sz w:val="32"/>
          <w:szCs w:val="32"/>
          <w:lang w:eastAsia="zh-Hans"/>
        </w:rPr>
        <w:t>章</w:t>
      </w:r>
      <w:r>
        <w:rPr>
          <w:rFonts w:ascii="黑体" w:hAnsi="黑体" w:eastAsia="黑体"/>
          <w:b/>
          <w:sz w:val="32"/>
          <w:szCs w:val="32"/>
          <w:lang w:eastAsia="zh-Hans"/>
        </w:rPr>
        <w:t xml:space="preserve"> </w:t>
      </w:r>
      <w:r>
        <w:rPr>
          <w:rFonts w:hint="eastAsia" w:ascii="黑体" w:hAnsi="黑体" w:eastAsia="黑体"/>
          <w:b/>
          <w:sz w:val="32"/>
          <w:szCs w:val="32"/>
        </w:rPr>
        <w:t xml:space="preserve">  </w:t>
      </w:r>
      <w:r>
        <w:rPr>
          <w:rFonts w:hint="eastAsia" w:ascii="黑体" w:hAnsi="黑体" w:eastAsia="黑体"/>
          <w:b/>
          <w:sz w:val="32"/>
          <w:szCs w:val="32"/>
          <w:lang w:eastAsia="zh-Hans"/>
        </w:rPr>
        <w:t>管理</w:t>
      </w:r>
      <w:r>
        <w:rPr>
          <w:rFonts w:hint="eastAsia" w:ascii="黑体" w:hAnsi="黑体" w:eastAsia="黑体"/>
          <w:b/>
          <w:sz w:val="32"/>
          <w:szCs w:val="32"/>
        </w:rPr>
        <w:t>机构与</w:t>
      </w:r>
      <w:r>
        <w:rPr>
          <w:rFonts w:hint="eastAsia" w:ascii="黑体" w:hAnsi="黑体" w:eastAsia="黑体"/>
          <w:b/>
          <w:sz w:val="32"/>
          <w:szCs w:val="32"/>
          <w:lang w:eastAsia="zh-Hans"/>
        </w:rPr>
        <w:t>职责</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三</w:t>
      </w:r>
      <w:r>
        <w:rPr>
          <w:rFonts w:hint="eastAsia" w:ascii="仿宋_GB2312" w:eastAsia="仿宋_GB2312"/>
          <w:b/>
          <w:bCs/>
          <w:sz w:val="32"/>
          <w:szCs w:val="32"/>
          <w:lang w:eastAsia="zh-Hans"/>
        </w:rPr>
        <w:t>条</w:t>
      </w:r>
      <w:r>
        <w:rPr>
          <w:rFonts w:hint="eastAsia" w:ascii="仿宋_GB2312" w:eastAsia="仿宋_GB2312"/>
          <w:sz w:val="32"/>
          <w:szCs w:val="32"/>
          <w:lang w:eastAsia="zh-Hans"/>
        </w:rPr>
        <w:t xml:space="preserve"> </w:t>
      </w:r>
      <w:r>
        <w:rPr>
          <w:rFonts w:hint="eastAsia" w:ascii="仿宋_GB2312" w:eastAsia="仿宋_GB2312"/>
          <w:sz w:val="32"/>
          <w:szCs w:val="32"/>
        </w:rPr>
        <w:t>教务与实训管理处是学校课堂评定工作的管理</w:t>
      </w:r>
      <w:r>
        <w:rPr>
          <w:rFonts w:hint="eastAsia" w:ascii="仿宋_GB2312" w:eastAsia="仿宋_GB2312"/>
          <w:sz w:val="32"/>
          <w:szCs w:val="32"/>
          <w:lang w:eastAsia="zh-Hans"/>
        </w:rPr>
        <w:t>部门</w:t>
      </w:r>
      <w:r>
        <w:rPr>
          <w:rFonts w:hint="eastAsia" w:ascii="仿宋_GB2312" w:eastAsia="仿宋_GB2312"/>
          <w:sz w:val="32"/>
          <w:szCs w:val="32"/>
        </w:rPr>
        <w:t>，主要职责为：</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（一）</w:t>
      </w:r>
      <w:r>
        <w:rPr>
          <w:rFonts w:hint="eastAsia" w:ascii="仿宋_GB2312" w:eastAsia="仿宋_GB2312"/>
          <w:sz w:val="32"/>
          <w:szCs w:val="32"/>
        </w:rPr>
        <w:t>制定及修订学校课堂评定管理办法，并负责解释。</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（二）</w:t>
      </w:r>
      <w:r>
        <w:rPr>
          <w:rFonts w:hint="eastAsia" w:ascii="仿宋_GB2312" w:eastAsia="仿宋_GB2312"/>
          <w:sz w:val="32"/>
          <w:szCs w:val="32"/>
        </w:rPr>
        <w:t>组建学校课堂评定工作组，检查二级学院课堂评定工作组织实施情况，协调解决课堂评定工作中出现的问题。</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（三）</w:t>
      </w:r>
      <w:r>
        <w:rPr>
          <w:rFonts w:hint="eastAsia" w:ascii="仿宋_GB2312" w:eastAsia="仿宋_GB2312"/>
          <w:sz w:val="32"/>
          <w:szCs w:val="32"/>
        </w:rPr>
        <w:t>审核二级学院的课堂评定结果，对核定课堂评定结果在学校公示及发文。</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四</w:t>
      </w:r>
      <w:r>
        <w:rPr>
          <w:rFonts w:hint="eastAsia" w:ascii="仿宋_GB2312" w:eastAsia="仿宋_GB2312"/>
          <w:b/>
          <w:bCs/>
          <w:sz w:val="32"/>
          <w:szCs w:val="32"/>
          <w:lang w:eastAsia="zh-Hans"/>
        </w:rPr>
        <w:t xml:space="preserve">条 </w:t>
      </w:r>
      <w:r>
        <w:rPr>
          <w:rFonts w:hint="eastAsia" w:ascii="仿宋_GB2312" w:eastAsia="仿宋_GB2312"/>
          <w:sz w:val="32"/>
          <w:szCs w:val="32"/>
          <w:lang w:eastAsia="zh-Hans"/>
        </w:rPr>
        <w:t>二级学院</w:t>
      </w:r>
      <w:r>
        <w:rPr>
          <w:rFonts w:hint="eastAsia" w:ascii="仿宋_GB2312" w:eastAsia="仿宋_GB2312"/>
          <w:sz w:val="32"/>
          <w:szCs w:val="32"/>
        </w:rPr>
        <w:t>是课堂评定工作的主体和实施部门，主要职责为：</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（一）</w:t>
      </w:r>
      <w:r>
        <w:rPr>
          <w:rFonts w:hint="eastAsia" w:ascii="仿宋_GB2312" w:eastAsia="仿宋_GB2312"/>
          <w:sz w:val="32"/>
          <w:szCs w:val="32"/>
        </w:rPr>
        <w:t>根据学校相应教学管理办法，对本二级学院管理的课程制定本二级学院的课堂评定实施方案，包括评定工作程序、评定内容及权重、评定标准、评定方式和方法、评定结果应用等。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（二）</w:t>
      </w:r>
      <w:r>
        <w:rPr>
          <w:rFonts w:hint="eastAsia" w:ascii="仿宋_GB2312" w:eastAsia="仿宋_GB2312"/>
          <w:sz w:val="32"/>
          <w:szCs w:val="32"/>
        </w:rPr>
        <w:t>组建二级学院</w:t>
      </w:r>
      <w:r>
        <w:rPr>
          <w:rFonts w:hint="eastAsia" w:ascii="仿宋_GB2312" w:eastAsia="仿宋_GB2312"/>
          <w:sz w:val="32"/>
          <w:szCs w:val="32"/>
          <w:lang w:eastAsia="zh-Hans"/>
        </w:rPr>
        <w:t>课堂评定小组</w:t>
      </w:r>
      <w:r>
        <w:rPr>
          <w:rFonts w:hint="eastAsia" w:ascii="仿宋_GB2312" w:eastAsia="仿宋_GB2312"/>
          <w:sz w:val="32"/>
          <w:szCs w:val="32"/>
        </w:rPr>
        <w:t>，组织实施本二级学院课堂评定各项工作，收集及汇总课堂评定各种资料及数据，评审出课堂评定结果。</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eastAsia="zh-Hans"/>
        </w:rPr>
        <w:t>（三）</w:t>
      </w:r>
      <w:r>
        <w:rPr>
          <w:rFonts w:hint="eastAsia" w:ascii="仿宋_GB2312" w:eastAsia="仿宋_GB2312"/>
          <w:sz w:val="32"/>
          <w:szCs w:val="32"/>
        </w:rPr>
        <w:t>对在课堂评定工作中发现的教学问题及时反馈和处理，进行教学整改。</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 xml:space="preserve">第五条 </w:t>
      </w:r>
      <w:r>
        <w:rPr>
          <w:rFonts w:hint="eastAsia" w:ascii="仿宋_GB2312" w:eastAsia="仿宋_GB2312"/>
          <w:sz w:val="32"/>
          <w:szCs w:val="32"/>
        </w:rPr>
        <w:t>学校督导室是学校课堂评定工作的监督部门，主要职责：对课堂评定的全过程进行监督，对违规、违纪行为按学校有关规定进行处理。</w:t>
      </w:r>
    </w:p>
    <w:p>
      <w:pPr>
        <w:pageBreakBefore w:val="0"/>
        <w:kinsoku/>
        <w:wordWrap/>
        <w:overflowPunct/>
        <w:topLinePunct w:val="0"/>
        <w:bidi w:val="0"/>
        <w:spacing w:line="596" w:lineRule="exact"/>
        <w:jc w:val="center"/>
        <w:outlineLvl w:val="9"/>
        <w:rPr>
          <w:rFonts w:ascii="黑体" w:hAnsi="黑体" w:eastAsia="黑体"/>
          <w:b/>
          <w:sz w:val="32"/>
          <w:szCs w:val="32"/>
        </w:rPr>
      </w:pPr>
      <w:r>
        <w:rPr>
          <w:rFonts w:hint="eastAsia" w:ascii="黑体" w:hAnsi="黑体" w:eastAsia="黑体"/>
          <w:b/>
          <w:sz w:val="32"/>
          <w:szCs w:val="32"/>
          <w:lang w:eastAsia="zh-Hans"/>
        </w:rPr>
        <w:t>第</w:t>
      </w:r>
      <w:r>
        <w:rPr>
          <w:rFonts w:hint="eastAsia" w:ascii="黑体" w:hAnsi="黑体" w:eastAsia="黑体"/>
          <w:b/>
          <w:sz w:val="32"/>
          <w:szCs w:val="32"/>
        </w:rPr>
        <w:t>三</w:t>
      </w:r>
      <w:r>
        <w:rPr>
          <w:rFonts w:hint="eastAsia" w:ascii="黑体" w:hAnsi="黑体" w:eastAsia="黑体"/>
          <w:b/>
          <w:sz w:val="32"/>
          <w:szCs w:val="32"/>
          <w:lang w:eastAsia="zh-Hans"/>
        </w:rPr>
        <w:t xml:space="preserve">章   </w:t>
      </w:r>
      <w:r>
        <w:rPr>
          <w:rFonts w:hint="eastAsia" w:ascii="黑体" w:hAnsi="黑体" w:eastAsia="黑体"/>
          <w:b/>
          <w:sz w:val="32"/>
          <w:szCs w:val="32"/>
        </w:rPr>
        <w:t>评定对象及范围</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 xml:space="preserve">第六条 </w:t>
      </w:r>
      <w:r>
        <w:rPr>
          <w:rFonts w:hint="eastAsia" w:ascii="仿宋_GB2312" w:eastAsia="仿宋_GB2312"/>
          <w:sz w:val="32"/>
          <w:szCs w:val="32"/>
        </w:rPr>
        <w:t>课堂评定的对象、范围和周期</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评定对象：任课教师所任课班级课程，且为某一班级的某一课程。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评定范围：每学期开设的必修课课程，每学年覆盖到每位任课教师。下列课程暂不列入评定范围：军事技能、形势与政策、大学生安全教育、综合实践课程（包含专业入门教育、通用核心能力测试、毕业设计（论文）/职业能力测试、职业素养与劳动教育实践、预就业实习等）、公共选修课程、专业选修课程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评定周期：每学期一次。</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课堂评定要聚焦高职教育教学改革，重点支持课程思政示范课程、课程双创示范课程、新技术改革课程、混合式教学改革课程、1+X证书课证融通课程、新开设课程以及其他改革课程或示范课程。</w:t>
      </w:r>
    </w:p>
    <w:p>
      <w:pPr>
        <w:pageBreakBefore w:val="0"/>
        <w:kinsoku/>
        <w:wordWrap/>
        <w:overflowPunct/>
        <w:topLinePunct w:val="0"/>
        <w:bidi w:val="0"/>
        <w:spacing w:line="596" w:lineRule="exact"/>
        <w:jc w:val="center"/>
        <w:outlineLvl w:val="9"/>
        <w:rPr>
          <w:rFonts w:ascii="黑体" w:hAnsi="黑体" w:eastAsia="黑体"/>
          <w:b/>
          <w:sz w:val="32"/>
          <w:szCs w:val="32"/>
        </w:rPr>
      </w:pPr>
      <w:r>
        <w:rPr>
          <w:rFonts w:hint="eastAsia" w:ascii="黑体" w:hAnsi="黑体" w:eastAsia="黑体"/>
          <w:b/>
          <w:sz w:val="32"/>
          <w:szCs w:val="32"/>
        </w:rPr>
        <w:t>第四章   评定基本要求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第八条</w:t>
      </w:r>
      <w:r>
        <w:rPr>
          <w:rFonts w:hint="eastAsia" w:ascii="仿宋_GB2312" w:eastAsia="仿宋_GB2312"/>
          <w:sz w:val="32"/>
          <w:szCs w:val="32"/>
        </w:rPr>
        <w:t xml:space="preserve"> 课堂评定注重过程管理、信息收集和反馈，做到发现问题及时反馈、整改。</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第九条</w:t>
      </w:r>
      <w:r>
        <w:rPr>
          <w:rFonts w:hint="eastAsia" w:ascii="仿宋_GB2312" w:eastAsia="仿宋_GB2312"/>
          <w:sz w:val="32"/>
          <w:szCs w:val="32"/>
        </w:rPr>
        <w:t xml:space="preserve"> 课堂评定工作必须公开、公平、公正。评定的内容、标准、过程及结果需面向教职工公开，并设立投诉机制，接受监督。</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二级学院制定课堂评定实施方案，必须以教育部、教育厅、学校的相关文件及规定为参考依据，且满足课堂评定基本内容、基本标准、基本要求，在此基础上，二级学院可根据需要优化课堂评定内容及评定标准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二级学院课堂评定实施方案的参考依据</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1.深化新时代教育评价改革总体方案</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2.柳州职业技术学院人才培养方案和课程标准指导性意见</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3.柳州职业技术学院教师课堂教学工作规范</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4.柳州职业技术学院教师课堂教学行为规范及扣分清单</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5.柳州职业技术学院教师教学材料撰写及留存要求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课堂评定基本内容</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教学文件、教学过程、同行评价、学生评价等。</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课堂评定基本标准</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1.教师教学文件评价标准（附件1）</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2.课堂教学评价标准(教师同行评价用表)（附件2）</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3.课堂教学评价标准(学生评价用表)（附件3）</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4.网络课程及互动评价标准（附件4）</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第十四条</w:t>
      </w:r>
      <w:r>
        <w:rPr>
          <w:rFonts w:hint="eastAsia" w:ascii="仿宋_GB2312" w:eastAsia="仿宋_GB2312"/>
          <w:sz w:val="32"/>
          <w:szCs w:val="32"/>
        </w:rPr>
        <w:t xml:space="preserve"> 精品课、优质课评定基本要求</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1.应是课程思政示范课程、课程双创示范课程、新技术改革课程、混合式教学改革课程、1+X证书课证融通课程以及其它示范课程或改革课程。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2.应建设有课程网络教学资源，并利用在线课程进行教学活动。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第十五条</w:t>
      </w:r>
      <w:r>
        <w:rPr>
          <w:rFonts w:hint="eastAsia" w:ascii="仿宋_GB2312" w:eastAsia="仿宋_GB2312"/>
          <w:sz w:val="32"/>
          <w:szCs w:val="32"/>
        </w:rPr>
        <w:t xml:space="preserve"> 对于立项建设的课程思政、课程双创、新技术、混合式教学、1+X证书等示范课程或改革课程，二级学院可以根据培养方案和课程标准，对课堂等级作初步认定，在课程实施过程核实符合要求后最终认定。</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第十六条</w:t>
      </w:r>
      <w:r>
        <w:rPr>
          <w:rFonts w:hint="eastAsia" w:ascii="仿宋_GB2312" w:eastAsia="仿宋_GB2312"/>
          <w:sz w:val="32"/>
          <w:szCs w:val="32"/>
        </w:rPr>
        <w:t xml:space="preserve"> 被认定有教学工作事故的、或者评定过程中有弄虚作假行为的，评定为不合格课。</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有违反教学相关规定行为但未达到教学工作事故的，取消精品课、优质课等级评定资格。</w:t>
      </w:r>
    </w:p>
    <w:p>
      <w:pPr>
        <w:pageBreakBefore w:val="0"/>
        <w:kinsoku/>
        <w:wordWrap/>
        <w:overflowPunct/>
        <w:topLinePunct w:val="0"/>
        <w:bidi w:val="0"/>
        <w:spacing w:line="596" w:lineRule="exact"/>
        <w:jc w:val="center"/>
        <w:outlineLvl w:val="9"/>
        <w:rPr>
          <w:rFonts w:ascii="黑体" w:hAnsi="黑体" w:eastAsia="黑体"/>
          <w:b/>
          <w:sz w:val="32"/>
          <w:szCs w:val="32"/>
        </w:rPr>
      </w:pPr>
      <w:r>
        <w:rPr>
          <w:rFonts w:hint="eastAsia" w:ascii="黑体" w:hAnsi="黑体" w:eastAsia="黑体"/>
          <w:b/>
          <w:sz w:val="32"/>
          <w:szCs w:val="32"/>
        </w:rPr>
        <w:t>第五章   评定工作流程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第十七条</w:t>
      </w:r>
      <w:r>
        <w:rPr>
          <w:rFonts w:hint="eastAsia" w:ascii="仿宋_GB2312" w:eastAsia="仿宋_GB2312"/>
          <w:sz w:val="32"/>
          <w:szCs w:val="32"/>
        </w:rPr>
        <w:t xml:space="preserve"> 课堂评定工作流程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（一）二级学院制定本二级学院课堂评定方案并实施</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1.制定和修订课堂评定方案。课堂评定方案必须提交本二级学院教学工作委员会审核，在本二级学院公示。学期第1周，二级学院将课堂评定方案报教务与实训管理处复核，核准通过后执行。</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2.二级学院执行课堂评定方案，相关部门抽查课堂评定实施过程情况。</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3.学期末，二级学院评出课堂评定结果，并在本二级学院公示。在次学期第1周，二级学院将课堂评定结果上报教务与实训管理处。</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（二）教务与实训管理处复核二级学院的课堂评定结果，在学校公示发文。</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三）二级学院根据课堂评定情况进行教学经验推广和整改。评为不合格课的教师，暂停授课资格，进行课堂教学质量整改（见附件5），并定期检查改进情况。整改期满，由学校有关部门根据整改情况审定是否恢复教学岗位或转岗应聘其他岗位。</w:t>
      </w:r>
    </w:p>
    <w:p>
      <w:pPr>
        <w:pageBreakBefore w:val="0"/>
        <w:kinsoku/>
        <w:wordWrap/>
        <w:overflowPunct/>
        <w:topLinePunct w:val="0"/>
        <w:bidi w:val="0"/>
        <w:spacing w:line="596" w:lineRule="exact"/>
        <w:jc w:val="center"/>
        <w:outlineLvl w:val="9"/>
        <w:rPr>
          <w:rFonts w:ascii="仿宋" w:hAnsi="仿宋" w:eastAsia="仿宋" w:cs="仿宋_GB2312"/>
          <w:kern w:val="0"/>
          <w:sz w:val="32"/>
          <w:szCs w:val="32"/>
        </w:rPr>
      </w:pPr>
      <w:r>
        <w:rPr>
          <w:rFonts w:hint="eastAsia" w:ascii="黑体" w:hAnsi="黑体" w:eastAsia="黑体"/>
          <w:b/>
          <w:sz w:val="32"/>
          <w:szCs w:val="32"/>
        </w:rPr>
        <w:t>第六章   评定等级比例及奖励</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第十八条</w:t>
      </w:r>
      <w:r>
        <w:rPr>
          <w:rFonts w:hint="eastAsia" w:ascii="仿宋_GB2312" w:eastAsia="仿宋_GB2312"/>
          <w:sz w:val="32"/>
          <w:szCs w:val="32"/>
        </w:rPr>
        <w:t xml:space="preserve"> 课堂等级的评定比例</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精品课、优质课的评定比例计算及限额：</w:t>
      </w:r>
    </w:p>
    <w:p>
      <w:pPr>
        <w:pageBreakBefore w:val="0"/>
        <w:kinsoku/>
        <w:wordWrap/>
        <w:overflowPunct/>
        <w:topLinePunct w:val="0"/>
        <w:bidi w:val="0"/>
        <w:spacing w:line="596" w:lineRule="exact"/>
        <w:ind w:firstLine="640" w:firstLineChars="200"/>
        <w:outlineLvl w:val="9"/>
        <w:rPr>
          <w:rFonts w:hint="eastAsia"/>
        </w:rPr>
      </w:pPr>
      <w:r>
        <w:rPr>
          <w:rFonts w:hint="eastAsia" w:ascii="仿宋_GB2312" w:eastAsia="仿宋_GB2312"/>
          <w:sz w:val="32"/>
          <w:szCs w:val="32"/>
        </w:rPr>
        <w:t>二级学院精品课、优质课的比例根据该学院在上年度“二级学院教学工作评估” 结果确定，不同等级对应的精品课、优质课具体比例如下：</w:t>
      </w:r>
    </w:p>
    <w:p>
      <w:pPr>
        <w:pageBreakBefore w:val="0"/>
        <w:widowControl/>
        <w:kinsoku/>
        <w:wordWrap/>
        <w:overflowPunct/>
        <w:topLinePunct w:val="0"/>
        <w:bidi w:val="0"/>
        <w:spacing w:line="240" w:lineRule="auto"/>
        <w:ind w:left="560"/>
        <w:jc w:val="center"/>
        <w:textAlignment w:val="center"/>
        <w:outlineLvl w:val="9"/>
        <w:rPr>
          <w:rFonts w:hint="eastAsia" w:ascii="仿宋_GB2312" w:hAnsi="宋体" w:eastAsia="仿宋_GB2312" w:cs="宋体"/>
          <w:color w:val="000000"/>
          <w:kern w:val="0"/>
          <w:sz w:val="32"/>
          <w:szCs w:val="44"/>
          <w:lang w:bidi="ar"/>
        </w:rPr>
      </w:pPr>
    </w:p>
    <w:p>
      <w:pPr>
        <w:pageBreakBefore w:val="0"/>
        <w:kinsoku/>
        <w:wordWrap/>
        <w:overflowPunct/>
        <w:topLinePunct w:val="0"/>
        <w:bidi w:val="0"/>
        <w:outlineLvl w:val="9"/>
      </w:pPr>
    </w:p>
    <w:p>
      <w:pPr>
        <w:pageBreakBefore w:val="0"/>
        <w:kinsoku/>
        <w:wordWrap/>
        <w:overflowPunct/>
        <w:topLinePunct w:val="0"/>
        <w:bidi w:val="0"/>
        <w:spacing w:line="596"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注：精品课、优质课的评定比例为：评定精品课或优质课的数量与二级学院本学期参与课堂评定学生班级课程总数之比。</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lang w:eastAsia="zh-Hans"/>
        </w:rPr>
        <w:t>第</w:t>
      </w:r>
      <w:r>
        <w:rPr>
          <w:rFonts w:hint="eastAsia" w:ascii="仿宋_GB2312" w:eastAsia="仿宋_GB2312"/>
          <w:b/>
          <w:bCs/>
          <w:sz w:val="32"/>
          <w:szCs w:val="32"/>
        </w:rPr>
        <w:t>十九</w:t>
      </w:r>
      <w:r>
        <w:rPr>
          <w:rFonts w:hint="eastAsia" w:ascii="仿宋_GB2312" w:eastAsia="仿宋_GB2312"/>
          <w:b/>
          <w:bCs/>
          <w:sz w:val="32"/>
          <w:szCs w:val="32"/>
          <w:lang w:eastAsia="zh-Hans"/>
        </w:rPr>
        <w:t>条</w:t>
      </w:r>
      <w:r>
        <w:rPr>
          <w:rFonts w:hint="eastAsia" w:ascii="仿宋_GB2312" w:eastAsia="仿宋_GB2312"/>
          <w:sz w:val="32"/>
          <w:szCs w:val="32"/>
        </w:rPr>
        <w:t xml:space="preserve"> 教师课酬按相应课程等级课酬系数计算：精品课为1.5，优质课为1.2，合格课为1.0，不合格课为0.5。</w:t>
      </w:r>
    </w:p>
    <w:p>
      <w:pPr>
        <w:pageBreakBefore w:val="0"/>
        <w:kinsoku/>
        <w:wordWrap/>
        <w:overflowPunct/>
        <w:topLinePunct w:val="0"/>
        <w:bidi w:val="0"/>
        <w:spacing w:line="596" w:lineRule="exact"/>
        <w:jc w:val="center"/>
        <w:outlineLvl w:val="9"/>
        <w:rPr>
          <w:rFonts w:ascii="仿宋" w:hAnsi="仿宋" w:eastAsia="仿宋"/>
          <w:sz w:val="32"/>
          <w:szCs w:val="32"/>
        </w:rPr>
      </w:pPr>
      <w:r>
        <w:rPr>
          <w:rFonts w:hint="eastAsia" w:ascii="黑体" w:hAnsi="黑体" w:eastAsia="黑体"/>
          <w:b/>
          <w:sz w:val="32"/>
          <w:szCs w:val="32"/>
        </w:rPr>
        <w:t>第七章  附 则</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b/>
          <w:bCs/>
          <w:sz w:val="32"/>
          <w:szCs w:val="32"/>
        </w:rPr>
        <w:t>第二十条</w:t>
      </w:r>
      <w:r>
        <w:rPr>
          <w:rFonts w:hint="eastAsia" w:ascii="仿宋_GB2312" w:eastAsia="仿宋_GB2312"/>
          <w:sz w:val="32"/>
          <w:szCs w:val="32"/>
        </w:rPr>
        <w:t xml:space="preserve"> 本管理办法自公布之日起实施，取消原课程思政示范课、校级精品在线课、学徒制课程、国际合作项目课程等的课酬上浮奖励，原与本办法不相符的其它规定同时废止，以本管理办法规定为准。</w:t>
      </w:r>
    </w:p>
    <w:p>
      <w:pPr>
        <w:pageBreakBefore w:val="0"/>
        <w:kinsoku/>
        <w:wordWrap/>
        <w:overflowPunct/>
        <w:topLinePunct w:val="0"/>
        <w:bidi w:val="0"/>
        <w:spacing w:line="596" w:lineRule="exact"/>
        <w:outlineLvl w:val="9"/>
        <w:rPr>
          <w:rFonts w:ascii="黑体" w:eastAsia="黑体"/>
          <w:bCs/>
          <w:sz w:val="32"/>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附件：1.柳州职业技术学院教师教学文件评价标准</w:t>
      </w:r>
    </w:p>
    <w:p>
      <w:pPr>
        <w:pageBreakBefore w:val="0"/>
        <w:kinsoku/>
        <w:wordWrap/>
        <w:overflowPunct/>
        <w:topLinePunct w:val="0"/>
        <w:bidi w:val="0"/>
        <w:spacing w:line="596" w:lineRule="exact"/>
        <w:ind w:left="1519" w:leftChars="571" w:hanging="320" w:hangingChars="100"/>
        <w:outlineLvl w:val="9"/>
        <w:rPr>
          <w:rFonts w:hint="eastAsia" w:ascii="仿宋_GB2312" w:eastAsia="仿宋_GB2312"/>
          <w:sz w:val="32"/>
          <w:szCs w:val="32"/>
        </w:rPr>
      </w:pPr>
      <w:r>
        <w:rPr>
          <w:rFonts w:hint="eastAsia" w:ascii="仿宋_GB2312" w:eastAsia="仿宋_GB2312"/>
          <w:sz w:val="32"/>
          <w:szCs w:val="32"/>
        </w:rPr>
        <w:t>2.柳州职业技术学院课堂教学质量评价标准（教师同行评价用表）</w:t>
      </w:r>
    </w:p>
    <w:p>
      <w:pPr>
        <w:pageBreakBefore w:val="0"/>
        <w:kinsoku/>
        <w:wordWrap/>
        <w:overflowPunct/>
        <w:topLinePunct w:val="0"/>
        <w:bidi w:val="0"/>
        <w:spacing w:line="596" w:lineRule="exact"/>
        <w:ind w:left="1519" w:leftChars="571" w:hanging="320" w:hangingChars="100"/>
        <w:outlineLvl w:val="9"/>
        <w:rPr>
          <w:rFonts w:hint="eastAsia" w:ascii="仿宋_GB2312" w:eastAsia="仿宋_GB2312"/>
          <w:sz w:val="32"/>
          <w:szCs w:val="32"/>
        </w:rPr>
      </w:pPr>
      <w:r>
        <w:rPr>
          <w:rFonts w:hint="eastAsia" w:ascii="仿宋_GB2312" w:eastAsia="仿宋_GB2312"/>
          <w:sz w:val="32"/>
          <w:szCs w:val="32"/>
        </w:rPr>
        <w:t>3.柳州职业技术学院课堂教学质量评价标准（学生评价用表）</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 xml:space="preserve">      4.柳州职业技术学院网络课程及互动评价标准</w:t>
      </w:r>
    </w:p>
    <w:p>
      <w:pPr>
        <w:pageBreakBefore w:val="0"/>
        <w:kinsoku/>
        <w:wordWrap/>
        <w:overflowPunct/>
        <w:topLinePunct w:val="0"/>
        <w:bidi w:val="0"/>
        <w:spacing w:line="596" w:lineRule="exact"/>
        <w:ind w:firstLine="1600" w:firstLineChars="500"/>
        <w:outlineLvl w:val="9"/>
        <w:rPr>
          <w:rFonts w:hint="eastAsia" w:ascii="仿宋_GB2312" w:eastAsia="仿宋_GB2312"/>
          <w:sz w:val="32"/>
          <w:szCs w:val="32"/>
        </w:rPr>
      </w:pPr>
      <w:r>
        <w:rPr>
          <w:rFonts w:hint="eastAsia" w:ascii="仿宋_GB2312" w:eastAsia="仿宋_GB2312"/>
          <w:sz w:val="32"/>
          <w:szCs w:val="32"/>
        </w:rPr>
        <w:t>5.柳州职业技术学院课堂教学质量整改表</w:t>
      </w:r>
    </w:p>
    <w:p>
      <w:pPr>
        <w:pageBreakBefore w:val="0"/>
        <w:kinsoku/>
        <w:wordWrap/>
        <w:overflowPunct/>
        <w:topLinePunct w:val="0"/>
        <w:bidi w:val="0"/>
        <w:outlineLvl w:val="9"/>
        <w:rPr>
          <w:rFonts w:ascii="仿宋_GB2312" w:hAnsi="宋体" w:eastAsia="仿宋_GB2312" w:cs="宋体"/>
          <w:color w:val="000000"/>
          <w:kern w:val="0"/>
          <w:sz w:val="24"/>
          <w:szCs w:val="20"/>
        </w:rPr>
      </w:pPr>
      <w:r>
        <w:rPr>
          <w:rFonts w:hint="eastAsia" w:ascii="黑体" w:eastAsia="黑体"/>
          <w:sz w:val="32"/>
          <w:szCs w:val="32"/>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hint="eastAsia" w:ascii="Times New Roman" w:hAnsi="Times New Roman" w:cs="Times New Roman"/>
          <w:b/>
          <w:color w:val="000000"/>
          <w:sz w:val="36"/>
          <w:szCs w:val="36"/>
          <w:lang w:val="en-US" w:eastAsia="zh-CN"/>
        </w:rPr>
      </w:pPr>
      <w:bookmarkStart w:id="425" w:name="_Toc15904"/>
      <w:bookmarkStart w:id="426" w:name="_Toc8221"/>
      <w:bookmarkStart w:id="427" w:name="_Toc28627"/>
      <w:bookmarkStart w:id="428" w:name="_Toc17889"/>
      <w:r>
        <w:rPr>
          <w:rFonts w:hint="eastAsia" w:ascii="Times New Roman" w:hAnsi="Times New Roman" w:cs="Times New Roman"/>
          <w:b/>
          <w:color w:val="000000"/>
          <w:sz w:val="36"/>
          <w:szCs w:val="36"/>
          <w:lang w:val="en-US" w:eastAsia="zh-CN"/>
        </w:rPr>
        <w:t>柳州螺蛳粉产业学院辅修班2021年人才培养方案制订指导性意见</w:t>
      </w:r>
      <w:bookmarkEnd w:id="425"/>
      <w:bookmarkEnd w:id="426"/>
      <w:bookmarkEnd w:id="427"/>
      <w:bookmarkEnd w:id="428"/>
    </w:p>
    <w:p>
      <w:pPr>
        <w:pageBreakBefore w:val="0"/>
        <w:widowControl/>
        <w:kinsoku/>
        <w:wordWrap/>
        <w:overflowPunct/>
        <w:topLinePunct w:val="0"/>
        <w:bidi w:val="0"/>
        <w:jc w:val="center"/>
        <w:outlineLvl w:val="9"/>
        <w:rPr>
          <w:rFonts w:hint="eastAsia" w:ascii="仿宋_GB2312" w:eastAsia="仿宋_GB2312"/>
          <w:sz w:val="32"/>
          <w:szCs w:val="32"/>
        </w:rPr>
      </w:pPr>
      <w:r>
        <w:rPr>
          <w:rFonts w:hint="eastAsia" w:ascii="仿宋_GB2312" w:eastAsia="仿宋_GB2312"/>
          <w:bCs/>
          <w:sz w:val="32"/>
          <w:szCs w:val="32"/>
        </w:rPr>
        <w:t xml:space="preserve"> (</w:t>
      </w:r>
      <w:r>
        <w:rPr>
          <w:rFonts w:hint="eastAsia" w:ascii="仿宋_GB2312" w:eastAsia="仿宋_GB2312"/>
          <w:sz w:val="32"/>
          <w:szCs w:val="32"/>
        </w:rPr>
        <w:t>柳职院教字〔2021〕3</w:t>
      </w:r>
      <w:r>
        <w:rPr>
          <w:rFonts w:hint="eastAsia" w:ascii="仿宋_GB2312" w:eastAsia="仿宋_GB2312"/>
          <w:sz w:val="32"/>
          <w:szCs w:val="32"/>
          <w:lang w:val="en-US" w:eastAsia="zh-CN"/>
        </w:rPr>
        <w:t>8</w:t>
      </w:r>
      <w:r>
        <w:rPr>
          <w:rFonts w:hint="eastAsia" w:ascii="仿宋_GB2312" w:eastAsia="仿宋_GB2312"/>
          <w:sz w:val="32"/>
          <w:szCs w:val="32"/>
        </w:rPr>
        <w:t>号)</w:t>
      </w:r>
    </w:p>
    <w:p>
      <w:pPr>
        <w:keepNext w:val="0"/>
        <w:keepLines w:val="0"/>
        <w:pageBreakBefore w:val="0"/>
        <w:widowControl/>
        <w:kinsoku/>
        <w:wordWrap/>
        <w:overflowPunct/>
        <w:topLinePunct w:val="0"/>
        <w:autoSpaceDE/>
        <w:autoSpaceDN/>
        <w:bidi w:val="0"/>
        <w:snapToGrid w:val="0"/>
        <w:spacing w:line="596" w:lineRule="atLeast"/>
        <w:ind w:firstLine="640" w:firstLineChars="200"/>
        <w:jc w:val="left"/>
        <w:textAlignment w:val="auto"/>
        <w:outlineLvl w:val="9"/>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为支持柳州螺蛳粉产业快速、健康发展，提供技术技能人才支撑，</w:t>
      </w:r>
      <w:r>
        <w:rPr>
          <w:rFonts w:hint="eastAsia" w:ascii="仿宋_GB2312" w:hAnsi="仿宋_GB2312" w:eastAsia="仿宋_GB2312" w:cs="仿宋_GB2312"/>
          <w:color w:val="auto"/>
          <w:kern w:val="0"/>
          <w:sz w:val="32"/>
          <w:szCs w:val="32"/>
          <w:highlight w:val="none"/>
        </w:rPr>
        <w:t>学校决定开设柳州螺蛳粉产业学院辅修班</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以下简称“辅修班”</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，为了保证辅修班人才培养的质量，现对辅修班人才培养方案的制订提出以下指导性意见。</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一、指导思想</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全面贯彻党的十九大精神和教育方针，</w:t>
      </w:r>
      <w:r>
        <w:rPr>
          <w:rFonts w:hint="eastAsia" w:ascii="仿宋_GB2312" w:hAnsi="仿宋_GB2312" w:eastAsia="仿宋_GB2312" w:cs="仿宋_GB2312"/>
          <w:color w:val="auto"/>
          <w:kern w:val="0"/>
          <w:sz w:val="32"/>
          <w:szCs w:val="32"/>
          <w:highlight w:val="none"/>
        </w:rPr>
        <w:t>坚持教育创新，与时俱进。</w:t>
      </w:r>
      <w:r>
        <w:rPr>
          <w:rFonts w:hint="eastAsia" w:ascii="仿宋_GB2312" w:hAnsi="仿宋_GB2312" w:eastAsia="仿宋_GB2312" w:cs="仿宋_GB2312"/>
          <w:color w:val="auto"/>
          <w:sz w:val="32"/>
          <w:szCs w:val="32"/>
          <w:highlight w:val="none"/>
        </w:rPr>
        <w:t>遵循高职教育教学的客观规律，</w:t>
      </w:r>
      <w:r>
        <w:rPr>
          <w:rFonts w:hint="eastAsia" w:ascii="仿宋_GB2312" w:hAnsi="仿宋_GB2312" w:eastAsia="仿宋_GB2312" w:cs="仿宋_GB2312"/>
          <w:color w:val="auto"/>
          <w:kern w:val="0"/>
          <w:sz w:val="32"/>
          <w:szCs w:val="32"/>
          <w:highlight w:val="none"/>
        </w:rPr>
        <w:t>以社会对人才的需求为导向，</w:t>
      </w:r>
      <w:r>
        <w:rPr>
          <w:rFonts w:hint="eastAsia" w:ascii="仿宋_GB2312" w:hAnsi="仿宋_GB2312" w:eastAsia="仿宋_GB2312" w:cs="仿宋_GB2312"/>
          <w:color w:val="auto"/>
          <w:sz w:val="32"/>
          <w:szCs w:val="32"/>
          <w:highlight w:val="none"/>
        </w:rPr>
        <w:t>以服务地方为宗旨，</w:t>
      </w:r>
      <w:r>
        <w:rPr>
          <w:rFonts w:hint="eastAsia" w:ascii="仿宋_GB2312" w:hAnsi="仿宋_GB2312" w:eastAsia="仿宋_GB2312" w:cs="仿宋_GB2312"/>
          <w:color w:val="auto"/>
          <w:kern w:val="0"/>
          <w:sz w:val="32"/>
          <w:szCs w:val="32"/>
          <w:highlight w:val="none"/>
        </w:rPr>
        <w:t>立足柳州螺蛳粉产业，</w:t>
      </w:r>
      <w:r>
        <w:rPr>
          <w:rFonts w:hint="eastAsia" w:ascii="仿宋_GB2312" w:hAnsi="仿宋_GB2312" w:eastAsia="仿宋_GB2312" w:cs="仿宋_GB2312"/>
          <w:color w:val="auto"/>
          <w:sz w:val="32"/>
          <w:szCs w:val="32"/>
          <w:highlight w:val="none"/>
        </w:rPr>
        <w:t>推进产教融合，育训结合，大力开展“分类培养、分层教学”改革，培养有理想信念、工匠精神、高超技艺的“素养·管理·创新”国际化复合型技术技能人才</w:t>
      </w:r>
      <w:r>
        <w:rPr>
          <w:rFonts w:hint="eastAsia" w:ascii="仿宋_GB2312" w:hAnsi="仿宋_GB2312" w:eastAsia="仿宋_GB2312" w:cs="仿宋_GB2312"/>
          <w:color w:val="auto"/>
          <w:kern w:val="0"/>
          <w:sz w:val="32"/>
          <w:szCs w:val="32"/>
          <w:highlight w:val="none"/>
        </w:rPr>
        <w:t>，支撑柳州螺蛳粉产业健康发展，</w:t>
      </w:r>
      <w:r>
        <w:rPr>
          <w:rFonts w:hint="eastAsia" w:ascii="仿宋_GB2312" w:hAnsi="仿宋_GB2312" w:eastAsia="仿宋_GB2312" w:cs="仿宋_GB2312"/>
          <w:color w:val="auto"/>
          <w:sz w:val="32"/>
          <w:szCs w:val="32"/>
          <w:highlight w:val="none"/>
        </w:rPr>
        <w:t>引领柳州螺蛳粉产业转型升级。</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二、基本原则</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（一）坚持立德树人，德技双修</w:t>
      </w:r>
    </w:p>
    <w:p>
      <w:pPr>
        <w:keepNext w:val="0"/>
        <w:keepLines w:val="0"/>
        <w:pageBreakBefore w:val="0"/>
        <w:widowControl/>
        <w:tabs>
          <w:tab w:val="left" w:pos="6831"/>
        </w:tabs>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color w:val="auto"/>
          <w:sz w:val="32"/>
          <w:szCs w:val="32"/>
          <w:highlight w:val="none"/>
        </w:rPr>
        <w:t>以立德树人为根本，遵循职业教育规律和学生身心发展规律，根据学校人才培养的总体目标和要求，结合辅修方向自身特点，因地制宜地制订人才培养方案。将思想政治教育、劳动教育、职业道德和工匠精神培育融入教育教学全过程，注重对学生专业核心能力、实践动手能力、创新创业能力和基本素养的培养。</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（二）坚持需求导向，引领柳州螺蛳粉产业健康发展</w:t>
      </w:r>
    </w:p>
    <w:p>
      <w:pPr>
        <w:keepNext w:val="0"/>
        <w:keepLines w:val="0"/>
        <w:pageBreakBefore w:val="0"/>
        <w:widowControl/>
        <w:tabs>
          <w:tab w:val="left" w:pos="6831"/>
        </w:tabs>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针对柳州螺蛳粉产业的需求，聚焦柳州螺蛳粉产业品牌建设、产品创新能力、生产自动化、食品安全、国际化发展等方面的问题，有针对性地设计教学项目，完善教学标准，创新人才培养模式，提高人才培养质量，引领柳州螺蛳粉产业的持续健康发展。</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（三）坚持产教融合、校企合作</w:t>
      </w:r>
    </w:p>
    <w:p>
      <w:pPr>
        <w:keepNext w:val="0"/>
        <w:keepLines w:val="0"/>
        <w:pageBreakBefore w:val="0"/>
        <w:widowControl/>
        <w:tabs>
          <w:tab w:val="left" w:pos="6831"/>
        </w:tabs>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创新“政行企校”合作模式和机制，依托柳州螺蛳粉产业学院和</w:t>
      </w:r>
      <w:r>
        <w:rPr>
          <w:rFonts w:hint="eastAsia" w:ascii="仿宋_GB2312" w:hAnsi="仿宋_GB2312" w:eastAsia="仿宋_GB2312" w:cs="仿宋_GB2312"/>
          <w:color w:val="auto"/>
          <w:sz w:val="32"/>
          <w:szCs w:val="32"/>
          <w:highlight w:val="none"/>
          <w:lang w:val="en-US" w:eastAsia="zh-CN"/>
        </w:rPr>
        <w:t>柳州</w:t>
      </w:r>
      <w:r>
        <w:rPr>
          <w:rFonts w:hint="eastAsia" w:ascii="仿宋_GB2312" w:hAnsi="仿宋_GB2312" w:eastAsia="仿宋_GB2312" w:cs="仿宋_GB2312"/>
          <w:color w:val="auto"/>
          <w:sz w:val="32"/>
          <w:szCs w:val="32"/>
          <w:highlight w:val="none"/>
        </w:rPr>
        <w:t>螺蛳粉企业，校企共同制定人才培养方案和专业教学标准，开发岗位能力标准、课程和教学项目、评价体系，建设</w:t>
      </w:r>
      <w:r>
        <w:rPr>
          <w:rFonts w:hint="eastAsia" w:ascii="仿宋_GB2312" w:hAnsi="仿宋_GB2312" w:eastAsia="仿宋_GB2312" w:cs="仿宋_GB2312"/>
          <w:color w:val="auto"/>
          <w:sz w:val="32"/>
          <w:szCs w:val="32"/>
          <w:highlight w:val="none"/>
          <w:lang w:val="en-US" w:eastAsia="zh-CN"/>
        </w:rPr>
        <w:t>柳州</w:t>
      </w:r>
      <w:r>
        <w:rPr>
          <w:rFonts w:hint="eastAsia" w:ascii="仿宋_GB2312" w:hAnsi="仿宋_GB2312" w:eastAsia="仿宋_GB2312" w:cs="仿宋_GB2312"/>
          <w:color w:val="auto"/>
          <w:sz w:val="32"/>
          <w:szCs w:val="32"/>
          <w:highlight w:val="none"/>
        </w:rPr>
        <w:t>螺蛳粉实训基地。</w:t>
      </w:r>
      <w:r>
        <w:rPr>
          <w:rFonts w:hint="eastAsia" w:ascii="仿宋_GB2312" w:hAnsi="仿宋_GB2312" w:eastAsia="仿宋_GB2312" w:cs="仿宋_GB2312"/>
          <w:color w:val="auto"/>
          <w:kern w:val="0"/>
          <w:sz w:val="32"/>
          <w:szCs w:val="32"/>
          <w:highlight w:val="none"/>
        </w:rPr>
        <w:t>将</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螺蛳粉产业的真实项目高度融合教学课程，课程内容的学习以企业项目为驱动，贯穿于教学活动的每一个环节，实现课程内容与职业标准对接，教学过程与生产过程对接。</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（四）坚持跨界合作、科学设课</w:t>
      </w:r>
    </w:p>
    <w:p>
      <w:pPr>
        <w:keepNext w:val="0"/>
        <w:keepLines w:val="0"/>
        <w:pageBreakBefore w:val="0"/>
        <w:widowControl/>
        <w:tabs>
          <w:tab w:val="left" w:pos="6831"/>
        </w:tabs>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以产业需求为导向，密切对接柳州螺蛳粉产业，以产业链为逻辑进行跨专业、跨领域合作，协同培养人才。根据柳州螺蛳粉产业的需求和面向的岗位，充分调研</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rPr>
        <w:t>严格论证，科学开设课程，完善辅修班人才培养方案。采用线上线下相结合的方式，灵活开展教学，切实保证教学质量。</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三、辅修范围</w:t>
      </w:r>
    </w:p>
    <w:p>
      <w:pPr>
        <w:keepNext w:val="0"/>
        <w:keepLines w:val="0"/>
        <w:pageBreakBefore w:val="0"/>
        <w:kinsoku/>
        <w:wordWrap/>
        <w:overflowPunct/>
        <w:topLinePunct w:val="0"/>
        <w:autoSpaceDE/>
        <w:autoSpaceDN/>
        <w:bidi w:val="0"/>
        <w:adjustRightInd w:val="0"/>
        <w:snapToGrid w:val="0"/>
        <w:spacing w:line="580" w:lineRule="exact"/>
        <w:ind w:firstLine="645"/>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开设七个方向的辅修班：</w:t>
      </w:r>
      <w:r>
        <w:rPr>
          <w:rFonts w:hint="eastAsia" w:ascii="仿宋_GB2312" w:hAnsi="仿宋_GB2312" w:eastAsia="仿宋_GB2312" w:cs="仿宋_GB2312"/>
          <w:color w:val="auto"/>
          <w:kern w:val="0"/>
          <w:sz w:val="32"/>
          <w:szCs w:val="32"/>
          <w:highlight w:val="none"/>
          <w:lang w:eastAsia="zh-CN"/>
        </w:rPr>
        <w:t>绿色食品生产技术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食品检验检测技术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机电设备技术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广告艺术设计</w:t>
      </w:r>
      <w:r>
        <w:rPr>
          <w:rFonts w:hint="eastAsia" w:ascii="仿宋_GB2312" w:hAnsi="仿宋_GB2312" w:eastAsia="仿宋_GB2312" w:cs="仿宋_GB2312"/>
          <w:color w:val="auto"/>
          <w:kern w:val="0"/>
          <w:sz w:val="32"/>
          <w:szCs w:val="32"/>
          <w:highlight w:val="none"/>
        </w:rPr>
        <w:t>（螺蛳粉方向）、市场营销（螺蛳粉方向）、连锁经营与管理（螺蛳粉方向）、电子商务（螺蛳粉方向）。</w:t>
      </w:r>
    </w:p>
    <w:p>
      <w:pPr>
        <w:keepNext w:val="0"/>
        <w:keepLines w:val="0"/>
        <w:pageBreakBefore w:val="0"/>
        <w:widowControl/>
        <w:kinsoku/>
        <w:wordWrap/>
        <w:overflowPunct/>
        <w:topLinePunct w:val="0"/>
        <w:autoSpaceDE/>
        <w:autoSpaceDN/>
        <w:bidi w:val="0"/>
        <w:snapToGrid w:val="0"/>
        <w:spacing w:line="580" w:lineRule="exact"/>
        <w:ind w:firstLine="640" w:firstLineChars="200"/>
        <w:jc w:val="left"/>
        <w:textAlignment w:val="auto"/>
        <w:outlineLvl w:val="9"/>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四、学分（学时）及课程安排</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b/>
          <w:bCs/>
          <w:color w:val="auto"/>
          <w:kern w:val="0"/>
          <w:sz w:val="32"/>
          <w:szCs w:val="32"/>
          <w:highlight w:val="none"/>
        </w:rPr>
        <w:t>（一）学分：</w:t>
      </w:r>
      <w:r>
        <w:rPr>
          <w:rFonts w:hint="eastAsia" w:ascii="仿宋_GB2312" w:hAnsi="仿宋_GB2312" w:eastAsia="仿宋_GB2312" w:cs="仿宋_GB2312"/>
          <w:color w:val="auto"/>
          <w:kern w:val="0"/>
          <w:sz w:val="32"/>
          <w:szCs w:val="32"/>
          <w:highlight w:val="none"/>
        </w:rPr>
        <w:t>辅修班总学分24学分（其中通识课程5学分，专业特色课程15学分，综合实践环节4学分）。</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b/>
          <w:bCs/>
          <w:color w:val="auto"/>
          <w:kern w:val="0"/>
          <w:sz w:val="32"/>
          <w:szCs w:val="32"/>
          <w:highlight w:val="none"/>
        </w:rPr>
        <w:t>（二）学分学时计算：</w:t>
      </w:r>
      <w:r>
        <w:rPr>
          <w:rFonts w:hint="eastAsia" w:ascii="仿宋_GB2312" w:hAnsi="仿宋_GB2312" w:eastAsia="仿宋_GB2312" w:cs="仿宋_GB2312"/>
          <w:color w:val="auto"/>
          <w:kern w:val="0"/>
          <w:sz w:val="32"/>
          <w:szCs w:val="32"/>
          <w:highlight w:val="none"/>
        </w:rPr>
        <w:t>辅修班每1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学时计1学分，</w:t>
      </w:r>
      <w:r>
        <w:rPr>
          <w:rFonts w:hint="eastAsia" w:ascii="仿宋_GB2312" w:hAnsi="仿宋_GB2312" w:eastAsia="仿宋_GB2312" w:cs="仿宋_GB2312"/>
          <w:color w:val="auto"/>
          <w:kern w:val="0"/>
          <w:sz w:val="32"/>
          <w:szCs w:val="32"/>
          <w:highlight w:val="none"/>
          <w:lang w:val="en-US" w:eastAsia="zh-CN"/>
        </w:rPr>
        <w:t>每3个讲座计1学分，</w:t>
      </w:r>
      <w:r>
        <w:rPr>
          <w:rFonts w:hint="eastAsia" w:ascii="仿宋_GB2312" w:hAnsi="仿宋_GB2312" w:eastAsia="仿宋_GB2312" w:cs="仿宋_GB2312"/>
          <w:color w:val="auto"/>
          <w:kern w:val="0"/>
          <w:sz w:val="32"/>
          <w:szCs w:val="32"/>
          <w:highlight w:val="none"/>
        </w:rPr>
        <w:t>每</w:t>
      </w:r>
      <w:r>
        <w:rPr>
          <w:rFonts w:hint="eastAsia" w:ascii="仿宋_GB2312" w:hAnsi="仿宋_GB2312" w:eastAsia="仿宋_GB2312" w:cs="仿宋_GB2312"/>
          <w:color w:val="auto"/>
          <w:kern w:val="0"/>
          <w:sz w:val="32"/>
          <w:szCs w:val="32"/>
          <w:highlight w:val="none"/>
          <w:lang w:val="en-US" w:eastAsia="zh-CN"/>
        </w:rPr>
        <w:t>10小时</w:t>
      </w:r>
      <w:r>
        <w:rPr>
          <w:rFonts w:hint="eastAsia" w:ascii="仿宋_GB2312" w:hAnsi="仿宋_GB2312" w:eastAsia="仿宋_GB2312" w:cs="仿宋_GB2312"/>
          <w:color w:val="auto"/>
          <w:kern w:val="0"/>
          <w:sz w:val="32"/>
          <w:szCs w:val="32"/>
          <w:highlight w:val="none"/>
        </w:rPr>
        <w:t>实践</w:t>
      </w:r>
      <w:r>
        <w:rPr>
          <w:rFonts w:hint="eastAsia" w:ascii="仿宋_GB2312" w:hAnsi="仿宋_GB2312" w:eastAsia="仿宋_GB2312" w:cs="仿宋_GB2312"/>
          <w:color w:val="auto"/>
          <w:kern w:val="0"/>
          <w:sz w:val="32"/>
          <w:szCs w:val="32"/>
          <w:highlight w:val="none"/>
          <w:lang w:val="en-US" w:eastAsia="zh-CN"/>
        </w:rPr>
        <w:t>活动</w:t>
      </w:r>
      <w:r>
        <w:rPr>
          <w:rFonts w:hint="eastAsia" w:ascii="仿宋_GB2312" w:hAnsi="仿宋_GB2312" w:eastAsia="仿宋_GB2312" w:cs="仿宋_GB2312"/>
          <w:color w:val="auto"/>
          <w:kern w:val="0"/>
          <w:sz w:val="32"/>
          <w:szCs w:val="32"/>
          <w:highlight w:val="none"/>
        </w:rPr>
        <w:t>计1学分。</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b/>
          <w:bCs/>
          <w:color w:val="auto"/>
          <w:kern w:val="0"/>
          <w:sz w:val="32"/>
          <w:szCs w:val="32"/>
          <w:highlight w:val="none"/>
        </w:rPr>
        <w:t>（三）课程基本框架：</w:t>
      </w:r>
      <w:r>
        <w:rPr>
          <w:rFonts w:hint="eastAsia" w:ascii="仿宋_GB2312" w:hAnsi="仿宋_GB2312" w:eastAsia="仿宋_GB2312" w:cs="仿宋_GB2312"/>
          <w:color w:val="auto"/>
          <w:kern w:val="0"/>
          <w:sz w:val="32"/>
          <w:szCs w:val="32"/>
          <w:highlight w:val="none"/>
        </w:rPr>
        <w:t>辅修班人才培养方案中所开设的课程必须能够系统地反映本方向面向柳州螺蛳粉产业相关岗位能力要求。辅修课程主要由通识课程、专业特色课程和综合实践课程三大模块组成。</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通识课程：包括《柳州螺蛳粉饮食文化》《</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螺蛳粉生产质量控制》《</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螺蛳粉企业现场管理》《</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螺蛳粉专业外语》《</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螺蛳粉营销》</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螺蛳粉相关主题讲座等。</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专业特色课程：由各</w:t>
      </w:r>
      <w:r>
        <w:rPr>
          <w:rFonts w:hint="eastAsia" w:ascii="仿宋_GB2312" w:hAnsi="仿宋_GB2312" w:eastAsia="仿宋_GB2312" w:cs="仿宋_GB2312"/>
          <w:color w:val="auto"/>
          <w:kern w:val="0"/>
          <w:sz w:val="32"/>
          <w:szCs w:val="32"/>
          <w:highlight w:val="none"/>
          <w:lang w:val="en-US" w:eastAsia="zh-CN"/>
        </w:rPr>
        <w:t>专业</w:t>
      </w:r>
      <w:r>
        <w:rPr>
          <w:rFonts w:hint="eastAsia" w:ascii="仿宋_GB2312" w:hAnsi="仿宋_GB2312" w:eastAsia="仿宋_GB2312" w:cs="仿宋_GB2312"/>
          <w:color w:val="auto"/>
          <w:kern w:val="0"/>
          <w:sz w:val="32"/>
          <w:szCs w:val="32"/>
          <w:highlight w:val="none"/>
        </w:rPr>
        <w:t>根据柳州螺蛳粉产业调研的结果确定</w:t>
      </w:r>
      <w:r>
        <w:rPr>
          <w:rFonts w:hint="eastAsia" w:ascii="仿宋_GB2312" w:hAnsi="仿宋_GB2312" w:eastAsia="仿宋_GB2312" w:cs="仿宋_GB2312"/>
          <w:color w:val="auto"/>
          <w:kern w:val="0"/>
          <w:sz w:val="32"/>
          <w:szCs w:val="32"/>
          <w:highlight w:val="none"/>
          <w:lang w:val="en-US" w:eastAsia="zh-CN"/>
        </w:rPr>
        <w:t>，</w:t>
      </w:r>
      <w:r>
        <w:rPr>
          <w:rFonts w:hint="eastAsia" w:ascii="仿宋_GB2312" w:hAnsi="仿宋_GB2312" w:eastAsia="仿宋_GB2312" w:cs="仿宋_GB2312"/>
          <w:color w:val="auto"/>
          <w:kern w:val="0"/>
          <w:sz w:val="32"/>
          <w:szCs w:val="32"/>
          <w:highlight w:val="none"/>
        </w:rPr>
        <w:t>若主修专业修过同质的课程可以申请免修相应课程（由开设辅修班</w:t>
      </w:r>
      <w:r>
        <w:rPr>
          <w:rFonts w:hint="eastAsia" w:ascii="仿宋_GB2312" w:hAnsi="仿宋_GB2312" w:eastAsia="仿宋_GB2312" w:cs="仿宋_GB2312"/>
          <w:color w:val="auto"/>
          <w:kern w:val="0"/>
          <w:sz w:val="32"/>
          <w:szCs w:val="32"/>
          <w:highlight w:val="none"/>
          <w:lang w:val="en-US" w:eastAsia="zh-CN"/>
        </w:rPr>
        <w:t>的</w:t>
      </w:r>
      <w:r>
        <w:rPr>
          <w:rFonts w:hint="eastAsia" w:ascii="仿宋_GB2312" w:hAnsi="仿宋_GB2312" w:eastAsia="仿宋_GB2312" w:cs="仿宋_GB2312"/>
          <w:color w:val="auto"/>
          <w:kern w:val="0"/>
          <w:sz w:val="32"/>
          <w:szCs w:val="32"/>
          <w:highlight w:val="none"/>
        </w:rPr>
        <w:t>二级学院</w:t>
      </w:r>
      <w:r>
        <w:rPr>
          <w:rFonts w:hint="eastAsia" w:ascii="仿宋_GB2312" w:hAnsi="仿宋_GB2312" w:eastAsia="仿宋_GB2312" w:cs="仿宋_GB2312"/>
          <w:color w:val="auto"/>
          <w:kern w:val="0"/>
          <w:sz w:val="32"/>
          <w:szCs w:val="32"/>
          <w:highlight w:val="none"/>
          <w:lang w:val="en-US" w:eastAsia="zh-CN"/>
        </w:rPr>
        <w:t>审定</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专业特色课程总数为5-8门</w:t>
      </w:r>
      <w:r>
        <w:rPr>
          <w:rFonts w:hint="eastAsia" w:ascii="仿宋_GB2312" w:hAnsi="仿宋_GB2312" w:eastAsia="仿宋_GB2312" w:cs="仿宋_GB2312"/>
          <w:color w:val="auto"/>
          <w:kern w:val="0"/>
          <w:sz w:val="32"/>
          <w:szCs w:val="32"/>
          <w:highlight w:val="none"/>
        </w:rPr>
        <w:t>。</w:t>
      </w:r>
    </w:p>
    <w:p>
      <w:pPr>
        <w:keepNext w:val="0"/>
        <w:keepLines w:val="0"/>
        <w:pageBreakBefore w:val="0"/>
        <w:widowControl/>
        <w:kinsoku/>
        <w:wordWrap/>
        <w:overflowPunct/>
        <w:topLinePunct w:val="0"/>
        <w:autoSpaceDE/>
        <w:autoSpaceDN/>
        <w:bidi w:val="0"/>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综合实践课程：包括</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螺蛳粉实践活动、</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螺蛳粉创新创业训练、</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螺蛳粉技能比赛、</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螺蛳粉企业实习等。若获得</w:t>
      </w:r>
      <w:r>
        <w:rPr>
          <w:rFonts w:hint="eastAsia" w:ascii="仿宋_GB2312" w:hAnsi="仿宋_GB2312" w:eastAsia="仿宋_GB2312" w:cs="仿宋_GB2312"/>
          <w:color w:val="auto"/>
          <w:kern w:val="0"/>
          <w:sz w:val="32"/>
          <w:szCs w:val="32"/>
          <w:highlight w:val="none"/>
          <w:lang w:val="en-US" w:eastAsia="zh-CN"/>
        </w:rPr>
        <w:t>柳州</w:t>
      </w:r>
      <w:r>
        <w:rPr>
          <w:rFonts w:hint="eastAsia" w:ascii="仿宋_GB2312" w:hAnsi="仿宋_GB2312" w:eastAsia="仿宋_GB2312" w:cs="仿宋_GB2312"/>
          <w:color w:val="auto"/>
          <w:kern w:val="0"/>
          <w:sz w:val="32"/>
          <w:szCs w:val="32"/>
          <w:highlight w:val="none"/>
        </w:rPr>
        <w:t>螺蛳粉相关的创新创业比赛、技能大赛校级一等奖及以上，可请免修综合实践课程（由</w:t>
      </w:r>
      <w:r>
        <w:rPr>
          <w:rFonts w:hint="eastAsia" w:ascii="仿宋_GB2312" w:hAnsi="仿宋_GB2312" w:eastAsia="仿宋_GB2312" w:cs="仿宋_GB2312"/>
          <w:color w:val="auto"/>
          <w:kern w:val="0"/>
          <w:sz w:val="32"/>
          <w:szCs w:val="32"/>
          <w:highlight w:val="none"/>
          <w:lang w:val="en-US" w:eastAsia="zh-CN"/>
        </w:rPr>
        <w:t>柳州螺蛳粉产业学院审定</w:t>
      </w:r>
      <w:r>
        <w:rPr>
          <w:rFonts w:hint="eastAsia" w:ascii="仿宋_GB2312" w:hAnsi="仿宋_GB2312" w:eastAsia="仿宋_GB2312" w:cs="仿宋_GB2312"/>
          <w:color w:val="auto"/>
          <w:kern w:val="0"/>
          <w:sz w:val="32"/>
          <w:szCs w:val="32"/>
          <w:highlight w:val="none"/>
        </w:rPr>
        <w:t>）。</w:t>
      </w:r>
    </w:p>
    <w:p>
      <w:pPr>
        <w:keepNext w:val="0"/>
        <w:keepLines w:val="0"/>
        <w:pageBreakBefore w:val="0"/>
        <w:widowControl/>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b/>
          <w:bCs/>
          <w:color w:val="auto"/>
          <w:kern w:val="0"/>
          <w:sz w:val="32"/>
          <w:szCs w:val="32"/>
          <w:highlight w:val="none"/>
        </w:rPr>
        <w:t>（四）结业要求：</w:t>
      </w:r>
      <w:r>
        <w:rPr>
          <w:rFonts w:hint="eastAsia" w:ascii="仿宋_GB2312" w:hAnsi="仿宋_GB2312" w:eastAsia="仿宋_GB2312" w:cs="仿宋_GB2312"/>
          <w:color w:val="auto"/>
          <w:kern w:val="0"/>
          <w:sz w:val="32"/>
          <w:szCs w:val="32"/>
          <w:highlight w:val="none"/>
        </w:rPr>
        <w:t>学生获得主修专业毕业证书的同时，修完辅修班教学计划规定的课程</w:t>
      </w:r>
      <w:r>
        <w:rPr>
          <w:rFonts w:hint="eastAsia" w:ascii="仿宋_GB2312" w:hAnsi="仿宋_GB2312" w:eastAsia="仿宋_GB2312" w:cs="仿宋_GB2312"/>
          <w:color w:val="auto"/>
          <w:kern w:val="0"/>
          <w:sz w:val="32"/>
          <w:szCs w:val="32"/>
          <w:highlight w:val="none"/>
          <w:lang w:val="en-US" w:eastAsia="zh-CN"/>
        </w:rPr>
        <w:t>且</w:t>
      </w:r>
      <w:r>
        <w:rPr>
          <w:rFonts w:hint="eastAsia" w:ascii="仿宋_GB2312" w:hAnsi="仿宋_GB2312" w:eastAsia="仿宋_GB2312" w:cs="仿宋_GB2312"/>
          <w:color w:val="auto"/>
          <w:kern w:val="0"/>
          <w:sz w:val="32"/>
          <w:szCs w:val="32"/>
          <w:highlight w:val="none"/>
        </w:rPr>
        <w:t>成绩合格的，获得学校颁发的辅修</w:t>
      </w:r>
      <w:r>
        <w:rPr>
          <w:rFonts w:hint="eastAsia" w:ascii="仿宋_GB2312" w:hAnsi="仿宋_GB2312" w:eastAsia="仿宋_GB2312" w:cs="仿宋_GB2312"/>
          <w:color w:val="auto"/>
          <w:kern w:val="0"/>
          <w:sz w:val="32"/>
          <w:szCs w:val="32"/>
          <w:highlight w:val="none"/>
          <w:lang w:val="en-US" w:eastAsia="zh-CN"/>
        </w:rPr>
        <w:t>班结业</w:t>
      </w:r>
      <w:r>
        <w:rPr>
          <w:rFonts w:hint="eastAsia" w:ascii="仿宋_GB2312" w:hAnsi="仿宋_GB2312" w:eastAsia="仿宋_GB2312" w:cs="仿宋_GB2312"/>
          <w:color w:val="auto"/>
          <w:kern w:val="0"/>
          <w:sz w:val="32"/>
          <w:szCs w:val="32"/>
          <w:highlight w:val="none"/>
        </w:rPr>
        <w:t>证书。未能获得主修专业毕业证书者，不单独颁发辅修</w:t>
      </w:r>
      <w:r>
        <w:rPr>
          <w:rFonts w:hint="eastAsia" w:ascii="仿宋_GB2312" w:hAnsi="仿宋_GB2312" w:eastAsia="仿宋_GB2312" w:cs="仿宋_GB2312"/>
          <w:color w:val="auto"/>
          <w:kern w:val="0"/>
          <w:sz w:val="32"/>
          <w:szCs w:val="32"/>
          <w:highlight w:val="none"/>
          <w:lang w:val="en-US" w:eastAsia="zh-CN"/>
        </w:rPr>
        <w:t>班结业</w:t>
      </w:r>
      <w:r>
        <w:rPr>
          <w:rFonts w:hint="eastAsia" w:ascii="仿宋_GB2312" w:hAnsi="仿宋_GB2312" w:eastAsia="仿宋_GB2312" w:cs="仿宋_GB2312"/>
          <w:color w:val="auto"/>
          <w:kern w:val="0"/>
          <w:sz w:val="32"/>
          <w:szCs w:val="32"/>
          <w:highlight w:val="none"/>
        </w:rPr>
        <w:t>证书。</w:t>
      </w:r>
    </w:p>
    <w:p>
      <w:pPr>
        <w:keepNext w:val="0"/>
        <w:keepLines w:val="0"/>
        <w:pageBreakBefore w:val="0"/>
        <w:widowControl/>
        <w:kinsoku/>
        <w:wordWrap/>
        <w:overflowPunct/>
        <w:topLinePunct w:val="0"/>
        <w:autoSpaceDE/>
        <w:autoSpaceDN/>
        <w:bidi w:val="0"/>
        <w:adjustRightInd/>
        <w:snapToGrid w:val="0"/>
        <w:spacing w:line="580" w:lineRule="exact"/>
        <w:ind w:firstLine="640" w:firstLineChars="200"/>
        <w:jc w:val="left"/>
        <w:textAlignment w:val="auto"/>
        <w:outlineLvl w:val="9"/>
        <w:rPr>
          <w:rFonts w:hint="eastAsia" w:ascii="黑体" w:hAnsi="黑体" w:eastAsia="黑体" w:cs="黑体"/>
          <w:b/>
          <w:color w:val="auto"/>
          <w:kern w:val="0"/>
          <w:sz w:val="32"/>
          <w:szCs w:val="32"/>
          <w:highlight w:val="none"/>
        </w:rPr>
      </w:pPr>
      <w:r>
        <w:rPr>
          <w:rFonts w:hint="eastAsia" w:ascii="黑体" w:hAnsi="黑体" w:eastAsia="黑体" w:cs="黑体"/>
          <w:b/>
          <w:color w:val="auto"/>
          <w:kern w:val="0"/>
          <w:sz w:val="32"/>
          <w:szCs w:val="32"/>
          <w:highlight w:val="none"/>
        </w:rPr>
        <w:t>五、培养方案包含内容（具体要求见附件）</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（一）辅修班基本信息</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1.辅修班名称</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2.辅修要求</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3.面向岗位</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（二）培养目标、规格</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1.培养目标</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2.培养规格</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（三）人才培养思路</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（四）主要课程简介</w:t>
      </w: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（五）教学安排</w:t>
      </w:r>
    </w:p>
    <w:p>
      <w:pPr>
        <w:keepNext w:val="0"/>
        <w:keepLines w:val="0"/>
        <w:pageBreakBefore w:val="0"/>
        <w:widowControl/>
        <w:tabs>
          <w:tab w:val="left" w:pos="6831"/>
        </w:tabs>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（六）其他说明</w:t>
      </w:r>
    </w:p>
    <w:p>
      <w:pPr>
        <w:keepNext w:val="0"/>
        <w:keepLines w:val="0"/>
        <w:pageBreakBefore w:val="0"/>
        <w:widowControl/>
        <w:tabs>
          <w:tab w:val="left" w:pos="6831"/>
        </w:tabs>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kern w:val="0"/>
          <w:sz w:val="32"/>
          <w:szCs w:val="32"/>
          <w:highlight w:val="none"/>
        </w:rPr>
      </w:pPr>
    </w:p>
    <w:p>
      <w:pPr>
        <w:keepNext w:val="0"/>
        <w:keepLines w:val="0"/>
        <w:pageBreakBefore w:val="0"/>
        <w:kinsoku/>
        <w:wordWrap/>
        <w:overflowPunct/>
        <w:topLinePunct w:val="0"/>
        <w:autoSpaceDE/>
        <w:autoSpaceDN/>
        <w:bidi w:val="0"/>
        <w:adjustRightInd/>
        <w:spacing w:line="580" w:lineRule="exact"/>
        <w:ind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附件：</w:t>
      </w:r>
      <w:r>
        <w:rPr>
          <w:rFonts w:hint="eastAsia" w:ascii="仿宋_GB2312" w:hAnsi="仿宋_GB2312" w:eastAsia="仿宋_GB2312" w:cs="仿宋_GB2312"/>
          <w:color w:val="auto"/>
          <w:sz w:val="32"/>
          <w:szCs w:val="32"/>
          <w:highlight w:val="none"/>
          <w:lang w:val="en-US" w:eastAsia="zh-CN"/>
        </w:rPr>
        <w:t>XXX</w:t>
      </w:r>
      <w:r>
        <w:rPr>
          <w:rFonts w:hint="eastAsia" w:ascii="仿宋_GB2312" w:hAnsi="仿宋_GB2312" w:eastAsia="仿宋_GB2312" w:cs="仿宋_GB2312"/>
          <w:color w:val="auto"/>
          <w:sz w:val="32"/>
          <w:szCs w:val="32"/>
          <w:highlight w:val="none"/>
        </w:rPr>
        <w:t>辅修班人才培养方案（参考格式）</w:t>
      </w:r>
    </w:p>
    <w:p>
      <w:pPr>
        <w:keepNext w:val="0"/>
        <w:keepLines w:val="0"/>
        <w:pageBreakBefore w:val="0"/>
        <w:widowControl/>
        <w:kinsoku/>
        <w:wordWrap/>
        <w:overflowPunct/>
        <w:topLinePunct w:val="0"/>
        <w:autoSpaceDE/>
        <w:autoSpaceDN/>
        <w:bidi w:val="0"/>
        <w:adjustRightInd/>
        <w:spacing w:line="580" w:lineRule="exact"/>
        <w:jc w:val="left"/>
        <w:textAlignment w:val="auto"/>
        <w:outlineLvl w:val="9"/>
        <w:rPr>
          <w:rFonts w:hint="eastAsia" w:ascii="黑体" w:hAnsi="黑体" w:eastAsia="黑体" w:cs="黑体"/>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黑体" w:hAnsi="黑体" w:eastAsia="黑体" w:cs="黑体"/>
          <w:color w:val="auto"/>
          <w:sz w:val="32"/>
          <w:szCs w:val="32"/>
          <w:highlight w:val="none"/>
        </w:rPr>
        <w:t>附件：</w:t>
      </w:r>
    </w:p>
    <w:p>
      <w:pPr>
        <w:keepNext w:val="0"/>
        <w:keepLines w:val="0"/>
        <w:pageBreakBefore w:val="0"/>
        <w:kinsoku/>
        <w:wordWrap/>
        <w:overflowPunct/>
        <w:topLinePunct w:val="0"/>
        <w:autoSpaceDE/>
        <w:autoSpaceDN/>
        <w:bidi w:val="0"/>
        <w:spacing w:line="580" w:lineRule="exact"/>
        <w:jc w:val="center"/>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XXX</w:t>
      </w:r>
      <w:r>
        <w:rPr>
          <w:rFonts w:hint="eastAsia" w:ascii="仿宋_GB2312" w:hAnsi="仿宋_GB2312" w:eastAsia="仿宋_GB2312" w:cs="仿宋_GB2312"/>
          <w:b/>
          <w:color w:val="auto"/>
          <w:sz w:val="32"/>
          <w:szCs w:val="32"/>
          <w:highlight w:val="none"/>
        </w:rPr>
        <w:t>辅修班人才培养方案（参考格式）</w:t>
      </w:r>
    </w:p>
    <w:p>
      <w:pPr>
        <w:keepNext w:val="0"/>
        <w:keepLines w:val="0"/>
        <w:pageBreakBefore w:val="0"/>
        <w:kinsoku/>
        <w:wordWrap/>
        <w:overflowPunct/>
        <w:topLinePunct w:val="0"/>
        <w:autoSpaceDE/>
        <w:autoSpaceDN/>
        <w:bidi w:val="0"/>
        <w:spacing w:line="580" w:lineRule="exact"/>
        <w:textAlignment w:val="auto"/>
        <w:outlineLvl w:val="9"/>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一、基本信息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color w:val="auto"/>
          <w:sz w:val="32"/>
          <w:szCs w:val="32"/>
          <w:highlight w:val="none"/>
        </w:rPr>
        <w:t>辅修班名称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32"/>
          <w:szCs w:val="32"/>
          <w:highlight w:val="none"/>
        </w:rPr>
        <w:t>开设七个方向的</w:t>
      </w:r>
      <w:r>
        <w:rPr>
          <w:rFonts w:hint="eastAsia" w:ascii="仿宋_GB2312" w:hAnsi="仿宋_GB2312" w:eastAsia="仿宋_GB2312" w:cs="仿宋_GB2312"/>
          <w:color w:val="auto"/>
          <w:kern w:val="0"/>
          <w:sz w:val="32"/>
          <w:szCs w:val="32"/>
          <w:highlight w:val="none"/>
          <w:lang w:val="en-US" w:eastAsia="zh-CN"/>
        </w:rPr>
        <w:t>柳州螺蛳粉产业学院</w:t>
      </w:r>
      <w:r>
        <w:rPr>
          <w:rFonts w:hint="eastAsia" w:ascii="仿宋_GB2312" w:hAnsi="仿宋_GB2312" w:eastAsia="仿宋_GB2312" w:cs="仿宋_GB2312"/>
          <w:color w:val="auto"/>
          <w:kern w:val="0"/>
          <w:sz w:val="32"/>
          <w:szCs w:val="32"/>
          <w:highlight w:val="none"/>
        </w:rPr>
        <w:t>辅修班：</w:t>
      </w:r>
      <w:r>
        <w:rPr>
          <w:rFonts w:hint="eastAsia" w:ascii="仿宋_GB2312" w:hAnsi="仿宋_GB2312" w:eastAsia="仿宋_GB2312" w:cs="仿宋_GB2312"/>
          <w:color w:val="auto"/>
          <w:kern w:val="0"/>
          <w:sz w:val="32"/>
          <w:szCs w:val="32"/>
          <w:highlight w:val="none"/>
          <w:lang w:eastAsia="zh-CN"/>
        </w:rPr>
        <w:t>绿色食品生产技术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食品检验检测技术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机电设备技术</w:t>
      </w:r>
      <w:r>
        <w:rPr>
          <w:rFonts w:hint="eastAsia" w:ascii="仿宋_GB2312" w:hAnsi="仿宋_GB2312" w:eastAsia="仿宋_GB2312" w:cs="仿宋_GB2312"/>
          <w:color w:val="auto"/>
          <w:kern w:val="0"/>
          <w:sz w:val="32"/>
          <w:szCs w:val="32"/>
          <w:highlight w:val="none"/>
        </w:rPr>
        <w:t>（螺蛳粉方向）、</w:t>
      </w:r>
      <w:r>
        <w:rPr>
          <w:rFonts w:hint="eastAsia" w:ascii="仿宋_GB2312" w:hAnsi="仿宋_GB2312" w:eastAsia="仿宋_GB2312" w:cs="仿宋_GB2312"/>
          <w:color w:val="auto"/>
          <w:kern w:val="0"/>
          <w:sz w:val="32"/>
          <w:szCs w:val="32"/>
          <w:highlight w:val="none"/>
          <w:lang w:eastAsia="zh-CN"/>
        </w:rPr>
        <w:t>广告艺术设计</w:t>
      </w:r>
      <w:r>
        <w:rPr>
          <w:rFonts w:hint="eastAsia" w:ascii="仿宋_GB2312" w:hAnsi="仿宋_GB2312" w:eastAsia="仿宋_GB2312" w:cs="仿宋_GB2312"/>
          <w:color w:val="auto"/>
          <w:kern w:val="0"/>
          <w:sz w:val="32"/>
          <w:szCs w:val="32"/>
          <w:highlight w:val="none"/>
        </w:rPr>
        <w:t>（螺蛳粉方向）、市场营销（螺蛳粉方向）、连锁经营与管理（螺蛳粉方向）、电子商务（螺蛳粉方向）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2.辅修要求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（1）具有我校学籍的全日制在校大一</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大二</w:t>
      </w:r>
      <w:r>
        <w:rPr>
          <w:rFonts w:hint="eastAsia" w:ascii="仿宋_GB2312" w:hAnsi="仿宋_GB2312" w:eastAsia="仿宋_GB2312" w:cs="仿宋_GB2312"/>
          <w:color w:val="auto"/>
          <w:kern w:val="0"/>
          <w:sz w:val="32"/>
          <w:szCs w:val="32"/>
          <w:highlight w:val="none"/>
        </w:rPr>
        <w:t>的学生；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（2）符合开设辅修班的二级学院要求的其他申请条件；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（3）学有余力，能够在完成主修专业的同时开展辅修班课程学习。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每位学生在校期间限选1个辅修班且与主修专业不同。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市场营销（螺蛳粉方向）、连锁经营与管理（螺蛳粉方向）、电子商务（螺蛳粉方向）三个专业可跨校区选择辅修班，其余不可跨校区选择辅修班。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3.面向岗位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本辅修</w:t>
      </w:r>
      <w:r>
        <w:rPr>
          <w:rFonts w:hint="eastAsia" w:ascii="仿宋_GB2312" w:hAnsi="仿宋_GB2312" w:eastAsia="仿宋_GB2312" w:cs="仿宋_GB2312"/>
          <w:color w:val="auto"/>
          <w:sz w:val="32"/>
          <w:szCs w:val="32"/>
          <w:highlight w:val="none"/>
          <w:lang w:val="en-US" w:eastAsia="zh-CN"/>
        </w:rPr>
        <w:t>班</w:t>
      </w:r>
      <w:r>
        <w:rPr>
          <w:rFonts w:hint="eastAsia" w:ascii="仿宋_GB2312" w:hAnsi="仿宋_GB2312" w:eastAsia="仿宋_GB2312" w:cs="仿宋_GB2312"/>
          <w:color w:val="auto"/>
          <w:sz w:val="32"/>
          <w:szCs w:val="32"/>
          <w:highlight w:val="none"/>
        </w:rPr>
        <w:t>所对应的柳州螺蛳粉产业的主要岗位（或技术领域）。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二、培养目标、规格及结业要求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1.培养目标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培养目标是指围绕柳州螺蛳粉产业发展，胜任</w:t>
      </w:r>
      <w:r>
        <w:rPr>
          <w:rFonts w:hint="eastAsia" w:ascii="仿宋_GB2312" w:hAnsi="仿宋_GB2312" w:eastAsia="仿宋_GB2312" w:cs="仿宋_GB2312"/>
          <w:color w:val="auto"/>
          <w:sz w:val="32"/>
          <w:szCs w:val="32"/>
          <w:highlight w:val="none"/>
          <w:lang w:val="en-US" w:eastAsia="zh-CN"/>
        </w:rPr>
        <w:t>柳州</w:t>
      </w:r>
      <w:r>
        <w:rPr>
          <w:rFonts w:hint="eastAsia" w:ascii="仿宋_GB2312" w:hAnsi="仿宋_GB2312" w:eastAsia="仿宋_GB2312" w:cs="仿宋_GB2312"/>
          <w:color w:val="auto"/>
          <w:sz w:val="32"/>
          <w:szCs w:val="32"/>
          <w:highlight w:val="none"/>
        </w:rPr>
        <w:t>螺蛳粉企业相关岗位的知识、能力、素养要求，为柳州螺蛳粉产业发展培养有理想信念、工匠精神、高超技艺的“素养·管理·创新”国际化复合型技术技能人才。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2.培养规格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培养规格包括专业能力、方法能力、社会能力要求，能够支持培养目标的达成。</w:t>
      </w:r>
    </w:p>
    <w:p>
      <w:pPr>
        <w:keepNext w:val="0"/>
        <w:keepLines w:val="0"/>
        <w:pageBreakBefore w:val="0"/>
        <w:kinsoku/>
        <w:wordWrap/>
        <w:overflowPunct/>
        <w:topLinePunct w:val="0"/>
        <w:autoSpaceDE/>
        <w:autoSpaceDN/>
        <w:bidi w:val="0"/>
        <w:snapToGrid w:val="0"/>
        <w:spacing w:line="596" w:lineRule="atLeast"/>
        <w:ind w:firstLine="640" w:firstLineChars="200"/>
        <w:jc w:val="center"/>
        <w:textAlignment w:val="auto"/>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表1  培养规格对应的能力要求</w:t>
      </w:r>
    </w:p>
    <w:tbl>
      <w:tblPr>
        <w:tblStyle w:val="17"/>
        <w:tblW w:w="9072" w:type="dxa"/>
        <w:jc w:val="center"/>
        <w:tblInd w:w="0" w:type="dxa"/>
        <w:tblLayout w:type="fixed"/>
        <w:tblCellMar>
          <w:top w:w="0" w:type="dxa"/>
          <w:left w:w="108" w:type="dxa"/>
          <w:bottom w:w="0" w:type="dxa"/>
          <w:right w:w="108" w:type="dxa"/>
        </w:tblCellMar>
      </w:tblPr>
      <w:tblGrid>
        <w:gridCol w:w="1875"/>
        <w:gridCol w:w="7197"/>
      </w:tblGrid>
      <w:tr>
        <w:tblPrEx>
          <w:tblLayout w:type="fixed"/>
        </w:tblPrEx>
        <w:trPr>
          <w:trHeight w:val="670" w:hRule="atLeast"/>
          <w:jc w:val="center"/>
        </w:trPr>
        <w:tc>
          <w:tcPr>
            <w:tcW w:w="1875"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outlineLvl w:val="9"/>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能力类别</w:t>
            </w:r>
          </w:p>
        </w:tc>
        <w:tc>
          <w:tcPr>
            <w:tcW w:w="719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outlineLvl w:val="9"/>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能力要求</w:t>
            </w:r>
          </w:p>
        </w:tc>
      </w:tr>
      <w:tr>
        <w:tblPrEx>
          <w:tblLayout w:type="fixed"/>
          <w:tblCellMar>
            <w:top w:w="0" w:type="dxa"/>
            <w:left w:w="108" w:type="dxa"/>
            <w:bottom w:w="0" w:type="dxa"/>
            <w:right w:w="108" w:type="dxa"/>
          </w:tblCellMar>
        </w:tblPrEx>
        <w:trPr>
          <w:trHeight w:val="578" w:hRule="atLeast"/>
          <w:jc w:val="center"/>
        </w:trPr>
        <w:tc>
          <w:tcPr>
            <w:tcW w:w="1875"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专业能力要求</w:t>
            </w:r>
          </w:p>
        </w:tc>
        <w:tc>
          <w:tcPr>
            <w:tcW w:w="719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w:t>
            </w:r>
          </w:p>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1.2**</w:t>
            </w:r>
          </w:p>
        </w:tc>
      </w:tr>
      <w:tr>
        <w:tblPrEx>
          <w:tblLayout w:type="fixed"/>
          <w:tblCellMar>
            <w:top w:w="0" w:type="dxa"/>
            <w:left w:w="108" w:type="dxa"/>
            <w:bottom w:w="0" w:type="dxa"/>
            <w:right w:w="108" w:type="dxa"/>
          </w:tblCellMar>
        </w:tblPrEx>
        <w:trPr>
          <w:trHeight w:val="578" w:hRule="atLeast"/>
          <w:jc w:val="center"/>
        </w:trPr>
        <w:tc>
          <w:tcPr>
            <w:tcW w:w="1875"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方法能力要求</w:t>
            </w:r>
          </w:p>
        </w:tc>
        <w:tc>
          <w:tcPr>
            <w:tcW w:w="719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2.1能够根据工作任务的不同需要去搜寻、获取信息，整理信息并运用信息；</w:t>
            </w:r>
          </w:p>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2.2**</w:t>
            </w:r>
          </w:p>
        </w:tc>
      </w:tr>
      <w:tr>
        <w:tblPrEx>
          <w:tblLayout w:type="fixed"/>
          <w:tblCellMar>
            <w:top w:w="0" w:type="dxa"/>
            <w:left w:w="108" w:type="dxa"/>
            <w:bottom w:w="0" w:type="dxa"/>
            <w:right w:w="108" w:type="dxa"/>
          </w:tblCellMar>
        </w:tblPrEx>
        <w:trPr>
          <w:trHeight w:val="589" w:hRule="atLeast"/>
          <w:jc w:val="center"/>
        </w:trPr>
        <w:tc>
          <w:tcPr>
            <w:tcW w:w="1875"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社会能力要求</w:t>
            </w:r>
          </w:p>
        </w:tc>
        <w:tc>
          <w:tcPr>
            <w:tcW w:w="719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3.1具有与人交流、与人合作、跨文化交际能力；</w:t>
            </w:r>
          </w:p>
          <w:p>
            <w:pPr>
              <w:pStyle w:val="23"/>
              <w:keepNext w:val="0"/>
              <w:keepLines w:val="0"/>
              <w:pageBreakBefore w:val="0"/>
              <w:kinsoku/>
              <w:wordWrap/>
              <w:overflowPunct/>
              <w:topLinePunct w:val="0"/>
              <w:autoSpaceDE/>
              <w:autoSpaceDN/>
              <w:bidi w:val="0"/>
              <w:spacing w:line="240" w:lineRule="auto"/>
              <w:textAlignment w:val="auto"/>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3.2 ***</w:t>
            </w:r>
          </w:p>
        </w:tc>
      </w:tr>
    </w:tbl>
    <w:p>
      <w:pPr>
        <w:pageBreakBefore w:val="0"/>
        <w:kinsoku/>
        <w:wordWrap/>
        <w:overflowPunct/>
        <w:topLinePunct w:val="0"/>
        <w:bidi w:val="0"/>
        <w:outlineLvl w:val="9"/>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outlineLvl w:val="9"/>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三、人才培养思路</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简要介绍辅修班课程设置的依据，校企合作开发的项目情况，课程教学的理念和思路。</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outlineLvl w:val="9"/>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四、主要课程简介</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用表格形式列出主要课程名称、课程目标、课程内容等信息。</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表2 主要课程信息一览表</w:t>
      </w:r>
    </w:p>
    <w:tbl>
      <w:tblPr>
        <w:tblStyle w:val="17"/>
        <w:tblW w:w="95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734"/>
        <w:gridCol w:w="1482"/>
        <w:gridCol w:w="2162"/>
        <w:gridCol w:w="998"/>
        <w:gridCol w:w="586"/>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序号</w:t>
            </w:r>
          </w:p>
        </w:tc>
        <w:tc>
          <w:tcPr>
            <w:tcW w:w="1734"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课程名称</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课程目标</w:t>
            </w: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课程主要内容</w:t>
            </w: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lang w:val="en-US" w:eastAsia="zh-CN"/>
              </w:rPr>
            </w:pPr>
            <w:r>
              <w:rPr>
                <w:rFonts w:hint="eastAsia" w:ascii="仿宋_GB2312" w:hAnsi="仿宋_GB2312" w:eastAsia="仿宋_GB2312" w:cs="仿宋_GB2312"/>
                <w:b/>
                <w:color w:val="auto"/>
                <w:kern w:val="0"/>
                <w:sz w:val="21"/>
                <w:szCs w:val="21"/>
                <w:highlight w:val="none"/>
              </w:rPr>
              <w:t>学时</w:t>
            </w:r>
            <w:r>
              <w:rPr>
                <w:rFonts w:hint="eastAsia" w:ascii="仿宋_GB2312" w:hAnsi="仿宋_GB2312" w:eastAsia="仿宋_GB2312" w:cs="仿宋_GB2312"/>
                <w:b/>
                <w:color w:val="auto"/>
                <w:kern w:val="0"/>
                <w:sz w:val="21"/>
                <w:szCs w:val="21"/>
                <w:highlight w:val="none"/>
                <w:lang w:val="en-US" w:eastAsia="zh-CN"/>
              </w:rPr>
              <w:t>/小时</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学分</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b/>
                <w:color w:val="auto"/>
                <w:kern w:val="0"/>
                <w:sz w:val="21"/>
                <w:szCs w:val="21"/>
                <w:highlight w:val="none"/>
              </w:rPr>
            </w:pPr>
            <w:r>
              <w:rPr>
                <w:rFonts w:hint="eastAsia" w:ascii="仿宋_GB2312" w:hAnsi="仿宋_GB2312" w:eastAsia="仿宋_GB2312" w:cs="仿宋_GB2312"/>
                <w:b/>
                <w:color w:val="auto"/>
                <w:kern w:val="0"/>
                <w:sz w:val="21"/>
                <w:szCs w:val="21"/>
                <w:highlight w:val="none"/>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柳州螺蛳粉饮食文化</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eastAsia="zh-CN"/>
              </w:rPr>
              <w:t>1</w:t>
            </w:r>
            <w:r>
              <w:rPr>
                <w:rFonts w:hint="eastAsia" w:ascii="仿宋_GB2312" w:hAnsi="仿宋_GB2312" w:eastAsia="仿宋_GB2312" w:cs="仿宋_GB2312"/>
                <w:color w:val="auto"/>
                <w:kern w:val="0"/>
                <w:sz w:val="21"/>
                <w:szCs w:val="21"/>
                <w:highlight w:val="none"/>
                <w:lang w:val="en-US" w:eastAsia="zh-CN"/>
              </w:rPr>
              <w:t>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螺蛳粉生产质量控制</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环境与食品</w:t>
            </w:r>
          </w:p>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螺蛳粉现场管理</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财经与物流</w:t>
            </w:r>
          </w:p>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管理学院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螺蛳粉专业外语</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通识教育学院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螺蛳粉营销</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贸易与旅游</w:t>
            </w:r>
          </w:p>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管理学院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螺蛳粉相关主题讲座</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16</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柳州螺蛳粉产业学院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专业课程1</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专业所在二级学院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专业所在二级学院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柳州螺蛳粉实践活动</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与柳州螺蛳粉相关的实践活动、柳州</w:t>
            </w:r>
            <w:r>
              <w:rPr>
                <w:rFonts w:hint="eastAsia" w:ascii="仿宋_GB2312" w:hAnsi="仿宋_GB2312" w:eastAsia="仿宋_GB2312" w:cs="仿宋_GB2312"/>
                <w:color w:val="auto"/>
                <w:kern w:val="0"/>
                <w:sz w:val="21"/>
                <w:szCs w:val="21"/>
                <w:highlight w:val="none"/>
              </w:rPr>
              <w:t>螺蛳粉企业实习</w:t>
            </w: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20小时</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2</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柳州螺蛳粉产业学院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4" w:type="dxa"/>
            <w:noWrap w:val="0"/>
            <w:vAlign w:val="top"/>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p>
        </w:tc>
        <w:tc>
          <w:tcPr>
            <w:tcW w:w="1734" w:type="dxa"/>
            <w:noWrap w:val="0"/>
            <w:vAlign w:val="center"/>
          </w:tcPr>
          <w:p>
            <w:pPr>
              <w:keepNext w:val="0"/>
              <w:keepLines w:val="0"/>
              <w:pageBreakBefore w:val="0"/>
              <w:kinsoku/>
              <w:wordWrap/>
              <w:overflowPunct/>
              <w:topLinePunct w:val="0"/>
              <w:autoSpaceDE/>
              <w:autoSpaceDN/>
              <w:bidi w:val="0"/>
              <w:adjustRightInd/>
              <w:snapToGrid/>
              <w:spacing w:line="320" w:lineRule="atLeast"/>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lang w:val="en-US" w:eastAsia="zh-CN"/>
              </w:rPr>
              <w:t>柳州</w:t>
            </w:r>
            <w:r>
              <w:rPr>
                <w:rFonts w:hint="eastAsia" w:ascii="仿宋_GB2312" w:hAnsi="仿宋_GB2312" w:eastAsia="仿宋_GB2312" w:cs="仿宋_GB2312"/>
                <w:color w:val="auto"/>
                <w:kern w:val="0"/>
                <w:sz w:val="21"/>
                <w:szCs w:val="21"/>
                <w:highlight w:val="none"/>
              </w:rPr>
              <w:t>螺蛳粉创新创业训练</w:t>
            </w:r>
          </w:p>
        </w:tc>
        <w:tc>
          <w:tcPr>
            <w:tcW w:w="148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2162"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p>
        </w:tc>
        <w:tc>
          <w:tcPr>
            <w:tcW w:w="998"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32</w:t>
            </w:r>
          </w:p>
        </w:tc>
        <w:tc>
          <w:tcPr>
            <w:tcW w:w="586"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2</w:t>
            </w:r>
          </w:p>
        </w:tc>
        <w:tc>
          <w:tcPr>
            <w:tcW w:w="1911" w:type="dxa"/>
            <w:noWrap w:val="0"/>
            <w:vAlign w:val="center"/>
          </w:tcPr>
          <w:p>
            <w:pPr>
              <w:keepNext w:val="0"/>
              <w:keepLines w:val="0"/>
              <w:pageBreakBefore w:val="0"/>
              <w:widowControl/>
              <w:kinsoku/>
              <w:wordWrap/>
              <w:overflowPunct/>
              <w:topLinePunct w:val="0"/>
              <w:autoSpaceDE/>
              <w:autoSpaceDN/>
              <w:bidi w:val="0"/>
              <w:adjustRightInd/>
              <w:snapToGrid/>
              <w:spacing w:line="320" w:lineRule="atLeas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通识教育学院</w:t>
            </w:r>
          </w:p>
        </w:tc>
      </w:tr>
    </w:tbl>
    <w:p>
      <w:pPr>
        <w:keepNext w:val="0"/>
        <w:keepLines w:val="0"/>
        <w:pageBreakBefore w:val="0"/>
        <w:kinsoku/>
        <w:wordWrap/>
        <w:overflowPunct/>
        <w:topLinePunct w:val="0"/>
        <w:autoSpaceDE/>
        <w:autoSpaceDN/>
        <w:bidi w:val="0"/>
        <w:spacing w:line="596" w:lineRule="atLeast"/>
        <w:ind w:firstLine="640" w:firstLineChars="200"/>
        <w:textAlignment w:val="auto"/>
        <w:outlineLvl w:val="9"/>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五、课程教学安排</w:t>
      </w:r>
    </w:p>
    <w:tbl>
      <w:tblPr>
        <w:tblStyle w:val="17"/>
        <w:tblW w:w="94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87"/>
        <w:gridCol w:w="748"/>
        <w:gridCol w:w="1590"/>
        <w:gridCol w:w="948"/>
        <w:gridCol w:w="1174"/>
        <w:gridCol w:w="1033"/>
        <w:gridCol w:w="1026"/>
        <w:gridCol w:w="117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课程类别</w:t>
            </w:r>
          </w:p>
        </w:tc>
        <w:tc>
          <w:tcPr>
            <w:tcW w:w="74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序号</w:t>
            </w:r>
          </w:p>
        </w:tc>
        <w:tc>
          <w:tcPr>
            <w:tcW w:w="159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课程名称</w:t>
            </w:r>
          </w:p>
        </w:tc>
        <w:tc>
          <w:tcPr>
            <w:tcW w:w="948"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总学分</w:t>
            </w:r>
          </w:p>
        </w:tc>
        <w:tc>
          <w:tcPr>
            <w:tcW w:w="117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总学时</w:t>
            </w:r>
          </w:p>
        </w:tc>
        <w:tc>
          <w:tcPr>
            <w:tcW w:w="205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理论实践学时</w:t>
            </w:r>
          </w:p>
        </w:tc>
        <w:tc>
          <w:tcPr>
            <w:tcW w:w="215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开设学期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p>
        </w:tc>
        <w:tc>
          <w:tcPr>
            <w:tcW w:w="74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outlineLvl w:val="9"/>
              <w:rPr>
                <w:rFonts w:hint="eastAsia" w:ascii="仿宋_GB2312" w:hAnsi="仿宋_GB2312" w:eastAsia="仿宋_GB2312" w:cs="仿宋_GB2312"/>
                <w:b/>
                <w:bCs/>
                <w:color w:val="auto"/>
                <w:kern w:val="0"/>
                <w:sz w:val="21"/>
                <w:szCs w:val="21"/>
                <w:highlight w:val="none"/>
              </w:rPr>
            </w:pPr>
          </w:p>
        </w:tc>
        <w:tc>
          <w:tcPr>
            <w:tcW w:w="159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outlineLvl w:val="9"/>
              <w:rPr>
                <w:rFonts w:hint="eastAsia" w:ascii="仿宋_GB2312" w:hAnsi="仿宋_GB2312" w:eastAsia="仿宋_GB2312" w:cs="仿宋_GB2312"/>
                <w:b/>
                <w:bCs/>
                <w:color w:val="auto"/>
                <w:kern w:val="0"/>
                <w:sz w:val="21"/>
                <w:szCs w:val="21"/>
                <w:highlight w:val="none"/>
              </w:rPr>
            </w:pPr>
          </w:p>
        </w:tc>
        <w:tc>
          <w:tcPr>
            <w:tcW w:w="948"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outlineLvl w:val="9"/>
              <w:rPr>
                <w:rFonts w:hint="eastAsia" w:ascii="仿宋_GB2312" w:hAnsi="仿宋_GB2312" w:eastAsia="仿宋_GB2312" w:cs="仿宋_GB2312"/>
                <w:b/>
                <w:bCs/>
                <w:color w:val="auto"/>
                <w:kern w:val="0"/>
                <w:sz w:val="21"/>
                <w:szCs w:val="21"/>
                <w:highlight w:val="none"/>
              </w:rPr>
            </w:pPr>
          </w:p>
        </w:tc>
        <w:tc>
          <w:tcPr>
            <w:tcW w:w="117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outlineLvl w:val="9"/>
              <w:rPr>
                <w:rFonts w:hint="eastAsia" w:ascii="仿宋_GB2312" w:hAnsi="仿宋_GB2312" w:eastAsia="仿宋_GB2312" w:cs="仿宋_GB2312"/>
                <w:b/>
                <w:bCs/>
                <w:color w:val="auto"/>
                <w:kern w:val="0"/>
                <w:sz w:val="21"/>
                <w:szCs w:val="21"/>
                <w:highlight w:val="none"/>
              </w:rPr>
            </w:pPr>
          </w:p>
        </w:tc>
        <w:tc>
          <w:tcPr>
            <w:tcW w:w="1033"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理论</w:t>
            </w:r>
          </w:p>
        </w:tc>
        <w:tc>
          <w:tcPr>
            <w:tcW w:w="1026"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实践</w:t>
            </w:r>
          </w:p>
        </w:tc>
        <w:tc>
          <w:tcPr>
            <w:tcW w:w="1179"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每学年</w:t>
            </w:r>
          </w:p>
          <w:p>
            <w:pPr>
              <w:keepNext w:val="0"/>
              <w:keepLines w:val="0"/>
              <w:pageBreakBefore w:val="0"/>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上学期</w:t>
            </w:r>
          </w:p>
        </w:tc>
        <w:tc>
          <w:tcPr>
            <w:tcW w:w="97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每学年</w:t>
            </w:r>
          </w:p>
          <w:p>
            <w:pPr>
              <w:keepNext w:val="0"/>
              <w:keepLines w:val="0"/>
              <w:pageBreakBefore w:val="0"/>
              <w:kinsoku/>
              <w:wordWrap/>
              <w:overflowPunct/>
              <w:topLinePunct w:val="0"/>
              <w:autoSpaceDE/>
              <w:autoSpaceDN/>
              <w:bidi w:val="0"/>
              <w:adjustRightInd w:val="0"/>
              <w:snapToGrid w:val="0"/>
              <w:spacing w:line="320" w:lineRule="exact"/>
              <w:jc w:val="center"/>
              <w:textAlignment w:val="auto"/>
              <w:outlineLvl w:val="9"/>
              <w:rPr>
                <w:rFonts w:hint="eastAsia" w:ascii="仿宋_GB2312" w:hAnsi="仿宋_GB2312" w:eastAsia="仿宋_GB2312" w:cs="仿宋_GB2312"/>
                <w:b/>
                <w:bCs/>
                <w:color w:val="auto"/>
                <w:kern w:val="0"/>
                <w:sz w:val="21"/>
                <w:szCs w:val="21"/>
                <w:highlight w:val="none"/>
              </w:rPr>
            </w:pPr>
            <w:r>
              <w:rPr>
                <w:rFonts w:hint="eastAsia" w:ascii="仿宋_GB2312" w:hAnsi="仿宋_GB2312" w:eastAsia="仿宋_GB2312" w:cs="仿宋_GB2312"/>
                <w:b/>
                <w:bCs/>
                <w:color w:val="auto"/>
                <w:kern w:val="0"/>
                <w:sz w:val="21"/>
                <w:szCs w:val="21"/>
                <w:highlight w:val="none"/>
              </w:rPr>
              <w:t>下学期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restart"/>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lang w:val="en-US" w:eastAsia="zh-CN"/>
              </w:rPr>
              <w:t>通</w:t>
            </w:r>
            <w:r>
              <w:rPr>
                <w:rFonts w:hint="eastAsia" w:ascii="仿宋_GB2312" w:hAnsi="仿宋_GB2312" w:eastAsia="仿宋_GB2312" w:cs="仿宋_GB2312"/>
                <w:color w:val="auto"/>
                <w:kern w:val="0"/>
                <w:sz w:val="21"/>
                <w:szCs w:val="21"/>
                <w:highlight w:val="none"/>
              </w:rPr>
              <w:t>识课程</w:t>
            </w:r>
          </w:p>
        </w:tc>
        <w:tc>
          <w:tcPr>
            <w:tcW w:w="748" w:type="dxa"/>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1</w:t>
            </w:r>
          </w:p>
        </w:tc>
        <w:tc>
          <w:tcPr>
            <w:tcW w:w="159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柳州螺蛳粉饮食文化</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1</w:t>
            </w:r>
            <w:r>
              <w:rPr>
                <w:rFonts w:hint="eastAsia" w:ascii="仿宋_GB2312" w:hAnsi="仿宋_GB2312" w:eastAsia="仿宋_GB2312" w:cs="仿宋_GB2312"/>
                <w:color w:val="auto"/>
                <w:sz w:val="21"/>
                <w:szCs w:val="21"/>
                <w:highlight w:val="none"/>
                <w:lang w:val="en-US" w:eastAsia="zh-CN"/>
              </w:rPr>
              <w:t>6</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w:t>
            </w:r>
          </w:p>
        </w:tc>
        <w:tc>
          <w:tcPr>
            <w:tcW w:w="159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螺蛳粉生产质量控制</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1</w:t>
            </w:r>
            <w:r>
              <w:rPr>
                <w:rFonts w:hint="eastAsia" w:ascii="仿宋_GB2312" w:hAnsi="仿宋_GB2312" w:eastAsia="仿宋_GB2312" w:cs="仿宋_GB2312"/>
                <w:color w:val="auto"/>
                <w:sz w:val="21"/>
                <w:szCs w:val="21"/>
                <w:highlight w:val="none"/>
                <w:lang w:val="en-US" w:eastAsia="zh-CN"/>
              </w:rPr>
              <w:t>6</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p>
        </w:tc>
        <w:tc>
          <w:tcPr>
            <w:tcW w:w="159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螺蛳粉现场管理</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w:t>
            </w:r>
          </w:p>
        </w:tc>
        <w:tc>
          <w:tcPr>
            <w:tcW w:w="159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柳州</w:t>
            </w:r>
            <w:r>
              <w:rPr>
                <w:rFonts w:hint="eastAsia" w:ascii="仿宋_GB2312" w:hAnsi="仿宋_GB2312" w:eastAsia="仿宋_GB2312" w:cs="仿宋_GB2312"/>
                <w:color w:val="auto"/>
                <w:sz w:val="21"/>
                <w:szCs w:val="21"/>
                <w:highlight w:val="none"/>
              </w:rPr>
              <w:t>螺蛳粉专业外语</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w:t>
            </w:r>
          </w:p>
        </w:tc>
        <w:tc>
          <w:tcPr>
            <w:tcW w:w="159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螺蛳粉营销</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restart"/>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r>
              <w:rPr>
                <w:rFonts w:hint="eastAsia" w:ascii="仿宋_GB2312" w:hAnsi="仿宋_GB2312" w:eastAsia="仿宋_GB2312" w:cs="仿宋_GB2312"/>
                <w:color w:val="auto"/>
                <w:kern w:val="0"/>
                <w:sz w:val="21"/>
                <w:szCs w:val="21"/>
                <w:highlight w:val="none"/>
              </w:rPr>
              <w:t>专业特色课程</w:t>
            </w: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w:t>
            </w:r>
          </w:p>
        </w:tc>
        <w:tc>
          <w:tcPr>
            <w:tcW w:w="1590" w:type="dxa"/>
            <w:noWrap w:val="0"/>
            <w:vAlign w:val="center"/>
          </w:tcPr>
          <w:p>
            <w:pPr>
              <w:keepNext w:val="0"/>
              <w:keepLines w:val="0"/>
              <w:pageBreakBefore w:val="0"/>
              <w:kinsoku/>
              <w:wordWrap/>
              <w:overflowPunct/>
              <w:topLinePunct w:val="0"/>
              <w:autoSpaceDE/>
              <w:autoSpaceDN/>
              <w:bidi w:val="0"/>
              <w:spacing w:line="320" w:lineRule="exact"/>
              <w:jc w:val="left"/>
              <w:textAlignment w:val="auto"/>
              <w:outlineLvl w:val="9"/>
              <w:rPr>
                <w:rFonts w:hint="eastAsia" w:ascii="仿宋_GB2312" w:hAnsi="仿宋_GB2312" w:eastAsia="仿宋_GB2312" w:cs="仿宋_GB2312"/>
                <w:color w:val="auto"/>
                <w:sz w:val="21"/>
                <w:szCs w:val="21"/>
                <w:highlight w:val="none"/>
              </w:rPr>
            </w:pP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restart"/>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综合实践课</w:t>
            </w: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590" w:type="dxa"/>
            <w:noWrap w:val="0"/>
            <w:vAlign w:val="center"/>
          </w:tcPr>
          <w:p>
            <w:pPr>
              <w:keepNext w:val="0"/>
              <w:keepLines w:val="0"/>
              <w:pageBreakBefore w:val="0"/>
              <w:kinsoku/>
              <w:wordWrap/>
              <w:overflowPunct/>
              <w:topLinePunct w:val="0"/>
              <w:autoSpaceDE/>
              <w:autoSpaceDN/>
              <w:bidi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rPr>
              <w:t>柳州螺蛳粉实践活动</w:t>
            </w:r>
          </w:p>
        </w:tc>
        <w:tc>
          <w:tcPr>
            <w:tcW w:w="948" w:type="dxa"/>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2</w:t>
            </w:r>
          </w:p>
        </w:tc>
        <w:tc>
          <w:tcPr>
            <w:tcW w:w="1174" w:type="dxa"/>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20小时</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787" w:type="dxa"/>
            <w:vMerge w:val="continue"/>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0"/>
                <w:sz w:val="21"/>
                <w:szCs w:val="21"/>
                <w:highlight w:val="none"/>
              </w:rPr>
            </w:pPr>
          </w:p>
        </w:tc>
        <w:tc>
          <w:tcPr>
            <w:tcW w:w="7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590" w:type="dxa"/>
            <w:noWrap w:val="0"/>
            <w:vAlign w:val="center"/>
          </w:tcPr>
          <w:p>
            <w:pPr>
              <w:keepNext w:val="0"/>
              <w:keepLines w:val="0"/>
              <w:pageBreakBefore w:val="0"/>
              <w:kinsoku/>
              <w:wordWrap/>
              <w:overflowPunct/>
              <w:topLinePunct w:val="0"/>
              <w:autoSpaceDE/>
              <w:autoSpaceDN/>
              <w:bidi w:val="0"/>
              <w:spacing w:line="320" w:lineRule="exact"/>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kern w:val="0"/>
                <w:sz w:val="21"/>
                <w:szCs w:val="21"/>
                <w:highlight w:val="none"/>
                <w:lang w:val="en-US" w:eastAsia="zh-CN"/>
              </w:rPr>
              <w:t>柳州</w:t>
            </w:r>
            <w:r>
              <w:rPr>
                <w:rFonts w:hint="eastAsia" w:ascii="仿宋_GB2312" w:hAnsi="仿宋_GB2312" w:eastAsia="仿宋_GB2312" w:cs="仿宋_GB2312"/>
                <w:color w:val="auto"/>
                <w:kern w:val="0"/>
                <w:sz w:val="21"/>
                <w:szCs w:val="21"/>
                <w:highlight w:val="none"/>
              </w:rPr>
              <w:t>螺蛳粉创新创业训练</w:t>
            </w:r>
          </w:p>
        </w:tc>
        <w:tc>
          <w:tcPr>
            <w:tcW w:w="948" w:type="dxa"/>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rPr>
              <w:t>2</w:t>
            </w:r>
          </w:p>
        </w:tc>
        <w:tc>
          <w:tcPr>
            <w:tcW w:w="1174" w:type="dxa"/>
            <w:noWrap w:val="0"/>
            <w:vAlign w:val="center"/>
          </w:tcPr>
          <w:p>
            <w:pPr>
              <w:keepNext w:val="0"/>
              <w:keepLines w:val="0"/>
              <w:pageBreakBefore w:val="0"/>
              <w:widowControl/>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rPr>
              <w:t>32</w:t>
            </w: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567" w:hRule="atLeast"/>
          <w:jc w:val="center"/>
        </w:trPr>
        <w:tc>
          <w:tcPr>
            <w:tcW w:w="3125" w:type="dxa"/>
            <w:gridSpan w:val="3"/>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合计</w:t>
            </w:r>
          </w:p>
        </w:tc>
        <w:tc>
          <w:tcPr>
            <w:tcW w:w="948"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24</w:t>
            </w:r>
          </w:p>
        </w:tc>
        <w:tc>
          <w:tcPr>
            <w:tcW w:w="1174"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lang w:val="en-US" w:eastAsia="zh-CN"/>
              </w:rPr>
            </w:pPr>
          </w:p>
        </w:tc>
        <w:tc>
          <w:tcPr>
            <w:tcW w:w="1033"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026"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1179"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c>
          <w:tcPr>
            <w:tcW w:w="975" w:type="dxa"/>
            <w:noWrap w:val="0"/>
            <w:vAlign w:val="center"/>
          </w:tcPr>
          <w:p>
            <w:pPr>
              <w:keepNext w:val="0"/>
              <w:keepLines w:val="0"/>
              <w:pageBreakBefore w:val="0"/>
              <w:kinsoku/>
              <w:wordWrap/>
              <w:overflowPunct/>
              <w:topLinePunct w:val="0"/>
              <w:autoSpaceDE/>
              <w:autoSpaceDN/>
              <w:bidi w:val="0"/>
              <w:spacing w:line="320" w:lineRule="exact"/>
              <w:jc w:val="center"/>
              <w:textAlignment w:val="auto"/>
              <w:outlineLvl w:val="9"/>
              <w:rPr>
                <w:rFonts w:hint="eastAsia" w:ascii="仿宋_GB2312" w:hAnsi="仿宋_GB2312" w:eastAsia="仿宋_GB2312" w:cs="仿宋_GB2312"/>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596" w:lineRule="exact"/>
        <w:textAlignment w:val="auto"/>
        <w:outlineLvl w:val="9"/>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sz w:val="24"/>
          <w:szCs w:val="24"/>
          <w:highlight w:val="none"/>
        </w:rPr>
        <w:t>说明：</w:t>
      </w:r>
      <w:r>
        <w:rPr>
          <w:rFonts w:hint="eastAsia" w:ascii="仿宋_GB2312" w:hAnsi="仿宋_GB2312" w:eastAsia="仿宋_GB2312" w:cs="仿宋_GB2312"/>
          <w:bCs/>
          <w:color w:val="auto"/>
          <w:kern w:val="0"/>
          <w:sz w:val="24"/>
          <w:szCs w:val="24"/>
          <w:highlight w:val="none"/>
        </w:rPr>
        <w:t>1.通识课程</w:t>
      </w:r>
      <w:r>
        <w:rPr>
          <w:rFonts w:hint="eastAsia" w:ascii="仿宋_GB2312" w:hAnsi="仿宋_GB2312" w:eastAsia="仿宋_GB2312" w:cs="仿宋_GB2312"/>
          <w:bCs/>
          <w:color w:val="auto"/>
          <w:kern w:val="0"/>
          <w:sz w:val="24"/>
          <w:szCs w:val="24"/>
          <w:highlight w:val="none"/>
          <w:lang w:val="en-US" w:eastAsia="zh-CN"/>
        </w:rPr>
        <w:t>总计5学分，</w:t>
      </w:r>
      <w:r>
        <w:rPr>
          <w:rFonts w:hint="eastAsia" w:ascii="仿宋_GB2312" w:hAnsi="仿宋_GB2312" w:eastAsia="仿宋_GB2312" w:cs="仿宋_GB2312"/>
          <w:bCs/>
          <w:color w:val="auto"/>
          <w:kern w:val="0"/>
          <w:sz w:val="24"/>
          <w:szCs w:val="24"/>
          <w:highlight w:val="none"/>
        </w:rPr>
        <w:t>专业特色课程</w:t>
      </w:r>
      <w:r>
        <w:rPr>
          <w:rFonts w:hint="eastAsia" w:ascii="仿宋_GB2312" w:hAnsi="仿宋_GB2312" w:eastAsia="仿宋_GB2312" w:cs="仿宋_GB2312"/>
          <w:bCs/>
          <w:color w:val="auto"/>
          <w:kern w:val="0"/>
          <w:sz w:val="24"/>
          <w:szCs w:val="24"/>
          <w:highlight w:val="none"/>
          <w:lang w:val="en-US" w:eastAsia="zh-CN"/>
        </w:rPr>
        <w:t>总计15学分，</w:t>
      </w:r>
      <w:r>
        <w:rPr>
          <w:rFonts w:hint="eastAsia" w:ascii="仿宋_GB2312" w:hAnsi="仿宋_GB2312" w:eastAsia="仿宋_GB2312" w:cs="仿宋_GB2312"/>
          <w:bCs/>
          <w:color w:val="auto"/>
          <w:kern w:val="0"/>
          <w:sz w:val="24"/>
          <w:szCs w:val="24"/>
          <w:highlight w:val="none"/>
        </w:rPr>
        <w:t>综合实践课</w:t>
      </w:r>
      <w:r>
        <w:rPr>
          <w:rFonts w:hint="eastAsia" w:ascii="仿宋_GB2312" w:hAnsi="仿宋_GB2312" w:eastAsia="仿宋_GB2312" w:cs="仿宋_GB2312"/>
          <w:bCs/>
          <w:color w:val="auto"/>
          <w:kern w:val="0"/>
          <w:sz w:val="24"/>
          <w:szCs w:val="24"/>
          <w:highlight w:val="none"/>
          <w:lang w:val="en-US" w:eastAsia="zh-CN"/>
        </w:rPr>
        <w:t>总计4</w:t>
      </w:r>
      <w:r>
        <w:rPr>
          <w:rFonts w:hint="eastAsia" w:ascii="仿宋_GB2312" w:hAnsi="仿宋_GB2312" w:eastAsia="仿宋_GB2312" w:cs="仿宋_GB2312"/>
          <w:bCs/>
          <w:color w:val="auto"/>
          <w:kern w:val="0"/>
          <w:sz w:val="24"/>
          <w:szCs w:val="24"/>
          <w:highlight w:val="none"/>
        </w:rPr>
        <w:t>学分。</w:t>
      </w:r>
    </w:p>
    <w:p>
      <w:pPr>
        <w:keepNext w:val="0"/>
        <w:keepLines w:val="0"/>
        <w:pageBreakBefore w:val="0"/>
        <w:widowControl w:val="0"/>
        <w:kinsoku/>
        <w:wordWrap/>
        <w:overflowPunct/>
        <w:topLinePunct w:val="0"/>
        <w:autoSpaceDE/>
        <w:autoSpaceDN/>
        <w:bidi w:val="0"/>
        <w:adjustRightInd/>
        <w:snapToGrid/>
        <w:spacing w:line="596" w:lineRule="exact"/>
        <w:ind w:firstLine="720" w:firstLineChars="300"/>
        <w:textAlignment w:val="auto"/>
        <w:outlineLvl w:val="9"/>
        <w:rPr>
          <w:rFonts w:hint="eastAsia" w:ascii="仿宋_GB2312" w:hAnsi="仿宋_GB2312" w:eastAsia="仿宋_GB2312" w:cs="仿宋_GB2312"/>
          <w:bCs/>
          <w:color w:val="auto"/>
          <w:kern w:val="0"/>
          <w:sz w:val="24"/>
          <w:szCs w:val="24"/>
          <w:highlight w:val="none"/>
          <w:lang w:eastAsia="zh-CN"/>
        </w:rPr>
      </w:pPr>
      <w:r>
        <w:rPr>
          <w:rFonts w:hint="eastAsia" w:ascii="仿宋_GB2312" w:hAnsi="仿宋_GB2312" w:eastAsia="仿宋_GB2312" w:cs="仿宋_GB2312"/>
          <w:bCs/>
          <w:color w:val="auto"/>
          <w:kern w:val="0"/>
          <w:sz w:val="24"/>
          <w:szCs w:val="24"/>
          <w:highlight w:val="none"/>
        </w:rPr>
        <w:t>2.</w:t>
      </w:r>
      <w:r>
        <w:rPr>
          <w:rFonts w:hint="eastAsia" w:ascii="仿宋_GB2312" w:hAnsi="仿宋_GB2312" w:eastAsia="仿宋_GB2312" w:cs="仿宋_GB2312"/>
          <w:bCs/>
          <w:color w:val="auto"/>
          <w:kern w:val="0"/>
          <w:sz w:val="24"/>
          <w:szCs w:val="24"/>
          <w:highlight w:val="none"/>
          <w:lang w:val="en-US" w:eastAsia="zh-CN"/>
        </w:rPr>
        <w:t>全部</w:t>
      </w:r>
      <w:r>
        <w:rPr>
          <w:rFonts w:hint="eastAsia" w:ascii="仿宋_GB2312" w:hAnsi="仿宋_GB2312" w:eastAsia="仿宋_GB2312" w:cs="仿宋_GB2312"/>
          <w:bCs/>
          <w:color w:val="auto"/>
          <w:kern w:val="0"/>
          <w:sz w:val="24"/>
          <w:szCs w:val="24"/>
          <w:highlight w:val="none"/>
        </w:rPr>
        <w:t>课程</w:t>
      </w:r>
      <w:r>
        <w:rPr>
          <w:rFonts w:hint="eastAsia" w:ascii="仿宋_GB2312" w:hAnsi="仿宋_GB2312" w:eastAsia="仿宋_GB2312" w:cs="仿宋_GB2312"/>
          <w:bCs/>
          <w:color w:val="auto"/>
          <w:kern w:val="0"/>
          <w:sz w:val="24"/>
          <w:szCs w:val="24"/>
          <w:highlight w:val="none"/>
          <w:lang w:val="en-US" w:eastAsia="zh-CN"/>
        </w:rPr>
        <w:t>须在</w:t>
      </w:r>
      <w:r>
        <w:rPr>
          <w:rFonts w:hint="eastAsia" w:ascii="仿宋_GB2312" w:hAnsi="仿宋_GB2312" w:eastAsia="仿宋_GB2312" w:cs="仿宋_GB2312"/>
          <w:bCs/>
          <w:color w:val="auto"/>
          <w:kern w:val="0"/>
          <w:sz w:val="24"/>
          <w:szCs w:val="24"/>
          <w:highlight w:val="none"/>
        </w:rPr>
        <w:t>1学年</w:t>
      </w:r>
      <w:r>
        <w:rPr>
          <w:rFonts w:hint="eastAsia" w:ascii="仿宋_GB2312" w:hAnsi="仿宋_GB2312" w:eastAsia="仿宋_GB2312" w:cs="仿宋_GB2312"/>
          <w:bCs/>
          <w:color w:val="auto"/>
          <w:kern w:val="0"/>
          <w:sz w:val="24"/>
          <w:szCs w:val="24"/>
          <w:highlight w:val="none"/>
          <w:lang w:val="en-US" w:eastAsia="zh-CN"/>
        </w:rPr>
        <w:t>安排完毕</w:t>
      </w:r>
      <w:r>
        <w:rPr>
          <w:rFonts w:hint="eastAsia" w:ascii="仿宋_GB2312" w:hAnsi="仿宋_GB2312" w:eastAsia="仿宋_GB2312" w:cs="仿宋_GB2312"/>
          <w:bCs/>
          <w:color w:val="auto"/>
          <w:kern w:val="0"/>
          <w:sz w:val="24"/>
          <w:szCs w:val="24"/>
          <w:highlight w:val="none"/>
        </w:rPr>
        <w:t>，分上学期、下学期</w:t>
      </w:r>
      <w:r>
        <w:rPr>
          <w:rFonts w:hint="eastAsia" w:ascii="仿宋_GB2312" w:hAnsi="仿宋_GB2312" w:eastAsia="仿宋_GB2312" w:cs="仿宋_GB2312"/>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96" w:lineRule="exact"/>
        <w:ind w:firstLine="720" w:firstLineChars="300"/>
        <w:textAlignment w:val="auto"/>
        <w:outlineLvl w:val="9"/>
        <w:rPr>
          <w:rFonts w:hint="eastAsia" w:ascii="仿宋_GB2312" w:hAnsi="仿宋_GB2312" w:eastAsia="仿宋_GB2312" w:cs="仿宋_GB2312"/>
          <w:bCs/>
          <w:color w:val="auto"/>
          <w:kern w:val="0"/>
          <w:sz w:val="24"/>
          <w:szCs w:val="24"/>
          <w:highlight w:val="none"/>
          <w:lang w:val="en-US" w:eastAsia="zh-CN"/>
        </w:rPr>
      </w:pPr>
      <w:r>
        <w:rPr>
          <w:rFonts w:hint="eastAsia" w:ascii="仿宋_GB2312" w:hAnsi="仿宋_GB2312" w:eastAsia="仿宋_GB2312" w:cs="仿宋_GB2312"/>
          <w:bCs/>
          <w:color w:val="auto"/>
          <w:kern w:val="0"/>
          <w:sz w:val="24"/>
          <w:szCs w:val="24"/>
          <w:highlight w:val="none"/>
          <w:lang w:val="en-US" w:eastAsia="zh-CN"/>
        </w:rPr>
        <w:t>3.理论学时请尽量做成网络课程。</w:t>
      </w: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bookmarkStart w:id="429" w:name="_Toc15843"/>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9"/>
        <w:rPr>
          <w:rFonts w:hint="eastAsia" w:ascii="Times New Roman" w:hAnsi="Times New Roman" w:eastAsia="宋体" w:cs="Times New Roman"/>
          <w:b/>
          <w:color w:val="000000"/>
          <w:kern w:val="2"/>
          <w:sz w:val="36"/>
          <w:szCs w:val="36"/>
        </w:rPr>
      </w:pPr>
    </w:p>
    <w:p>
      <w:pPr>
        <w:keepNext w:val="0"/>
        <w:keepLines w:val="0"/>
        <w:pageBreakBefore w:val="0"/>
        <w:widowControl w:val="0"/>
        <w:kinsoku/>
        <w:wordWrap/>
        <w:overflowPunct/>
        <w:topLinePunct w:val="0"/>
        <w:autoSpaceDE/>
        <w:autoSpaceDN/>
        <w:bidi w:val="0"/>
        <w:adjustRightInd/>
        <w:snapToGrid/>
        <w:spacing w:before="0" w:after="0" w:line="596" w:lineRule="exact"/>
        <w:ind w:left="0" w:right="0" w:firstLine="0" w:firstLineChars="0"/>
        <w:jc w:val="center"/>
        <w:textAlignment w:val="auto"/>
        <w:outlineLvl w:val="0"/>
        <w:rPr>
          <w:rFonts w:hint="eastAsia" w:ascii="Times New Roman" w:hAnsi="Times New Roman" w:eastAsia="宋体" w:cs="Times New Roman"/>
          <w:b/>
          <w:color w:val="000000"/>
          <w:kern w:val="2"/>
          <w:sz w:val="36"/>
          <w:szCs w:val="36"/>
        </w:rPr>
      </w:pPr>
      <w:bookmarkStart w:id="430" w:name="_Toc3785"/>
      <w:bookmarkStart w:id="431" w:name="_Toc19130"/>
      <w:bookmarkStart w:id="432" w:name="_Toc3421"/>
      <w:r>
        <w:rPr>
          <w:rFonts w:hint="eastAsia" w:ascii="Times New Roman" w:hAnsi="Times New Roman" w:eastAsia="宋体" w:cs="Times New Roman"/>
          <w:b/>
          <w:color w:val="000000"/>
          <w:kern w:val="2"/>
          <w:sz w:val="36"/>
          <w:szCs w:val="36"/>
        </w:rPr>
        <w:t>柳州螺蛳粉产业学院辅修班教学管理办法（</w:t>
      </w:r>
      <w:r>
        <w:rPr>
          <w:rFonts w:hint="eastAsia" w:ascii="Times New Roman" w:hAnsi="Times New Roman" w:eastAsia="宋体" w:cs="Times New Roman"/>
          <w:b/>
          <w:color w:val="000000"/>
          <w:kern w:val="2"/>
          <w:sz w:val="36"/>
          <w:szCs w:val="36"/>
          <w:lang w:val="en-US" w:eastAsia="zh-CN"/>
        </w:rPr>
        <w:t>修订</w:t>
      </w:r>
      <w:r>
        <w:rPr>
          <w:rFonts w:hint="eastAsia" w:ascii="Times New Roman" w:hAnsi="Times New Roman" w:eastAsia="宋体" w:cs="Times New Roman"/>
          <w:b/>
          <w:color w:val="000000"/>
          <w:kern w:val="2"/>
          <w:sz w:val="36"/>
          <w:szCs w:val="36"/>
        </w:rPr>
        <w:t>）</w:t>
      </w:r>
      <w:bookmarkEnd w:id="429"/>
      <w:bookmarkEnd w:id="430"/>
      <w:bookmarkEnd w:id="431"/>
      <w:bookmarkEnd w:id="432"/>
    </w:p>
    <w:p>
      <w:pPr>
        <w:pageBreakBefore w:val="0"/>
        <w:kinsoku/>
        <w:wordWrap/>
        <w:overflowPunct/>
        <w:topLinePunct w:val="0"/>
        <w:bidi w:val="0"/>
        <w:spacing w:line="596" w:lineRule="exact"/>
        <w:jc w:val="center"/>
        <w:outlineLvl w:val="9"/>
        <w:rPr>
          <w:rFonts w:hint="eastAsia"/>
          <w:lang w:eastAsia="zh-CN"/>
        </w:rPr>
      </w:pPr>
      <w:r>
        <w:rPr>
          <w:rFonts w:hint="eastAsia" w:ascii="仿宋_GB2312" w:hAnsi="Times New Roman" w:eastAsia="仿宋_GB2312" w:cs="Times New Roman"/>
          <w:bCs/>
          <w:sz w:val="32"/>
          <w:szCs w:val="32"/>
          <w:lang w:eastAsia="zh-CN"/>
        </w:rPr>
        <w:t>（柳职院教字〔2021〕39号）</w:t>
      </w:r>
    </w:p>
    <w:p>
      <w:pPr>
        <w:pStyle w:val="5"/>
        <w:keepNext w:val="0"/>
        <w:keepLines w:val="0"/>
        <w:pageBreakBefore w:val="0"/>
        <w:widowControl w:val="0"/>
        <w:kinsoku/>
        <w:wordWrap/>
        <w:overflowPunct/>
        <w:topLinePunct w:val="0"/>
        <w:autoSpaceDE w:val="0"/>
        <w:autoSpaceDN w:val="0"/>
        <w:bidi w:val="0"/>
        <w:adjustRightInd/>
        <w:snapToGrid/>
        <w:spacing w:before="0" w:line="596" w:lineRule="exact"/>
        <w:ind w:left="148" w:right="210" w:rightChars="100" w:firstLine="638"/>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p>
    <w:p>
      <w:pPr>
        <w:pStyle w:val="5"/>
        <w:keepNext w:val="0"/>
        <w:keepLines w:val="0"/>
        <w:pageBreakBefore w:val="0"/>
        <w:widowControl w:val="0"/>
        <w:kinsoku/>
        <w:wordWrap/>
        <w:overflowPunct/>
        <w:topLinePunct w:val="0"/>
        <w:autoSpaceDE w:val="0"/>
        <w:autoSpaceDN w:val="0"/>
        <w:bidi w:val="0"/>
        <w:adjustRightInd/>
        <w:snapToGrid/>
        <w:spacing w:before="0" w:line="596" w:lineRule="exact"/>
        <w:ind w:left="148" w:right="210" w:rightChars="100" w:firstLine="638"/>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为提高学生就业技能，拓宽学生就业渠道，培养柳州螺蛳粉产业有理想信念、工匠精神、高超技艺的“素养·管理·创新”国际化复合型技术技能人才，学校推行辅修制度，开办柳州螺蛳粉产业学院辅修班（以下简称“辅修班”）。学生在学习主修专业课程的同时，可加入辅修班，辅修螺蛳粉方向课程。为规范辅修班教学管理，特制定本办法。</w:t>
      </w:r>
    </w:p>
    <w:p>
      <w:pPr>
        <w:pStyle w:val="5"/>
        <w:keepNext w:val="0"/>
        <w:keepLines w:val="0"/>
        <w:pageBreakBefore w:val="0"/>
        <w:widowControl w:val="0"/>
        <w:kinsoku/>
        <w:wordWrap/>
        <w:overflowPunct/>
        <w:topLinePunct w:val="0"/>
        <w:autoSpaceDE w:val="0"/>
        <w:autoSpaceDN w:val="0"/>
        <w:bidi w:val="0"/>
        <w:adjustRightInd/>
        <w:snapToGrid/>
        <w:spacing w:before="0" w:line="596" w:lineRule="exact"/>
        <w:ind w:left="148" w:right="210" w:rightChars="100" w:firstLine="638"/>
        <w:jc w:val="both"/>
        <w:textAlignment w:val="auto"/>
        <w:outlineLvl w:val="9"/>
        <w:rPr>
          <w:rFonts w:hint="eastAsia" w:ascii="黑体" w:hAnsi="黑体" w:eastAsia="黑体" w:cs="Times New Roman"/>
          <w:b/>
          <w:kern w:val="2"/>
          <w:sz w:val="32"/>
          <w:szCs w:val="32"/>
          <w:lang w:val="en-US" w:eastAsia="zh-CN"/>
        </w:rPr>
      </w:pPr>
      <w:r>
        <w:rPr>
          <w:rFonts w:hint="eastAsia" w:ascii="黑体" w:hAnsi="黑体" w:eastAsia="黑体" w:cs="Times New Roman"/>
          <w:b/>
          <w:kern w:val="2"/>
          <w:sz w:val="32"/>
          <w:szCs w:val="32"/>
          <w:lang w:val="en-US" w:eastAsia="zh-CN"/>
        </w:rPr>
        <w:t>一、开设螺蛳粉相关专业方向辅修班</w:t>
      </w:r>
    </w:p>
    <w:p>
      <w:pPr>
        <w:pStyle w:val="5"/>
        <w:keepNext w:val="0"/>
        <w:keepLines w:val="0"/>
        <w:pageBreakBefore w:val="0"/>
        <w:widowControl w:val="0"/>
        <w:kinsoku/>
        <w:wordWrap/>
        <w:overflowPunct/>
        <w:topLinePunct w:val="0"/>
        <w:autoSpaceDE w:val="0"/>
        <w:autoSpaceDN w:val="0"/>
        <w:bidi w:val="0"/>
        <w:adjustRightInd/>
        <w:snapToGrid/>
        <w:spacing w:before="0" w:line="596" w:lineRule="exact"/>
        <w:ind w:left="148" w:right="210" w:rightChars="100" w:firstLine="638"/>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开设七个专业方向的螺蛳粉辅修班，后期根据实际情况进行增减。七个辅修班专业方向为：绿色食品生产技术（螺蛳粉方向）、食品检验检测技术（螺蛳粉方向）、机电设备技术（螺蛳粉方向）、广告设计与制作（螺蛳粉方向）、市场营销（螺蛳粉方向）、连锁经营与管理（螺蛳粉方向）、电子商务（螺蛳粉方向）。</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line="596" w:lineRule="exact"/>
        <w:ind w:left="786" w:leftChars="0" w:right="210" w:rightChars="1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黑体" w:hAnsi="黑体" w:eastAsia="黑体" w:cs="Times New Roman"/>
          <w:b/>
          <w:kern w:val="2"/>
          <w:sz w:val="32"/>
          <w:szCs w:val="32"/>
          <w:lang w:val="en-US" w:eastAsia="zh-CN"/>
        </w:rPr>
        <w:t>二、学分与课程设置</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96" w:lineRule="exact"/>
        <w:ind w:right="0" w:rightChars="0" w:firstLine="640" w:firstLineChars="2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（一）辅修班实行学分制管理。总学分为 24 分。学生修读辅修方向课程取得的学分可以计入主修专业毕业要求的公共选修课或专业选修课学分。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96" w:lineRule="exact"/>
        <w:ind w:right="0" w:rightChars="0" w:firstLine="640" w:firstLineChars="2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（二）开设辅修班的二级学院应依据柳州螺蛳粉产业人才需求，制定符合人才培养要求的辅修班教学计划，经教务与实训管理处会同柳州螺蛳粉产业学院审核后实施。</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（三）辅修班课程由通识课程、专业特色课程和综合实践课程三部分组成。</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（四）辅修班课程与其他专业课程同质要求，同质管理。</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三、申请与录取</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（一）符合下列条件的学生，可申请修读辅修班：</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1.具有我校学籍的全日制在校大一、大二的学生；</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2.符合开设辅修班的二级学院要求的其他申请条件；</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3.学有余力，能够在完成主修专业的同时开展辅修班课程学习。</w:t>
      </w:r>
    </w:p>
    <w:p>
      <w:pPr>
        <w:pStyle w:val="19"/>
        <w:keepNext w:val="0"/>
        <w:keepLines w:val="0"/>
        <w:pageBreakBefore w:val="0"/>
        <w:widowControl w:val="0"/>
        <w:numPr>
          <w:ilvl w:val="0"/>
          <w:numId w:val="0"/>
        </w:numPr>
        <w:tabs>
          <w:tab w:val="left" w:pos="158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（二）每位学生在校期间限选1个辅修班且与主修专业不同。</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（三）市场营销（螺蛳粉方向）、连锁经营与管理（螺蛳粉方向）、电子商务（螺蛳粉方向）三个专业可跨校区选择辅修班，其余不可跨校区选择辅修班。</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（四）每年12月启动辅修班招生工作，开设辅修班的二级学院根据教学资源等情况制定招生计划，报柳州螺蛳粉产业学院审批。审批结果报教务与实训管理处备案。</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both"/>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（五）开设辅修班的二级学院对申请修读辅修班的学生进行资格审查，根据招生计划择优录取，报教务与实训管理处、柳州螺蛳粉产业学院备案。</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both"/>
        <w:textAlignment w:val="auto"/>
        <w:outlineLvl w:val="9"/>
        <w:rPr>
          <w:rFonts w:hint="eastAsia"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四、教学管理</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（一）辅修班的教学管理工作按照学校教学管理相关规定要求执行。</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（二）修读辅修班课程的学生应在学校选课通知规定的时间内，按照辅修教学计划和辅修班开设二级学院的要求选课。</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（三）辅修班学习形式为线上与线下学习相结合，线下学习时间安排在教学周周日或寒暑假。</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（四）辅修班课程和主修专业课程上课时间冲突时，学生应当首先保证主修专业课程的学习。</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（五）学生辅修课程成绩单独计入辅修成绩单。放弃修读或未完成辅修班学习的学生，其已修读合格的课程学分，学生可向所在二级学院提出申请，替代公共选修课或专业选修课学分。</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（六）辅修课程的考核与成绩记载参照《柳州职业技术学院学生学籍管理规定》执行，辅修专业课程考核不合格的学生，需重修，直到所有课程合格后，方能取得辅修班证书。</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（七）学生毕业或结业时未修满辅修班要求的课程学分，其所修课程的成绩和学分仍保留在本人成绩单中，课程性质可由学生提出申请，由学生所在二级学院认定调整。</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五、辅修班毕业资格审定</w:t>
      </w:r>
    </w:p>
    <w:p>
      <w:pPr>
        <w:pStyle w:val="19"/>
        <w:keepNext w:val="0"/>
        <w:keepLines w:val="0"/>
        <w:pageBreakBefore w:val="0"/>
        <w:widowControl w:val="0"/>
        <w:numPr>
          <w:ilvl w:val="0"/>
          <w:numId w:val="0"/>
        </w:numPr>
        <w:tabs>
          <w:tab w:val="left" w:pos="1109"/>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（一）学生应在主修专业学制规定的学习年限内完成辅修课程的学习。</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（二）学生获得主修专业毕业证书的同时，修完辅修班教学计划规定的课程，成绩合格的，可获得学校颁发的辅修班结业证书。未能获得主修专业毕业证书者，不单独颁发辅修班结业证书。</w:t>
      </w:r>
    </w:p>
    <w:p>
      <w:pPr>
        <w:pStyle w:val="5"/>
        <w:keepNext w:val="0"/>
        <w:keepLines w:val="0"/>
        <w:pageBreakBefore w:val="0"/>
        <w:widowControl w:val="0"/>
        <w:kinsoku/>
        <w:wordWrap/>
        <w:overflowPunct/>
        <w:topLinePunct w:val="0"/>
        <w:autoSpaceDE w:val="0"/>
        <w:autoSpaceDN w:val="0"/>
        <w:bidi w:val="0"/>
        <w:adjustRightInd/>
        <w:snapToGrid/>
        <w:spacing w:before="0" w:line="596" w:lineRule="exact"/>
        <w:ind w:right="210" w:rightChars="100" w:firstLine="640" w:firstLineChars="200"/>
        <w:textAlignment w:val="auto"/>
        <w:outlineLvl w:val="9"/>
        <w:rPr>
          <w:rFonts w:hint="default"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结业证书样式：</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mc:AlternateContent>
          <mc:Choice Requires="wps">
            <w:drawing>
              <wp:anchor distT="0" distB="0" distL="114300" distR="114300" simplePos="0" relativeHeight="251774976" behindDoc="1" locked="0" layoutInCell="1" allowOverlap="1">
                <wp:simplePos x="0" y="0"/>
                <wp:positionH relativeFrom="column">
                  <wp:posOffset>495935</wp:posOffset>
                </wp:positionH>
                <wp:positionV relativeFrom="paragraph">
                  <wp:posOffset>146685</wp:posOffset>
                </wp:positionV>
                <wp:extent cx="4803775" cy="1299210"/>
                <wp:effectExtent l="0" t="0" r="0" b="0"/>
                <wp:wrapTopAndBottom/>
                <wp:docPr id="18" name="文本框 18"/>
                <wp:cNvGraphicFramePr/>
                <a:graphic xmlns:a="http://schemas.openxmlformats.org/drawingml/2006/main">
                  <a:graphicData uri="http://schemas.microsoft.com/office/word/2010/wordprocessingShape">
                    <wps:wsp>
                      <wps:cNvSpPr txBox="1"/>
                      <wps:spPr>
                        <a:xfrm>
                          <a:off x="1410335" y="1741805"/>
                          <a:ext cx="4803775" cy="1299210"/>
                        </a:xfrm>
                        <a:prstGeom prst="rect">
                          <a:avLst/>
                        </a:prstGeom>
                        <a:noFill/>
                        <a:ln>
                          <a:noFill/>
                        </a:ln>
                        <a:effectLst/>
                      </wps:spPr>
                      <wps:txbx>
                        <w:txbxContent>
                          <w:p>
                            <w:pPr>
                              <w:spacing w:before="221"/>
                              <w:ind w:left="159" w:right="0" w:firstLine="0"/>
                              <w:jc w:val="left"/>
                              <w:rPr>
                                <w:rFonts w:hint="eastAsia" w:ascii="仿宋" w:eastAsia="仿宋"/>
                                <w:sz w:val="28"/>
                              </w:rPr>
                            </w:pPr>
                            <w:r>
                              <w:rPr>
                                <w:rFonts w:hint="eastAsia" w:ascii="仿宋" w:eastAsia="仿宋"/>
                                <w:sz w:val="28"/>
                              </w:rPr>
                              <w:t>学生***，性别**，*年*月*日生，于*年*月至*年*月在本校</w:t>
                            </w:r>
                          </w:p>
                          <w:p>
                            <w:pPr>
                              <w:spacing w:before="4" w:line="620" w:lineRule="atLeast"/>
                              <w:ind w:left="159" w:right="155" w:firstLine="0"/>
                              <w:jc w:val="left"/>
                              <w:rPr>
                                <w:rFonts w:hint="eastAsia" w:ascii="仿宋" w:eastAsia="仿宋"/>
                                <w:sz w:val="28"/>
                              </w:rPr>
                            </w:pPr>
                            <w:r>
                              <w:rPr>
                                <w:rFonts w:hint="eastAsia" w:ascii="仿宋" w:eastAsia="仿宋"/>
                                <w:spacing w:val="-1"/>
                                <w:sz w:val="28"/>
                              </w:rPr>
                              <w:t>*</w:t>
                            </w:r>
                            <w:r>
                              <w:rPr>
                                <w:rFonts w:hint="eastAsia" w:ascii="仿宋" w:eastAsia="仿宋"/>
                                <w:spacing w:val="-5"/>
                                <w:sz w:val="28"/>
                              </w:rPr>
                              <w:t>专业学习期间，辅修**（</w:t>
                            </w:r>
                            <w:r>
                              <w:rPr>
                                <w:rFonts w:hint="eastAsia" w:ascii="仿宋" w:eastAsia="仿宋"/>
                                <w:spacing w:val="-3"/>
                                <w:sz w:val="28"/>
                              </w:rPr>
                              <w:t>螺蛳粉方向</w:t>
                            </w:r>
                            <w:r>
                              <w:rPr>
                                <w:rFonts w:hint="eastAsia" w:ascii="仿宋" w:eastAsia="仿宋"/>
                                <w:spacing w:val="-3"/>
                                <w:sz w:val="28"/>
                                <w:lang w:eastAsia="zh-CN"/>
                              </w:rPr>
                              <w:t>）</w:t>
                            </w:r>
                            <w:r>
                              <w:rPr>
                                <w:rFonts w:hint="eastAsia" w:ascii="仿宋" w:eastAsia="仿宋"/>
                                <w:spacing w:val="-4"/>
                                <w:sz w:val="28"/>
                              </w:rPr>
                              <w:t>满该方向规定学</w:t>
                            </w:r>
                            <w:r>
                              <w:rPr>
                                <w:rFonts w:hint="eastAsia" w:ascii="仿宋" w:eastAsia="仿宋"/>
                                <w:spacing w:val="-3"/>
                                <w:sz w:val="28"/>
                              </w:rPr>
                              <w:t>分，考试成绩合格，准予结业，特发此证。</w:t>
                            </w:r>
                          </w:p>
                        </w:txbxContent>
                      </wps:txbx>
                      <wps:bodyPr lIns="0" tIns="0" rIns="0" bIns="0" upright="1"/>
                    </wps:wsp>
                  </a:graphicData>
                </a:graphic>
              </wp:anchor>
            </w:drawing>
          </mc:Choice>
          <mc:Fallback>
            <w:pict>
              <v:shape id="_x0000_s1026" o:spid="_x0000_s1026" o:spt="202" type="#_x0000_t202" style="position:absolute;left:0pt;margin-left:39.05pt;margin-top:11.55pt;height:102.3pt;width:378.25pt;mso-wrap-distance-bottom:0pt;mso-wrap-distance-top:0pt;z-index:-251541504;mso-width-relative:page;mso-height-relative:page;" filled="f" stroked="f" coordsize="21600,21600" o:gfxdata="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YS&#10;oPPZAAAACQEAAA8AAAAAAAAAAQAgAAAAIgAAAGRycy9kb3ducmV2LnhtbFBLAQIUABQAAAAIAIdO&#10;4kBWFwjDsAEAAEEDAAAOAAAAAAAAAAEAIAAAACgBAABkcnMvZTJvRG9jLnhtbFBLBQYAAAAABgAG&#10;AFkBAABKBQAAAAA=&#10;">
                <v:fill on="f" focussize="0,0"/>
                <v:stroke on="f"/>
                <v:imagedata o:title=""/>
                <o:lock v:ext="edit" aspectratio="f"/>
                <v:textbox inset="0mm,0mm,0mm,0mm">
                  <w:txbxContent>
                    <w:p>
                      <w:pPr>
                        <w:spacing w:before="221"/>
                        <w:ind w:left="159" w:right="0" w:firstLine="0"/>
                        <w:jc w:val="left"/>
                        <w:rPr>
                          <w:rFonts w:hint="eastAsia" w:ascii="仿宋" w:eastAsia="仿宋"/>
                          <w:sz w:val="28"/>
                        </w:rPr>
                      </w:pPr>
                      <w:r>
                        <w:rPr>
                          <w:rFonts w:hint="eastAsia" w:ascii="仿宋" w:eastAsia="仿宋"/>
                          <w:sz w:val="28"/>
                        </w:rPr>
                        <w:t>学生***，性别**，*年*月*日生，于*年*月至*年*月在本校</w:t>
                      </w:r>
                    </w:p>
                    <w:p>
                      <w:pPr>
                        <w:spacing w:before="4" w:line="620" w:lineRule="atLeast"/>
                        <w:ind w:left="159" w:right="155" w:firstLine="0"/>
                        <w:jc w:val="left"/>
                        <w:rPr>
                          <w:rFonts w:hint="eastAsia" w:ascii="仿宋" w:eastAsia="仿宋"/>
                          <w:sz w:val="28"/>
                        </w:rPr>
                      </w:pPr>
                      <w:r>
                        <w:rPr>
                          <w:rFonts w:hint="eastAsia" w:ascii="仿宋" w:eastAsia="仿宋"/>
                          <w:spacing w:val="-1"/>
                          <w:sz w:val="28"/>
                        </w:rPr>
                        <w:t>*</w:t>
                      </w:r>
                      <w:r>
                        <w:rPr>
                          <w:rFonts w:hint="eastAsia" w:ascii="仿宋" w:eastAsia="仿宋"/>
                          <w:spacing w:val="-5"/>
                          <w:sz w:val="28"/>
                        </w:rPr>
                        <w:t>专业学习期间，辅修**（</w:t>
                      </w:r>
                      <w:r>
                        <w:rPr>
                          <w:rFonts w:hint="eastAsia" w:ascii="仿宋" w:eastAsia="仿宋"/>
                          <w:spacing w:val="-3"/>
                          <w:sz w:val="28"/>
                        </w:rPr>
                        <w:t>螺蛳粉方向</w:t>
                      </w:r>
                      <w:r>
                        <w:rPr>
                          <w:rFonts w:hint="eastAsia" w:ascii="仿宋" w:eastAsia="仿宋"/>
                          <w:spacing w:val="-3"/>
                          <w:sz w:val="28"/>
                          <w:lang w:eastAsia="zh-CN"/>
                        </w:rPr>
                        <w:t>）</w:t>
                      </w:r>
                      <w:r>
                        <w:rPr>
                          <w:rFonts w:hint="eastAsia" w:ascii="仿宋" w:eastAsia="仿宋"/>
                          <w:spacing w:val="-4"/>
                          <w:sz w:val="28"/>
                        </w:rPr>
                        <w:t>满该方向规定学</w:t>
                      </w:r>
                      <w:r>
                        <w:rPr>
                          <w:rFonts w:hint="eastAsia" w:ascii="仿宋" w:eastAsia="仿宋"/>
                          <w:spacing w:val="-3"/>
                          <w:sz w:val="28"/>
                        </w:rPr>
                        <w:t>分，考试成绩合格，准予结业，特发此证。</w:t>
                      </w:r>
                    </w:p>
                  </w:txbxContent>
                </v:textbox>
                <w10:wrap type="topAndBottom"/>
              </v:shape>
            </w:pict>
          </mc:Fallback>
        </mc:AlternateContent>
      </w:r>
      <w:r>
        <w:rPr>
          <w:rFonts w:hint="eastAsia" w:ascii="仿宋_GB2312" w:hAnsi="Times New Roman" w:eastAsia="仿宋_GB2312" w:cs="Times New Roman"/>
          <w:color w:val="auto"/>
          <w:kern w:val="2"/>
          <w:sz w:val="32"/>
          <w:szCs w:val="32"/>
          <w:highlight w:val="none"/>
          <w:lang w:val="en-US" w:eastAsia="zh-CN" w:bidi="ar-SA"/>
        </w:rPr>
        <mc:AlternateContent>
          <mc:Choice Requires="wps">
            <w:drawing>
              <wp:anchor distT="0" distB="0" distL="114300" distR="114300" simplePos="0" relativeHeight="251773952" behindDoc="1" locked="0" layoutInCell="1" allowOverlap="1">
                <wp:simplePos x="0" y="0"/>
                <wp:positionH relativeFrom="column">
                  <wp:posOffset>495935</wp:posOffset>
                </wp:positionH>
                <wp:positionV relativeFrom="paragraph">
                  <wp:posOffset>100965</wp:posOffset>
                </wp:positionV>
                <wp:extent cx="4803775" cy="1299210"/>
                <wp:effectExtent l="0" t="0" r="15875" b="15240"/>
                <wp:wrapTopAndBottom/>
                <wp:docPr id="17" name="任意多边形 17"/>
                <wp:cNvGraphicFramePr/>
                <a:graphic xmlns:a="http://schemas.openxmlformats.org/drawingml/2006/main">
                  <a:graphicData uri="http://schemas.microsoft.com/office/word/2010/wordprocessingShape">
                    <wps:wsp>
                      <wps:cNvSpPr/>
                      <wps:spPr>
                        <a:xfrm>
                          <a:off x="1410335" y="1757045"/>
                          <a:ext cx="4803775" cy="1299210"/>
                        </a:xfrm>
                        <a:custGeom>
                          <a:avLst/>
                          <a:gdLst/>
                          <a:ahLst/>
                          <a:cxnLst/>
                          <a:pathLst>
                            <a:path w="7565" h="2046">
                              <a:moveTo>
                                <a:pt x="7565" y="2046"/>
                              </a:moveTo>
                              <a:lnTo>
                                <a:pt x="0" y="2046"/>
                              </a:lnTo>
                              <a:lnTo>
                                <a:pt x="0" y="0"/>
                              </a:lnTo>
                              <a:lnTo>
                                <a:pt x="7565" y="0"/>
                              </a:lnTo>
                              <a:lnTo>
                                <a:pt x="7565" y="7"/>
                              </a:lnTo>
                              <a:lnTo>
                                <a:pt x="15" y="7"/>
                              </a:lnTo>
                              <a:lnTo>
                                <a:pt x="8" y="15"/>
                              </a:lnTo>
                              <a:lnTo>
                                <a:pt x="15" y="15"/>
                              </a:lnTo>
                              <a:lnTo>
                                <a:pt x="15" y="2031"/>
                              </a:lnTo>
                              <a:lnTo>
                                <a:pt x="8" y="2031"/>
                              </a:lnTo>
                              <a:lnTo>
                                <a:pt x="15" y="2038"/>
                              </a:lnTo>
                              <a:lnTo>
                                <a:pt x="7565" y="2038"/>
                              </a:lnTo>
                              <a:lnTo>
                                <a:pt x="7565" y="2046"/>
                              </a:lnTo>
                              <a:close/>
                              <a:moveTo>
                                <a:pt x="15" y="15"/>
                              </a:moveTo>
                              <a:lnTo>
                                <a:pt x="8" y="15"/>
                              </a:lnTo>
                              <a:lnTo>
                                <a:pt x="15" y="7"/>
                              </a:lnTo>
                              <a:lnTo>
                                <a:pt x="15" y="15"/>
                              </a:lnTo>
                              <a:close/>
                              <a:moveTo>
                                <a:pt x="7550" y="15"/>
                              </a:moveTo>
                              <a:lnTo>
                                <a:pt x="15" y="15"/>
                              </a:lnTo>
                              <a:lnTo>
                                <a:pt x="15" y="7"/>
                              </a:lnTo>
                              <a:lnTo>
                                <a:pt x="7550" y="7"/>
                              </a:lnTo>
                              <a:lnTo>
                                <a:pt x="7550" y="15"/>
                              </a:lnTo>
                              <a:close/>
                              <a:moveTo>
                                <a:pt x="7550" y="2038"/>
                              </a:moveTo>
                              <a:lnTo>
                                <a:pt x="7550" y="7"/>
                              </a:lnTo>
                              <a:lnTo>
                                <a:pt x="7558" y="15"/>
                              </a:lnTo>
                              <a:lnTo>
                                <a:pt x="7565" y="15"/>
                              </a:lnTo>
                              <a:lnTo>
                                <a:pt x="7565" y="2031"/>
                              </a:lnTo>
                              <a:lnTo>
                                <a:pt x="7558" y="2031"/>
                              </a:lnTo>
                              <a:lnTo>
                                <a:pt x="7550" y="2038"/>
                              </a:lnTo>
                              <a:close/>
                              <a:moveTo>
                                <a:pt x="7565" y="15"/>
                              </a:moveTo>
                              <a:lnTo>
                                <a:pt x="7558" y="15"/>
                              </a:lnTo>
                              <a:lnTo>
                                <a:pt x="7550" y="7"/>
                              </a:lnTo>
                              <a:lnTo>
                                <a:pt x="7565" y="7"/>
                              </a:lnTo>
                              <a:lnTo>
                                <a:pt x="7565" y="15"/>
                              </a:lnTo>
                              <a:close/>
                              <a:moveTo>
                                <a:pt x="15" y="2038"/>
                              </a:moveTo>
                              <a:lnTo>
                                <a:pt x="8" y="2031"/>
                              </a:lnTo>
                              <a:lnTo>
                                <a:pt x="15" y="2031"/>
                              </a:lnTo>
                              <a:lnTo>
                                <a:pt x="15" y="2038"/>
                              </a:lnTo>
                              <a:close/>
                              <a:moveTo>
                                <a:pt x="7550" y="2038"/>
                              </a:moveTo>
                              <a:lnTo>
                                <a:pt x="15" y="2038"/>
                              </a:lnTo>
                              <a:lnTo>
                                <a:pt x="15" y="2031"/>
                              </a:lnTo>
                              <a:lnTo>
                                <a:pt x="7550" y="2031"/>
                              </a:lnTo>
                              <a:lnTo>
                                <a:pt x="7550" y="2038"/>
                              </a:lnTo>
                              <a:close/>
                              <a:moveTo>
                                <a:pt x="7565" y="2038"/>
                              </a:moveTo>
                              <a:lnTo>
                                <a:pt x="7550" y="2038"/>
                              </a:lnTo>
                              <a:lnTo>
                                <a:pt x="7558" y="2031"/>
                              </a:lnTo>
                              <a:lnTo>
                                <a:pt x="7565" y="2031"/>
                              </a:lnTo>
                              <a:lnTo>
                                <a:pt x="7565" y="2038"/>
                              </a:lnTo>
                              <a:close/>
                            </a:path>
                          </a:pathLst>
                        </a:custGeom>
                        <a:solidFill>
                          <a:srgbClr val="000000"/>
                        </a:solidFill>
                        <a:ln>
                          <a:noFill/>
                        </a:ln>
                        <a:effectLst/>
                      </wps:spPr>
                      <wps:txbx>
                        <w:txbxContent>
                          <w:p>
                            <w:pPr>
                              <w:jc w:val="center"/>
                            </w:pPr>
                          </w:p>
                        </w:txbxContent>
                      </wps:txbx>
                      <wps:bodyPr upright="1"/>
                    </wps:wsp>
                  </a:graphicData>
                </a:graphic>
              </wp:anchor>
            </w:drawing>
          </mc:Choice>
          <mc:Fallback>
            <w:pict>
              <v:shape id="_x0000_s1026" o:spid="_x0000_s1026" o:spt="100" style="position:absolute;left:0pt;margin-left:39.05pt;margin-top:7.95pt;height:102.3pt;width:378.25pt;mso-wrap-distance-bottom:0pt;mso-wrap-distance-top:0pt;z-index:-251542528;mso-width-relative:page;mso-height-relative:page;" fillcolor="#000000" filled="t" stroked="f" coordsize="7565,2046" o:gfxdata="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GTBPuPX&#10;AAAACQEAAA8AAAAAAAAAAQAgAAAAIgAAAGRycy9kb3ducmV2LnhtbFBLAQIUABQAAAAIAIdO4kA6&#10;2bVrBQMAAHkLAAAOAAAAAAAAAAEAIAAAACYBAABkcnMvZTJvRG9jLnhtbFBLBQYAAAAABgAGAFkB&#10;AACdBgAAAAA=&#10;" path="m7565,2046l0,2046,0,0,7565,0,7565,7,15,7,8,15,15,15,15,2031,8,2031,15,2038,7565,2038,7565,2046xm15,15l8,15,15,7,15,15xm7550,15l15,15,15,7,7550,7,7550,15xm7550,2038l7550,7,7558,15,7565,15,7565,2031,7558,2031,7550,2038xm7565,15l7558,15,7550,7,7565,7,7565,15xm15,2038l8,2031,15,2031,15,2038xm7550,2038l15,2038,15,2031,7550,2031,7550,2038xm7565,2038l7550,2038,7558,2031,7565,2031,7565,2038xe">
                <v:path textboxrect="0,0,7565,2046"/>
                <v:fill on="t" focussize="0,0"/>
                <v:stroke on="f"/>
                <v:imagedata o:title=""/>
                <o:lock v:ext="edit" aspectratio="f"/>
                <v:textbox>
                  <w:txbxContent>
                    <w:p>
                      <w:pPr>
                        <w:jc w:val="center"/>
                      </w:pPr>
                    </w:p>
                  </w:txbxContent>
                </v:textbox>
                <w10:wrap type="topAndBottom"/>
              </v:shape>
            </w:pict>
          </mc:Fallback>
        </mc:AlternateContent>
      </w:r>
      <w:r>
        <w:rPr>
          <w:rFonts w:hint="eastAsia" w:ascii="仿宋_GB2312" w:hAnsi="Times New Roman" w:eastAsia="仿宋_GB2312" w:cs="Times New Roman"/>
          <w:color w:val="auto"/>
          <w:kern w:val="2"/>
          <w:sz w:val="32"/>
          <w:szCs w:val="32"/>
          <w:highlight w:val="none"/>
          <w:lang w:val="en-US" w:eastAsia="zh-CN" w:bidi="ar-SA"/>
        </w:rPr>
        <w:t>（三）学生主修学业结束，无论毕业或结业离校，辅修班学习相应终止。</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（四）辅修班结业证书申报工作由开设辅修班方向的二级学院负责，与应届毕业生毕业审查工作分段进行，柳州螺蛳粉产业学院提交结业学生名单至教务与实训管理处，学校进行备案发证。</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六、辅修费用</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学生获得辅修资格后，免收辅修学习费用。</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黑体" w:hAnsi="黑体" w:eastAsia="黑体" w:cs="Times New Roman"/>
          <w:b/>
          <w:bCs w:val="0"/>
          <w:kern w:val="2"/>
          <w:sz w:val="32"/>
          <w:szCs w:val="32"/>
          <w:lang w:val="en-US" w:eastAsia="zh-CN" w:bidi="ar-SA"/>
        </w:rPr>
      </w:pPr>
      <w:r>
        <w:rPr>
          <w:rFonts w:hint="eastAsia" w:ascii="黑体" w:hAnsi="黑体" w:eastAsia="黑体" w:cs="Times New Roman"/>
          <w:b/>
          <w:bCs w:val="0"/>
          <w:kern w:val="2"/>
          <w:sz w:val="32"/>
          <w:szCs w:val="32"/>
          <w:lang w:val="en-US" w:eastAsia="zh-CN" w:bidi="ar-SA"/>
        </w:rPr>
        <w:t>七、附则</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（一）本办法自发布之日起执行。</w:t>
      </w:r>
    </w:p>
    <w:p>
      <w:pPr>
        <w:pStyle w:val="19"/>
        <w:keepNext w:val="0"/>
        <w:keepLines w:val="0"/>
        <w:pageBreakBefore w:val="0"/>
        <w:widowControl w:val="0"/>
        <w:numPr>
          <w:ilvl w:val="0"/>
          <w:numId w:val="0"/>
        </w:numPr>
        <w:tabs>
          <w:tab w:val="left" w:pos="1268"/>
        </w:tabs>
        <w:kinsoku/>
        <w:wordWrap/>
        <w:overflowPunct/>
        <w:topLinePunct w:val="0"/>
        <w:autoSpaceDE w:val="0"/>
        <w:autoSpaceDN w:val="0"/>
        <w:bidi w:val="0"/>
        <w:adjustRightInd/>
        <w:snapToGrid/>
        <w:spacing w:before="0" w:after="0" w:line="596" w:lineRule="exact"/>
        <w:ind w:right="210" w:rightChars="100" w:firstLine="640" w:firstLineChars="200"/>
        <w:jc w:val="left"/>
        <w:textAlignment w:val="auto"/>
        <w:outlineLvl w:val="9"/>
        <w:rPr>
          <w:rFonts w:hint="eastAsia"/>
        </w:rPr>
      </w:pPr>
      <w:r>
        <w:rPr>
          <w:rFonts w:hint="eastAsia" w:ascii="仿宋_GB2312" w:hAnsi="Times New Roman" w:eastAsia="仿宋_GB2312" w:cs="Times New Roman"/>
          <w:color w:val="auto"/>
          <w:kern w:val="2"/>
          <w:sz w:val="32"/>
          <w:szCs w:val="32"/>
          <w:highlight w:val="none"/>
          <w:lang w:val="en-US" w:eastAsia="zh-CN" w:bidi="ar-SA"/>
        </w:rPr>
        <w:t>（二）由教务与实训管理处、柳州螺蛳粉产业学院负责解释。</w:t>
      </w:r>
    </w:p>
    <w:p>
      <w:pPr>
        <w:pageBreakBefore w:val="0"/>
        <w:kinsoku/>
        <w:wordWrap/>
        <w:overflowPunct/>
        <w:topLinePunct w:val="0"/>
        <w:bidi w:val="0"/>
        <w:spacing w:line="596" w:lineRule="exact"/>
        <w:jc w:val="center"/>
        <w:outlineLvl w:val="9"/>
        <w:rPr>
          <w:rFonts w:hint="eastAsia"/>
          <w:b/>
          <w:color w:val="000000"/>
          <w:sz w:val="36"/>
          <w:szCs w:val="36"/>
        </w:rPr>
      </w:pPr>
    </w:p>
    <w:p>
      <w:pPr>
        <w:pageBreakBefore w:val="0"/>
        <w:kinsoku/>
        <w:wordWrap/>
        <w:overflowPunct/>
        <w:topLinePunct w:val="0"/>
        <w:bidi w:val="0"/>
        <w:outlineLvl w:val="9"/>
        <w:rPr>
          <w:rFonts w:hint="eastAsia"/>
          <w:b/>
          <w:color w:val="000000"/>
          <w:sz w:val="36"/>
          <w:szCs w:val="36"/>
        </w:rPr>
      </w:pPr>
      <w:r>
        <w:rPr>
          <w:rFonts w:hint="eastAsia"/>
          <w:b/>
          <w:color w:val="000000"/>
          <w:sz w:val="36"/>
          <w:szCs w:val="36"/>
        </w:rPr>
        <w:br w:type="page"/>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ascii="Calibri" w:hAnsi="Calibri"/>
          <w:b/>
          <w:sz w:val="36"/>
          <w:szCs w:val="36"/>
        </w:rPr>
      </w:pPr>
      <w:bookmarkStart w:id="433" w:name="_Toc4166"/>
      <w:bookmarkStart w:id="434" w:name="_Toc20021"/>
      <w:bookmarkStart w:id="435" w:name="_Toc13455"/>
      <w:r>
        <w:rPr>
          <w:rFonts w:hint="eastAsia" w:ascii="Calibri" w:hAnsi="Calibri"/>
          <w:b/>
          <w:sz w:val="36"/>
          <w:szCs w:val="36"/>
        </w:rPr>
        <w:t>柳州职业技术学院新生录取通知书寄递管理制度</w:t>
      </w:r>
      <w:bookmarkEnd w:id="433"/>
      <w:bookmarkEnd w:id="434"/>
      <w:bookmarkEnd w:id="435"/>
    </w:p>
    <w:p>
      <w:pPr>
        <w:pageBreakBefore w:val="0"/>
        <w:kinsoku/>
        <w:wordWrap/>
        <w:overflowPunct/>
        <w:topLinePunct w:val="0"/>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柳职院字〔2020〕27 号</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ascii="仿宋_GB2312" w:hAnsi="Calibri" w:eastAsia="仿宋_GB2312" w:cs="仿宋"/>
          <w:kern w:val="0"/>
          <w:sz w:val="32"/>
          <w:szCs w:val="32"/>
        </w:rPr>
        <w:t>为深入贯彻落实习近平总书记关于做好</w:t>
      </w:r>
      <w:r>
        <w:rPr>
          <w:rFonts w:hint="eastAsia" w:ascii="仿宋_GB2312" w:hAnsi="Calibri" w:eastAsia="仿宋_GB2312" w:cs="仿宋"/>
          <w:kern w:val="0"/>
          <w:sz w:val="32"/>
          <w:szCs w:val="32"/>
        </w:rPr>
        <w:t>2</w:t>
      </w:r>
      <w:r>
        <w:rPr>
          <w:rFonts w:ascii="仿宋_GB2312" w:hAnsi="Calibri" w:eastAsia="仿宋_GB2312" w:cs="仿宋"/>
          <w:kern w:val="0"/>
          <w:sz w:val="32"/>
          <w:szCs w:val="32"/>
        </w:rPr>
        <w:t>020</w:t>
      </w:r>
      <w:r>
        <w:rPr>
          <w:rFonts w:hint="eastAsia" w:ascii="仿宋_GB2312" w:hAnsi="Calibri" w:eastAsia="仿宋_GB2312" w:cs="仿宋"/>
          <w:kern w:val="0"/>
          <w:sz w:val="32"/>
          <w:szCs w:val="32"/>
        </w:rPr>
        <w:t>年</w:t>
      </w:r>
      <w:r>
        <w:rPr>
          <w:rFonts w:ascii="仿宋_GB2312" w:hAnsi="Calibri" w:eastAsia="仿宋_GB2312" w:cs="仿宋"/>
          <w:kern w:val="0"/>
          <w:sz w:val="32"/>
          <w:szCs w:val="32"/>
        </w:rPr>
        <w:t>高考工作的重要指示批示精神，切实维护好新生合法权益，</w:t>
      </w:r>
      <w:r>
        <w:rPr>
          <w:rFonts w:hint="eastAsia" w:ascii="仿宋_GB2312" w:hAnsi="Calibri" w:eastAsia="仿宋_GB2312" w:cs="仿宋"/>
          <w:kern w:val="0"/>
          <w:sz w:val="32"/>
          <w:szCs w:val="32"/>
        </w:rPr>
        <w:t>根据《教育部办公厅 国家邮政局办公室关于进一步做好2</w:t>
      </w:r>
      <w:r>
        <w:rPr>
          <w:rFonts w:ascii="仿宋_GB2312" w:hAnsi="Calibri" w:eastAsia="仿宋_GB2312" w:cs="仿宋"/>
          <w:kern w:val="0"/>
          <w:sz w:val="32"/>
          <w:szCs w:val="32"/>
        </w:rPr>
        <w:t>020</w:t>
      </w:r>
      <w:r>
        <w:rPr>
          <w:rFonts w:hint="eastAsia" w:ascii="仿宋_GB2312" w:hAnsi="Calibri" w:eastAsia="仿宋_GB2312" w:cs="仿宋"/>
          <w:kern w:val="0"/>
          <w:sz w:val="32"/>
          <w:szCs w:val="32"/>
        </w:rPr>
        <w:t>年高校录取通知书寄递工作的通知》（教学厅函〔</w:t>
      </w:r>
      <w:r>
        <w:rPr>
          <w:rFonts w:ascii="仿宋_GB2312" w:hAnsi="Calibri" w:eastAsia="仿宋_GB2312" w:cs="仿宋"/>
          <w:kern w:val="0"/>
          <w:sz w:val="32"/>
          <w:szCs w:val="32"/>
        </w:rPr>
        <w:t>2020</w:t>
      </w:r>
      <w:r>
        <w:rPr>
          <w:rFonts w:hint="eastAsia" w:ascii="仿宋_GB2312" w:hAnsi="Calibri" w:eastAsia="仿宋_GB2312" w:cs="仿宋"/>
          <w:kern w:val="0"/>
          <w:sz w:val="32"/>
          <w:szCs w:val="32"/>
        </w:rPr>
        <w:t>〕</w:t>
      </w:r>
      <w:r>
        <w:rPr>
          <w:rFonts w:ascii="仿宋_GB2312" w:hAnsi="Calibri" w:eastAsia="仿宋_GB2312" w:cs="仿宋"/>
          <w:kern w:val="0"/>
          <w:sz w:val="32"/>
          <w:szCs w:val="32"/>
        </w:rPr>
        <w:t>23</w:t>
      </w:r>
      <w:r>
        <w:rPr>
          <w:rFonts w:hint="eastAsia" w:ascii="仿宋_GB2312" w:hAnsi="Calibri" w:eastAsia="仿宋_GB2312" w:cs="仿宋"/>
          <w:kern w:val="0"/>
          <w:sz w:val="32"/>
          <w:szCs w:val="32"/>
        </w:rPr>
        <w:t>号）以及《自治区教育厅办公室转发关于进一步做好2020年高校录取通知书寄递工作的通知》（桂教办〔2020〕291号）文件精神，进一步规范学校招生录取工作，加强录取通知书寄递及监控管理，特作如下规定：</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一、加强组织领导</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ascii="仿宋_GB2312" w:hAnsi="Calibri" w:eastAsia="仿宋_GB2312" w:cs="仿宋"/>
          <w:kern w:val="0"/>
          <w:sz w:val="32"/>
          <w:szCs w:val="32"/>
        </w:rPr>
        <w:t>高校录取通知书是考生录取和新生报到入学的重要凭证，关系考生切身利益，关系高考公平公正。</w:t>
      </w:r>
      <w:r>
        <w:rPr>
          <w:rFonts w:hint="eastAsia" w:ascii="仿宋_GB2312" w:hAnsi="Calibri" w:eastAsia="仿宋_GB2312" w:cs="仿宋"/>
          <w:kern w:val="0"/>
          <w:sz w:val="32"/>
          <w:szCs w:val="32"/>
        </w:rPr>
        <w:t>学校</w:t>
      </w:r>
      <w:r>
        <w:rPr>
          <w:rFonts w:ascii="仿宋_GB2312" w:hAnsi="Calibri" w:eastAsia="仿宋_GB2312" w:cs="仿宋"/>
          <w:kern w:val="0"/>
          <w:sz w:val="32"/>
          <w:szCs w:val="32"/>
        </w:rPr>
        <w:t>各</w:t>
      </w:r>
      <w:r>
        <w:rPr>
          <w:rFonts w:hint="eastAsia" w:ascii="仿宋_GB2312" w:hAnsi="Calibri" w:eastAsia="仿宋_GB2312" w:cs="仿宋"/>
          <w:kern w:val="0"/>
          <w:sz w:val="32"/>
          <w:szCs w:val="32"/>
        </w:rPr>
        <w:t>相关部门</w:t>
      </w:r>
      <w:r>
        <w:rPr>
          <w:rFonts w:ascii="仿宋_GB2312" w:hAnsi="Calibri" w:eastAsia="仿宋_GB2312" w:cs="仿宋"/>
          <w:kern w:val="0"/>
          <w:sz w:val="32"/>
          <w:szCs w:val="32"/>
        </w:rPr>
        <w:t>要充分认识做好录取通知书寄递工作的重要意义，以对考生高度负责的态度，切实加强组织领导，周密安排部署，完善录取通知书寄递工作机制，制定专门工作方案，明确责任分工，加</w:t>
      </w:r>
      <w:r>
        <w:rPr>
          <w:rFonts w:hint="eastAsia" w:ascii="仿宋_GB2312" w:hAnsi="Calibri" w:eastAsia="仿宋_GB2312" w:cs="仿宋"/>
          <w:kern w:val="0"/>
          <w:sz w:val="32"/>
          <w:szCs w:val="32"/>
        </w:rPr>
        <w:t>强</w:t>
      </w:r>
      <w:r>
        <w:rPr>
          <w:rFonts w:ascii="仿宋_GB2312" w:hAnsi="Calibri" w:eastAsia="仿宋_GB2312" w:cs="仿宋"/>
          <w:kern w:val="0"/>
          <w:sz w:val="32"/>
          <w:szCs w:val="32"/>
        </w:rPr>
        <w:t>协调配合，不断提升规范化管理水平，确保录取通知书寄递的安全、及时、准确。</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二、规范寄递管理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1</w:t>
      </w:r>
      <w:r>
        <w:rPr>
          <w:rFonts w:ascii="仿宋_GB2312" w:hAnsi="Calibri" w:eastAsia="仿宋_GB2312" w:cs="仿宋"/>
          <w:kern w:val="0"/>
          <w:sz w:val="32"/>
          <w:szCs w:val="32"/>
        </w:rPr>
        <w:t>.</w:t>
      </w:r>
      <w:r>
        <w:rPr>
          <w:rFonts w:hint="eastAsia" w:ascii="仿宋_GB2312" w:hAnsi="Calibri" w:eastAsia="仿宋_GB2312" w:cs="仿宋"/>
          <w:kern w:val="0"/>
          <w:sz w:val="32"/>
          <w:szCs w:val="32"/>
        </w:rPr>
        <w:t>学校所有全日制新生录取通知书由招生就业处统一管理。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w:t>
      </w:r>
      <w:r>
        <w:rPr>
          <w:rFonts w:ascii="仿宋_GB2312" w:hAnsi="Calibri" w:eastAsia="仿宋_GB2312" w:cs="仿宋"/>
          <w:kern w:val="0"/>
          <w:sz w:val="32"/>
          <w:szCs w:val="32"/>
        </w:rPr>
        <w:t>.</w:t>
      </w:r>
      <w:r>
        <w:rPr>
          <w:rFonts w:hint="eastAsia" w:ascii="仿宋_GB2312" w:hAnsi="Calibri" w:eastAsia="仿宋_GB2312" w:cs="仿宋"/>
          <w:kern w:val="0"/>
          <w:sz w:val="32"/>
          <w:szCs w:val="32"/>
        </w:rPr>
        <w:t>学校招生就业处</w:t>
      </w:r>
      <w:r>
        <w:rPr>
          <w:rFonts w:ascii="仿宋_GB2312" w:hAnsi="Calibri" w:eastAsia="仿宋_GB2312" w:cs="仿宋"/>
          <w:kern w:val="0"/>
          <w:sz w:val="32"/>
          <w:szCs w:val="32"/>
        </w:rPr>
        <w:t>在各省（</w:t>
      </w:r>
      <w:r>
        <w:rPr>
          <w:rFonts w:hint="eastAsia" w:ascii="仿宋_GB2312" w:hAnsi="Calibri" w:eastAsia="仿宋_GB2312" w:cs="仿宋"/>
          <w:kern w:val="0"/>
          <w:sz w:val="32"/>
          <w:szCs w:val="32"/>
        </w:rPr>
        <w:t>自治</w:t>
      </w:r>
      <w:r>
        <w:rPr>
          <w:rFonts w:ascii="仿宋_GB2312" w:hAnsi="Calibri" w:eastAsia="仿宋_GB2312" w:cs="仿宋"/>
          <w:kern w:val="0"/>
          <w:sz w:val="32"/>
          <w:szCs w:val="32"/>
        </w:rPr>
        <w:t>区、市）相应批次录取结束后，严格按照经省级招办核准备案的录取新生名册，</w:t>
      </w:r>
      <w:r>
        <w:rPr>
          <w:rFonts w:hint="eastAsia" w:ascii="仿宋_GB2312" w:hAnsi="Calibri" w:eastAsia="仿宋_GB2312" w:cs="仿宋"/>
          <w:kern w:val="0"/>
          <w:sz w:val="32"/>
          <w:szCs w:val="32"/>
        </w:rPr>
        <w:t>核准、打印所有全日制</w:t>
      </w:r>
      <w:r>
        <w:rPr>
          <w:rFonts w:ascii="仿宋_GB2312" w:hAnsi="Calibri" w:eastAsia="仿宋_GB2312" w:cs="仿宋"/>
          <w:kern w:val="0"/>
          <w:sz w:val="32"/>
          <w:szCs w:val="32"/>
        </w:rPr>
        <w:t>新生录取通知书</w:t>
      </w:r>
      <w:r>
        <w:rPr>
          <w:rFonts w:hint="eastAsia" w:ascii="仿宋_GB2312" w:hAnsi="Calibri" w:eastAsia="仿宋_GB2312" w:cs="仿宋"/>
          <w:kern w:val="0"/>
          <w:sz w:val="32"/>
          <w:szCs w:val="32"/>
        </w:rPr>
        <w:t>。学校所有全日制新生录取通知书必须由学校法人代表签发或授权签发</w:t>
      </w:r>
      <w:r>
        <w:rPr>
          <w:rFonts w:ascii="仿宋_GB2312" w:hAnsi="Calibri" w:eastAsia="仿宋_GB2312" w:cs="仿宋"/>
          <w:kern w:val="0"/>
          <w:sz w:val="32"/>
          <w:szCs w:val="32"/>
        </w:rPr>
        <w:t>并加盖学校公章</w:t>
      </w:r>
      <w:r>
        <w:rPr>
          <w:rFonts w:hint="eastAsia" w:ascii="仿宋_GB2312" w:hAnsi="Calibri" w:eastAsia="仿宋_GB2312" w:cs="仿宋"/>
          <w:kern w:val="0"/>
          <w:sz w:val="32"/>
          <w:szCs w:val="32"/>
        </w:rPr>
        <w:t>。</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3</w:t>
      </w:r>
      <w:r>
        <w:rPr>
          <w:rFonts w:ascii="仿宋_GB2312" w:hAnsi="Calibri" w:eastAsia="仿宋_GB2312" w:cs="仿宋"/>
          <w:kern w:val="0"/>
          <w:sz w:val="32"/>
          <w:szCs w:val="32"/>
        </w:rPr>
        <w:t>.根据省（区、市）招办提供的考生电子档案，会同邮政企业认真核对、准确填写新生录取通知书收件人</w:t>
      </w:r>
      <w:r>
        <w:rPr>
          <w:rFonts w:hint="eastAsia" w:ascii="仿宋_GB2312" w:hAnsi="Calibri" w:eastAsia="仿宋_GB2312" w:cs="仿宋"/>
          <w:kern w:val="0"/>
          <w:sz w:val="32"/>
          <w:szCs w:val="32"/>
        </w:rPr>
        <w:t>、</w:t>
      </w:r>
      <w:r>
        <w:rPr>
          <w:rFonts w:ascii="仿宋_GB2312" w:hAnsi="Calibri" w:eastAsia="仿宋_GB2312" w:cs="仿宋"/>
          <w:kern w:val="0"/>
          <w:sz w:val="32"/>
          <w:szCs w:val="32"/>
        </w:rPr>
        <w:t>地址、邮编、联系电话等详情单信息。对于收件地址存在疑问的情况，及时联系有关省（区、市）招办进行核实。</w:t>
      </w:r>
      <w:r>
        <w:rPr>
          <w:rFonts w:hint="eastAsia" w:ascii="仿宋_GB2312" w:hAnsi="Calibri" w:eastAsia="仿宋_GB2312" w:cs="仿宋"/>
          <w:kern w:val="0"/>
          <w:sz w:val="32"/>
          <w:szCs w:val="32"/>
        </w:rPr>
        <w:t>使用录取通知书专用信封以及给据邮件方式寄递到新生本人手中。</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三、确保精准投递</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ascii="仿宋_GB2312" w:hAnsi="Calibri" w:eastAsia="仿宋_GB2312" w:cs="仿宋"/>
          <w:kern w:val="0"/>
          <w:sz w:val="32"/>
          <w:szCs w:val="32"/>
        </w:rPr>
        <w:t>1.</w:t>
      </w:r>
      <w:r>
        <w:rPr>
          <w:rFonts w:hint="eastAsia" w:ascii="仿宋_GB2312" w:hAnsi="Calibri" w:eastAsia="仿宋_GB2312" w:cs="仿宋"/>
          <w:kern w:val="0"/>
          <w:sz w:val="32"/>
          <w:szCs w:val="32"/>
        </w:rPr>
        <w:t>学校招生就业处负责新生录取通知书的封装及校验工作，并做好与邮政部门交接、清点的登记手续，确保录取通知书安全、准确、快速投递。</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w:t>
      </w:r>
      <w:r>
        <w:rPr>
          <w:rFonts w:ascii="仿宋_GB2312" w:hAnsi="Calibri" w:eastAsia="仿宋_GB2312" w:cs="仿宋"/>
          <w:kern w:val="0"/>
          <w:sz w:val="32"/>
          <w:szCs w:val="32"/>
        </w:rPr>
        <w:t>.</w:t>
      </w:r>
      <w:r>
        <w:rPr>
          <w:rFonts w:hint="eastAsia" w:ascii="仿宋_GB2312" w:hAnsi="Calibri" w:eastAsia="仿宋_GB2312" w:cs="仿宋"/>
          <w:kern w:val="0"/>
          <w:sz w:val="32"/>
          <w:szCs w:val="32"/>
        </w:rPr>
        <w:t>邮政企业</w:t>
      </w:r>
      <w:r>
        <w:rPr>
          <w:rFonts w:ascii="仿宋_GB2312" w:hAnsi="Calibri" w:eastAsia="仿宋_GB2312" w:cs="仿宋"/>
          <w:kern w:val="0"/>
          <w:sz w:val="32"/>
          <w:szCs w:val="32"/>
        </w:rPr>
        <w:t>要严格</w:t>
      </w:r>
      <w:r>
        <w:rPr>
          <w:rFonts w:hint="eastAsia" w:ascii="仿宋_GB2312" w:hAnsi="Calibri" w:eastAsia="仿宋_GB2312" w:cs="仿宋"/>
          <w:kern w:val="0"/>
          <w:sz w:val="32"/>
          <w:szCs w:val="32"/>
        </w:rPr>
        <w:t>我</w:t>
      </w:r>
      <w:r>
        <w:rPr>
          <w:rFonts w:ascii="仿宋_GB2312" w:hAnsi="Calibri" w:eastAsia="仿宋_GB2312" w:cs="仿宋"/>
          <w:kern w:val="0"/>
          <w:sz w:val="32"/>
          <w:szCs w:val="32"/>
        </w:rPr>
        <w:t>校录取通知书的投递签收流程，</w:t>
      </w:r>
      <w:r>
        <w:rPr>
          <w:rFonts w:hint="eastAsia" w:ascii="仿宋_GB2312" w:hAnsi="Calibri" w:eastAsia="仿宋_GB2312" w:cs="仿宋"/>
          <w:kern w:val="0"/>
          <w:sz w:val="32"/>
          <w:szCs w:val="32"/>
        </w:rPr>
        <w:t>原则上</w:t>
      </w:r>
      <w:r>
        <w:rPr>
          <w:rFonts w:ascii="仿宋_GB2312" w:hAnsi="Calibri" w:eastAsia="仿宋_GB2312" w:cs="仿宋"/>
          <w:kern w:val="0"/>
          <w:sz w:val="32"/>
          <w:szCs w:val="32"/>
        </w:rPr>
        <w:t>坚持“本人当面签收”，</w:t>
      </w:r>
      <w:r>
        <w:rPr>
          <w:rFonts w:hint="eastAsia" w:ascii="仿宋_GB2312" w:hAnsi="Calibri" w:eastAsia="仿宋_GB2312" w:cs="仿宋"/>
          <w:kern w:val="0"/>
          <w:sz w:val="32"/>
          <w:szCs w:val="32"/>
        </w:rPr>
        <w:t>原则上</w:t>
      </w:r>
      <w:r>
        <w:rPr>
          <w:rFonts w:ascii="仿宋_GB2312" w:hAnsi="Calibri" w:eastAsia="仿宋_GB2312" w:cs="仿宋"/>
          <w:kern w:val="0"/>
          <w:sz w:val="32"/>
          <w:szCs w:val="32"/>
        </w:rPr>
        <w:t>须由收件人凭本人有效身份证</w:t>
      </w:r>
      <w:r>
        <w:rPr>
          <w:rFonts w:hint="eastAsia" w:ascii="仿宋_GB2312" w:hAnsi="Calibri" w:eastAsia="仿宋_GB2312" w:cs="仿宋"/>
          <w:kern w:val="0"/>
          <w:sz w:val="32"/>
          <w:szCs w:val="32"/>
        </w:rPr>
        <w:t>件</w:t>
      </w:r>
      <w:r>
        <w:rPr>
          <w:rFonts w:ascii="仿宋_GB2312" w:hAnsi="Calibri" w:eastAsia="仿宋_GB2312" w:cs="仿宋"/>
          <w:kern w:val="0"/>
          <w:sz w:val="32"/>
          <w:szCs w:val="32"/>
        </w:rPr>
        <w:t>亲自签收</w:t>
      </w:r>
      <w:r>
        <w:rPr>
          <w:rFonts w:hint="eastAsia" w:ascii="仿宋_GB2312" w:hAnsi="Calibri" w:eastAsia="仿宋_GB2312" w:cs="仿宋"/>
          <w:kern w:val="0"/>
          <w:sz w:val="32"/>
          <w:szCs w:val="32"/>
        </w:rPr>
        <w:t>。例如：E</w:t>
      </w:r>
      <w:r>
        <w:rPr>
          <w:rFonts w:ascii="仿宋_GB2312" w:hAnsi="Calibri" w:eastAsia="仿宋_GB2312" w:cs="仿宋"/>
          <w:kern w:val="0"/>
          <w:sz w:val="32"/>
          <w:szCs w:val="32"/>
        </w:rPr>
        <w:t>MS</w:t>
      </w:r>
      <w:r>
        <w:rPr>
          <w:rFonts w:hint="eastAsia" w:ascii="仿宋_GB2312" w:hAnsi="Calibri" w:eastAsia="仿宋_GB2312" w:cs="仿宋"/>
          <w:kern w:val="0"/>
          <w:sz w:val="32"/>
          <w:szCs w:val="32"/>
        </w:rPr>
        <w:t>特快专递需采用“电子返单”功能，向我校返回录取通知书签收电子底单；顺丰快递采用“签收确认”功能，收件人需凭顺丰发送的签收码签收快递。收件人因特殊情况无法及时签收的，可与</w:t>
      </w:r>
      <w:r>
        <w:rPr>
          <w:rFonts w:ascii="仿宋_GB2312" w:hAnsi="Calibri" w:eastAsia="仿宋_GB2312" w:cs="仿宋"/>
          <w:kern w:val="0"/>
          <w:sz w:val="32"/>
          <w:szCs w:val="32"/>
        </w:rPr>
        <w:t>邮政企业约定</w:t>
      </w:r>
      <w:r>
        <w:rPr>
          <w:rFonts w:hint="eastAsia" w:ascii="仿宋_GB2312" w:hAnsi="Calibri" w:eastAsia="仿宋_GB2312" w:cs="仿宋"/>
          <w:kern w:val="0"/>
          <w:sz w:val="32"/>
          <w:szCs w:val="32"/>
        </w:rPr>
        <w:t>其他</w:t>
      </w:r>
      <w:r>
        <w:rPr>
          <w:rFonts w:ascii="仿宋_GB2312" w:hAnsi="Calibri" w:eastAsia="仿宋_GB2312" w:cs="仿宋"/>
          <w:kern w:val="0"/>
          <w:sz w:val="32"/>
          <w:szCs w:val="32"/>
        </w:rPr>
        <w:t>交接时间，</w:t>
      </w:r>
      <w:r>
        <w:rPr>
          <w:rFonts w:hint="eastAsia" w:ascii="仿宋_GB2312" w:hAnsi="Calibri" w:eastAsia="仿宋_GB2312" w:cs="仿宋"/>
          <w:kern w:val="0"/>
          <w:sz w:val="32"/>
          <w:szCs w:val="32"/>
        </w:rPr>
        <w:t>也可由收件人授权委托第三方代收。第三方代收时，邮政企业除要求代收人出示收件人的身份证件外，还须要求代收人提供其本人身份证件及授权委托书，并做好信息记录。</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3</w:t>
      </w:r>
      <w:r>
        <w:rPr>
          <w:rFonts w:ascii="仿宋_GB2312" w:hAnsi="Calibri" w:eastAsia="仿宋_GB2312" w:cs="仿宋"/>
          <w:kern w:val="0"/>
          <w:sz w:val="32"/>
          <w:szCs w:val="32"/>
        </w:rPr>
        <w:t>.</w:t>
      </w:r>
      <w:r>
        <w:rPr>
          <w:rFonts w:hint="eastAsia" w:ascii="仿宋_GB2312" w:hAnsi="Calibri" w:eastAsia="仿宋_GB2312" w:cs="仿宋"/>
          <w:kern w:val="0"/>
          <w:sz w:val="32"/>
          <w:szCs w:val="32"/>
        </w:rPr>
        <w:t>新生录取通知书不允许有任何积压、捎转等现象。</w:t>
      </w:r>
      <w:r>
        <w:rPr>
          <w:rFonts w:ascii="仿宋_GB2312" w:hAnsi="Calibri" w:eastAsia="仿宋_GB2312" w:cs="仿宋"/>
          <w:kern w:val="0"/>
          <w:sz w:val="32"/>
          <w:szCs w:val="32"/>
        </w:rPr>
        <w:t>不得投递至智能</w:t>
      </w:r>
      <w:r>
        <w:rPr>
          <w:rFonts w:hint="eastAsia" w:ascii="仿宋_GB2312" w:hAnsi="Calibri" w:eastAsia="仿宋_GB2312" w:cs="仿宋"/>
          <w:kern w:val="0"/>
          <w:sz w:val="32"/>
          <w:szCs w:val="32"/>
        </w:rPr>
        <w:t>快件箱（信包箱）</w:t>
      </w:r>
      <w:r>
        <w:rPr>
          <w:rFonts w:ascii="仿宋_GB2312" w:hAnsi="Calibri" w:eastAsia="仿宋_GB2312" w:cs="仿宋"/>
          <w:kern w:val="0"/>
          <w:sz w:val="32"/>
          <w:szCs w:val="32"/>
        </w:rPr>
        <w:t>、代投自提点、物业或收发室等。</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4</w:t>
      </w:r>
      <w:r>
        <w:rPr>
          <w:rFonts w:ascii="仿宋_GB2312" w:hAnsi="Calibri" w:eastAsia="仿宋_GB2312" w:cs="仿宋"/>
          <w:kern w:val="0"/>
          <w:sz w:val="32"/>
          <w:szCs w:val="32"/>
        </w:rPr>
        <w:t>.</w:t>
      </w:r>
      <w:r>
        <w:rPr>
          <w:rFonts w:hint="eastAsia" w:ascii="仿宋_GB2312" w:hAnsi="Calibri" w:eastAsia="仿宋_GB2312" w:cs="仿宋"/>
          <w:kern w:val="0"/>
          <w:sz w:val="32"/>
          <w:szCs w:val="32"/>
        </w:rPr>
        <w:t>任何考生均不能更改收件信息。均不能到我校招生就业处直接领取录取通知书，均需通过邮寄方式接收。</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四、优化寄递服务</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1</w:t>
      </w:r>
      <w:r>
        <w:rPr>
          <w:rFonts w:ascii="仿宋_GB2312" w:hAnsi="Calibri" w:eastAsia="仿宋_GB2312" w:cs="仿宋"/>
          <w:kern w:val="0"/>
          <w:sz w:val="32"/>
          <w:szCs w:val="32"/>
        </w:rPr>
        <w:t>.在寄出录取通知书邮件后，通过发送手机短信等方式提醒新生注意查收。</w:t>
      </w:r>
      <w:r>
        <w:rPr>
          <w:rFonts w:hint="eastAsia" w:ascii="仿宋_GB2312" w:hAnsi="Calibri" w:eastAsia="仿宋_GB2312" w:cs="仿宋"/>
          <w:kern w:val="0"/>
          <w:sz w:val="32"/>
          <w:szCs w:val="32"/>
        </w:rPr>
        <w:t>招生就业处与邮政部门联合在我校招生网、官方微信公众号为考生开通新生录取通知书寄递物流查询渠道，提供查询服务。</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w:t>
      </w:r>
      <w:r>
        <w:rPr>
          <w:rFonts w:ascii="仿宋_GB2312" w:hAnsi="Calibri" w:eastAsia="仿宋_GB2312" w:cs="仿宋"/>
          <w:kern w:val="0"/>
          <w:sz w:val="32"/>
          <w:szCs w:val="32"/>
        </w:rPr>
        <w:t>.</w:t>
      </w:r>
      <w:r>
        <w:rPr>
          <w:rFonts w:hint="eastAsia" w:ascii="仿宋_GB2312" w:hAnsi="Calibri" w:eastAsia="仿宋_GB2312" w:cs="仿宋"/>
          <w:kern w:val="0"/>
          <w:sz w:val="32"/>
          <w:szCs w:val="32"/>
        </w:rPr>
        <w:t>对于反馈没有收到录取通知书的考生，督促邮政部门寻找信件，落实寻找结果。确实因邮政部门或个人原因导致录取通知书遗失的考生，可于新生报到当天持高考准考证、本人身份证及录取通知书（电子版），到我校通过“人脸识别”技术进行报到注册。</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3</w:t>
      </w:r>
      <w:r>
        <w:rPr>
          <w:rFonts w:ascii="仿宋_GB2312" w:hAnsi="Calibri" w:eastAsia="仿宋_GB2312" w:cs="仿宋"/>
          <w:kern w:val="0"/>
          <w:sz w:val="32"/>
          <w:szCs w:val="32"/>
        </w:rPr>
        <w:t>.对因地址错误、地址变更、无法联系到收件人、不可抗力等特殊情形造成录取通知书无法正常投递的，邮政企业要及时与</w:t>
      </w:r>
      <w:r>
        <w:rPr>
          <w:rFonts w:hint="eastAsia" w:ascii="仿宋_GB2312" w:hAnsi="Calibri" w:eastAsia="仿宋_GB2312" w:cs="仿宋"/>
          <w:kern w:val="0"/>
          <w:sz w:val="32"/>
          <w:szCs w:val="32"/>
        </w:rPr>
        <w:t>我</w:t>
      </w:r>
      <w:r>
        <w:rPr>
          <w:rFonts w:ascii="仿宋_GB2312" w:hAnsi="Calibri" w:eastAsia="仿宋_GB2312" w:cs="仿宋"/>
          <w:kern w:val="0"/>
          <w:sz w:val="32"/>
          <w:szCs w:val="32"/>
        </w:rPr>
        <w:t>校</w:t>
      </w:r>
      <w:r>
        <w:rPr>
          <w:rFonts w:hint="eastAsia" w:ascii="仿宋_GB2312" w:hAnsi="Calibri" w:eastAsia="仿宋_GB2312" w:cs="仿宋"/>
          <w:kern w:val="0"/>
          <w:sz w:val="32"/>
          <w:szCs w:val="32"/>
        </w:rPr>
        <w:t>招生就业处相关负责老师</w:t>
      </w:r>
      <w:r>
        <w:rPr>
          <w:rFonts w:ascii="仿宋_GB2312" w:hAnsi="Calibri" w:eastAsia="仿宋_GB2312" w:cs="仿宋"/>
          <w:kern w:val="0"/>
          <w:sz w:val="32"/>
          <w:szCs w:val="32"/>
        </w:rPr>
        <w:t>联系，沟通反馈情况。确实无法投递的，要及时退回</w:t>
      </w:r>
      <w:r>
        <w:rPr>
          <w:rFonts w:hint="eastAsia" w:ascii="仿宋_GB2312" w:hAnsi="Calibri" w:eastAsia="仿宋_GB2312" w:cs="仿宋"/>
          <w:kern w:val="0"/>
          <w:sz w:val="32"/>
          <w:szCs w:val="32"/>
        </w:rPr>
        <w:t>我</w:t>
      </w:r>
      <w:r>
        <w:rPr>
          <w:rFonts w:ascii="仿宋_GB2312" w:hAnsi="Calibri" w:eastAsia="仿宋_GB2312" w:cs="仿宋"/>
          <w:kern w:val="0"/>
          <w:sz w:val="32"/>
          <w:szCs w:val="32"/>
        </w:rPr>
        <w:t>校</w:t>
      </w:r>
      <w:r>
        <w:rPr>
          <w:rFonts w:hint="eastAsia" w:ascii="仿宋_GB2312" w:hAnsi="Calibri" w:eastAsia="仿宋_GB2312" w:cs="仿宋"/>
          <w:kern w:val="0"/>
          <w:sz w:val="32"/>
          <w:szCs w:val="32"/>
        </w:rPr>
        <w:t>。我</w:t>
      </w:r>
      <w:r>
        <w:rPr>
          <w:rFonts w:ascii="仿宋_GB2312" w:hAnsi="Calibri" w:eastAsia="仿宋_GB2312" w:cs="仿宋"/>
          <w:kern w:val="0"/>
          <w:sz w:val="32"/>
          <w:szCs w:val="32"/>
        </w:rPr>
        <w:t>校通过</w:t>
      </w:r>
      <w:r>
        <w:rPr>
          <w:rFonts w:hint="eastAsia" w:ascii="仿宋_GB2312" w:hAnsi="Calibri" w:eastAsia="仿宋_GB2312" w:cs="仿宋"/>
          <w:kern w:val="0"/>
          <w:sz w:val="32"/>
          <w:szCs w:val="32"/>
        </w:rPr>
        <w:t>相</w:t>
      </w:r>
      <w:r>
        <w:rPr>
          <w:rFonts w:ascii="仿宋_GB2312" w:hAnsi="Calibri" w:eastAsia="仿宋_GB2312" w:cs="仿宋"/>
          <w:kern w:val="0"/>
          <w:sz w:val="32"/>
          <w:szCs w:val="32"/>
        </w:rPr>
        <w:t>关省（区、市）招办联系新生妥善处理，</w:t>
      </w:r>
      <w:r>
        <w:rPr>
          <w:rFonts w:hint="eastAsia" w:ascii="仿宋_GB2312" w:hAnsi="Calibri" w:eastAsia="仿宋_GB2312" w:cs="仿宋"/>
          <w:kern w:val="0"/>
          <w:sz w:val="32"/>
          <w:szCs w:val="32"/>
        </w:rPr>
        <w:t>告知录取消息，</w:t>
      </w:r>
      <w:r>
        <w:rPr>
          <w:rFonts w:ascii="仿宋_GB2312" w:hAnsi="Calibri" w:eastAsia="仿宋_GB2312" w:cs="仿宋"/>
          <w:kern w:val="0"/>
          <w:sz w:val="32"/>
          <w:szCs w:val="32"/>
        </w:rPr>
        <w:t>确保新生及时、准确收到录取通知书。</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ascii="仿宋_GB2312" w:hAnsi="Calibri" w:eastAsia="仿宋_GB2312" w:cs="仿宋"/>
          <w:kern w:val="0"/>
          <w:sz w:val="32"/>
          <w:szCs w:val="32"/>
        </w:rPr>
        <w:t>4.</w:t>
      </w:r>
      <w:r>
        <w:rPr>
          <w:rFonts w:hint="eastAsia" w:ascii="仿宋_GB2312" w:hAnsi="Calibri" w:eastAsia="仿宋_GB2312" w:cs="仿宋"/>
          <w:kern w:val="0"/>
          <w:sz w:val="32"/>
          <w:szCs w:val="32"/>
        </w:rPr>
        <w:t>《新生入学指南》随录取通知书寄出，并附</w:t>
      </w:r>
      <w:r>
        <w:rPr>
          <w:rFonts w:ascii="仿宋_GB2312" w:hAnsi="Calibri" w:eastAsia="仿宋_GB2312" w:cs="仿宋"/>
          <w:kern w:val="0"/>
          <w:sz w:val="32"/>
          <w:szCs w:val="32"/>
        </w:rPr>
        <w:t>学生资助政策的详细介绍</w:t>
      </w:r>
      <w:r>
        <w:rPr>
          <w:rFonts w:hint="eastAsia" w:ascii="仿宋_GB2312" w:hAnsi="Calibri" w:eastAsia="仿宋_GB2312" w:cs="仿宋"/>
          <w:kern w:val="0"/>
          <w:sz w:val="32"/>
          <w:szCs w:val="32"/>
        </w:rPr>
        <w:t>、</w:t>
      </w:r>
      <w:r>
        <w:rPr>
          <w:rFonts w:ascii="仿宋_GB2312" w:hAnsi="Calibri" w:eastAsia="仿宋_GB2312" w:cs="仿宋"/>
          <w:kern w:val="0"/>
          <w:sz w:val="32"/>
          <w:szCs w:val="32"/>
        </w:rPr>
        <w:t>大学新生应征入伍宣传单</w:t>
      </w:r>
      <w:r>
        <w:rPr>
          <w:rFonts w:hint="eastAsia" w:ascii="仿宋_GB2312" w:hAnsi="Calibri" w:eastAsia="仿宋_GB2312" w:cs="仿宋"/>
          <w:kern w:val="0"/>
          <w:sz w:val="32"/>
          <w:szCs w:val="32"/>
        </w:rPr>
        <w:t>、学校各专业介绍、报到流程及生活指南等。不</w:t>
      </w:r>
      <w:r>
        <w:rPr>
          <w:rFonts w:ascii="仿宋_GB2312" w:hAnsi="Calibri" w:eastAsia="仿宋_GB2312" w:cs="仿宋"/>
          <w:kern w:val="0"/>
          <w:sz w:val="32"/>
          <w:szCs w:val="32"/>
        </w:rPr>
        <w:t>在录取通知书邮件内夹寄、夹带与新生报到无关的商业广告等宣传材料</w:t>
      </w:r>
      <w:r>
        <w:rPr>
          <w:rFonts w:hint="eastAsia" w:ascii="仿宋_GB2312" w:hAnsi="Calibri" w:eastAsia="仿宋_GB2312" w:cs="仿宋"/>
          <w:kern w:val="0"/>
          <w:sz w:val="32"/>
          <w:szCs w:val="32"/>
        </w:rPr>
        <w:t>及</w:t>
      </w:r>
      <w:r>
        <w:rPr>
          <w:rFonts w:ascii="仿宋_GB2312" w:hAnsi="Calibri" w:eastAsia="仿宋_GB2312" w:cs="仿宋"/>
          <w:kern w:val="0"/>
          <w:sz w:val="32"/>
          <w:szCs w:val="32"/>
        </w:rPr>
        <w:t>其他不符合寄递要求的物品，</w:t>
      </w:r>
      <w:r>
        <w:rPr>
          <w:rFonts w:hint="eastAsia" w:ascii="仿宋_GB2312" w:hAnsi="Calibri" w:eastAsia="仿宋_GB2312" w:cs="仿宋"/>
          <w:kern w:val="0"/>
          <w:sz w:val="32"/>
          <w:szCs w:val="32"/>
        </w:rPr>
        <w:t>不</w:t>
      </w:r>
      <w:r>
        <w:rPr>
          <w:rFonts w:ascii="仿宋_GB2312" w:hAnsi="Calibri" w:eastAsia="仿宋_GB2312" w:cs="仿宋"/>
          <w:kern w:val="0"/>
          <w:sz w:val="32"/>
          <w:szCs w:val="32"/>
        </w:rPr>
        <w:t>向新生收取录取通知书邮寄费用。</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五、做好防疫消杀</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1</w:t>
      </w:r>
      <w:r>
        <w:rPr>
          <w:rFonts w:ascii="仿宋_GB2312" w:hAnsi="Calibri" w:eastAsia="仿宋_GB2312" w:cs="仿宋"/>
          <w:kern w:val="0"/>
          <w:sz w:val="32"/>
          <w:szCs w:val="32"/>
        </w:rPr>
        <w:t>.严格落实</w:t>
      </w:r>
      <w:r>
        <w:rPr>
          <w:rFonts w:hint="eastAsia" w:ascii="仿宋_GB2312" w:hAnsi="Calibri" w:eastAsia="仿宋_GB2312" w:cs="仿宋"/>
          <w:kern w:val="0"/>
          <w:sz w:val="32"/>
          <w:szCs w:val="32"/>
        </w:rPr>
        <w:t>学校新冠肺炎</w:t>
      </w:r>
      <w:r>
        <w:rPr>
          <w:rFonts w:ascii="仿宋_GB2312" w:hAnsi="Calibri" w:eastAsia="仿宋_GB2312" w:cs="仿宋"/>
          <w:kern w:val="0"/>
          <w:sz w:val="32"/>
          <w:szCs w:val="32"/>
        </w:rPr>
        <w:t>疫情防控常态化的工作要求，采取有效措施确保录取通知书制作、存放、运输、投递等环节安全，坚决避免录取通知书寄递过程中</w:t>
      </w:r>
      <w:r>
        <w:rPr>
          <w:rFonts w:hint="eastAsia" w:ascii="仿宋_GB2312" w:hAnsi="Calibri" w:eastAsia="仿宋_GB2312" w:cs="仿宋"/>
          <w:kern w:val="0"/>
          <w:sz w:val="32"/>
          <w:szCs w:val="32"/>
        </w:rPr>
        <w:t>出现</w:t>
      </w:r>
      <w:r>
        <w:rPr>
          <w:rFonts w:ascii="仿宋_GB2312" w:hAnsi="Calibri" w:eastAsia="仿宋_GB2312" w:cs="仿宋"/>
          <w:kern w:val="0"/>
          <w:sz w:val="32"/>
          <w:szCs w:val="32"/>
        </w:rPr>
        <w:t>病毒传播。</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w:t>
      </w:r>
      <w:r>
        <w:rPr>
          <w:rFonts w:ascii="仿宋_GB2312" w:hAnsi="Calibri" w:eastAsia="仿宋_GB2312" w:cs="仿宋"/>
          <w:kern w:val="0"/>
          <w:sz w:val="32"/>
          <w:szCs w:val="32"/>
        </w:rPr>
        <w:t>.邮政企业做好参与录取通知书寄递工作的有关车辆、人员的防疫消杀和邮件的污染防控工作，车辆要保证每日全面消杀一次，人员要每日测量体温、保证健康状态，收送邮件时必须佩戴口罩。</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六、加强监督检查</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1</w:t>
      </w:r>
      <w:r>
        <w:rPr>
          <w:rFonts w:ascii="仿宋_GB2312" w:hAnsi="Calibri" w:eastAsia="仿宋_GB2312" w:cs="仿宋"/>
          <w:kern w:val="0"/>
          <w:sz w:val="32"/>
          <w:szCs w:val="32"/>
        </w:rPr>
        <w:t>.</w:t>
      </w:r>
      <w:bookmarkStart w:id="436" w:name="_Hlk47524083"/>
      <w:r>
        <w:rPr>
          <w:rFonts w:hint="eastAsia" w:ascii="仿宋_GB2312" w:hAnsi="Calibri" w:eastAsia="仿宋_GB2312" w:cs="仿宋"/>
          <w:kern w:val="0"/>
          <w:sz w:val="32"/>
          <w:szCs w:val="32"/>
        </w:rPr>
        <w:t>“招生阳光工程”监督组</w:t>
      </w:r>
      <w:bookmarkEnd w:id="436"/>
      <w:r>
        <w:rPr>
          <w:rFonts w:hint="eastAsia" w:ascii="仿宋_GB2312" w:hAnsi="Calibri" w:eastAsia="仿宋_GB2312" w:cs="仿宋"/>
          <w:kern w:val="0"/>
          <w:sz w:val="32"/>
          <w:szCs w:val="32"/>
        </w:rPr>
        <w:t>安排学校纪委办公室（监察室）人员、学生代表等组成的观察员对录取通知书打印、封装、寄送全过程进行监督和抽查。</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w:t>
      </w:r>
      <w:r>
        <w:rPr>
          <w:rFonts w:ascii="仿宋_GB2312" w:hAnsi="Calibri" w:eastAsia="仿宋_GB2312" w:cs="仿宋"/>
          <w:kern w:val="0"/>
          <w:sz w:val="32"/>
          <w:szCs w:val="32"/>
        </w:rPr>
        <w:t>.</w:t>
      </w:r>
      <w:r>
        <w:rPr>
          <w:rFonts w:hint="eastAsia" w:ascii="仿宋_GB2312" w:hAnsi="Calibri" w:eastAsia="仿宋_GB2312" w:cs="仿宋"/>
          <w:kern w:val="0"/>
          <w:sz w:val="32"/>
          <w:szCs w:val="32"/>
        </w:rPr>
        <w:t>学校招生就业处相关人员</w:t>
      </w:r>
      <w:r>
        <w:rPr>
          <w:rFonts w:ascii="仿宋_GB2312" w:hAnsi="Calibri" w:eastAsia="仿宋_GB2312" w:cs="仿宋"/>
          <w:kern w:val="0"/>
          <w:sz w:val="32"/>
          <w:szCs w:val="32"/>
        </w:rPr>
        <w:t>确保录取通知书寄递安全和新生个人信息安全。</w:t>
      </w:r>
      <w:r>
        <w:rPr>
          <w:rFonts w:hint="eastAsia" w:ascii="仿宋_GB2312" w:hAnsi="Calibri" w:eastAsia="仿宋_GB2312" w:cs="仿宋"/>
          <w:kern w:val="0"/>
          <w:sz w:val="32"/>
          <w:szCs w:val="32"/>
        </w:rPr>
        <w:t>一经发现新生个人信息私自外流现象，将给予当事者严厉批评并上报学校招生工作委员会，由学校“招生阳光工程”监督组针对事故进行调查处理。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ascii="仿宋_GB2312" w:hAnsi="Calibri" w:eastAsia="仿宋_GB2312" w:cs="仿宋"/>
          <w:kern w:val="0"/>
          <w:sz w:val="32"/>
          <w:szCs w:val="32"/>
        </w:rPr>
        <w:t>3.邮政企业及时妥善处理寄递过程中出现的异常情况，切实维护新生合法权益。对于寄递过程中出现违法违规行为的，要依法依规严肃追究有关人员责任，涉嫌犯罪的依法移送司法机关处理。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附件：1.新生录取通知书签发样本</w:t>
      </w:r>
    </w:p>
    <w:p>
      <w:pPr>
        <w:pageBreakBefore w:val="0"/>
        <w:kinsoku/>
        <w:wordWrap/>
        <w:overflowPunct/>
        <w:topLinePunct w:val="0"/>
        <w:autoSpaceDE w:val="0"/>
        <w:autoSpaceDN w:val="0"/>
        <w:bidi w:val="0"/>
        <w:adjustRightInd w:val="0"/>
        <w:spacing w:line="580" w:lineRule="exact"/>
        <w:ind w:firstLine="1600" w:firstLineChars="5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2.新生录取通知书寄递管理程序</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sectPr>
          <w:headerReference r:id="rId27" w:type="first"/>
          <w:footerReference r:id="rId30" w:type="first"/>
          <w:headerReference r:id="rId25" w:type="default"/>
          <w:footerReference r:id="rId28" w:type="default"/>
          <w:headerReference r:id="rId26" w:type="even"/>
          <w:footerReference r:id="rId29" w:type="even"/>
          <w:pgSz w:w="11906" w:h="16838"/>
          <w:pgMar w:top="2098" w:right="1474" w:bottom="1985" w:left="1588" w:header="851" w:footer="1559" w:gutter="0"/>
          <w:pgNumType w:fmt="decimal"/>
          <w:cols w:space="720" w:num="1"/>
          <w:docGrid w:type="linesAndChars" w:linePitch="584" w:charSpace="0"/>
        </w:sectPr>
      </w:pPr>
    </w:p>
    <w:p>
      <w:pPr>
        <w:pageBreakBefore w:val="0"/>
        <w:widowControl/>
        <w:kinsoku/>
        <w:wordWrap/>
        <w:overflowPunct/>
        <w:topLinePunct w:val="0"/>
        <w:bidi w:val="0"/>
        <w:spacing w:line="460" w:lineRule="exact"/>
        <w:ind w:right="700"/>
        <w:outlineLvl w:val="9"/>
        <w:rPr>
          <w:rFonts w:ascii="仿宋_GB2312" w:hAnsi="Calibri" w:eastAsia="仿宋_GB2312" w:cs="仿宋"/>
          <w:kern w:val="0"/>
          <w:sz w:val="32"/>
          <w:szCs w:val="32"/>
        </w:rPr>
        <w:sectPr>
          <w:headerReference r:id="rId31" w:type="even"/>
          <w:footerReference r:id="rId32" w:type="even"/>
          <w:pgSz w:w="16838" w:h="11906" w:orient="landscape"/>
          <w:pgMar w:top="1588" w:right="2098" w:bottom="1474" w:left="1985" w:header="851" w:footer="1559" w:gutter="0"/>
          <w:pgNumType w:fmt="decimal"/>
          <w:cols w:space="720" w:num="1"/>
          <w:docGrid w:type="lines" w:linePitch="584" w:charSpace="0"/>
        </w:sectPr>
      </w:pPr>
      <w:r>
        <w:rPr>
          <w:rFonts w:ascii="黑体" w:hAnsi="Calibri" w:eastAsia="黑体"/>
          <w:sz w:val="32"/>
          <w:szCs w:val="32"/>
        </w:rPr>
        <w:drawing>
          <wp:anchor distT="0" distB="0" distL="114300" distR="114300" simplePos="0" relativeHeight="251826176" behindDoc="0" locked="0" layoutInCell="1" allowOverlap="1">
            <wp:simplePos x="0" y="0"/>
            <wp:positionH relativeFrom="column">
              <wp:posOffset>-227965</wp:posOffset>
            </wp:positionH>
            <wp:positionV relativeFrom="paragraph">
              <wp:posOffset>474980</wp:posOffset>
            </wp:positionV>
            <wp:extent cx="8722995" cy="4864100"/>
            <wp:effectExtent l="0" t="0" r="1905" b="1270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4"/>
                    <a:stretch>
                      <a:fillRect/>
                    </a:stretch>
                  </pic:blipFill>
                  <pic:spPr>
                    <a:xfrm>
                      <a:off x="0" y="0"/>
                      <a:ext cx="8722995" cy="4864100"/>
                    </a:xfrm>
                    <a:prstGeom prst="rect">
                      <a:avLst/>
                    </a:prstGeom>
                    <a:noFill/>
                    <a:ln>
                      <a:noFill/>
                    </a:ln>
                  </pic:spPr>
                </pic:pic>
              </a:graphicData>
            </a:graphic>
          </wp:anchor>
        </w:drawing>
      </w:r>
      <w:r>
        <w:rPr>
          <w:rFonts w:hint="eastAsia" w:ascii="黑体" w:hAnsi="Calibri" w:eastAsia="黑体"/>
          <w:sz w:val="32"/>
          <w:szCs w:val="32"/>
        </w:rPr>
        <w:t>附件1：</w:t>
      </w:r>
      <w:r>
        <w:rPr>
          <w:rFonts w:hint="eastAsia" w:ascii="Calibri" w:hAnsi="Calibri"/>
          <w:b/>
          <w:sz w:val="36"/>
          <w:szCs w:val="36"/>
        </w:rPr>
        <w:t>新生录取通知书签发样本</w:t>
      </w:r>
    </w:p>
    <w:p>
      <w:pPr>
        <w:pageBreakBefore w:val="0"/>
        <w:widowControl/>
        <w:kinsoku/>
        <w:wordWrap/>
        <w:overflowPunct/>
        <w:topLinePunct w:val="0"/>
        <w:bidi w:val="0"/>
        <w:spacing w:line="460" w:lineRule="exact"/>
        <w:ind w:right="700"/>
        <w:outlineLvl w:val="9"/>
        <w:rPr>
          <w:rFonts w:ascii="黑体" w:hAnsi="Calibri" w:eastAsia="黑体"/>
          <w:sz w:val="32"/>
          <w:szCs w:val="32"/>
        </w:rPr>
      </w:pPr>
      <w:r>
        <w:rPr>
          <w:rFonts w:hint="eastAsia" w:ascii="黑体" w:hAnsi="Calibri" w:eastAsia="黑体"/>
          <w:sz w:val="32"/>
          <w:szCs w:val="32"/>
        </w:rPr>
        <w:t>附件2：</w:t>
      </w:r>
    </w:p>
    <w:p>
      <w:pPr>
        <w:pageBreakBefore w:val="0"/>
        <w:widowControl/>
        <w:kinsoku/>
        <w:wordWrap/>
        <w:overflowPunct/>
        <w:topLinePunct w:val="0"/>
        <w:bidi w:val="0"/>
        <w:spacing w:line="460" w:lineRule="exact"/>
        <w:ind w:right="700"/>
        <w:jc w:val="center"/>
        <w:outlineLvl w:val="9"/>
        <w:rPr>
          <w:rFonts w:ascii="Calibri" w:hAnsi="Calibri"/>
          <w:b/>
          <w:sz w:val="36"/>
          <w:szCs w:val="36"/>
        </w:rPr>
      </w:pPr>
      <w:r>
        <w:rPr>
          <w:rFonts w:hint="eastAsia" w:ascii="Calibri" w:hAnsi="Calibri"/>
          <w:b/>
          <w:sz w:val="36"/>
          <w:szCs w:val="36"/>
        </w:rPr>
        <w:t>新生录取通知书寄递管理程序</w:t>
      </w:r>
    </w:p>
    <w:p>
      <w:pPr>
        <w:pageBreakBefore w:val="0"/>
        <w:kinsoku/>
        <w:wordWrap/>
        <w:overflowPunct/>
        <w:topLinePunct w:val="0"/>
        <w:bidi w:val="0"/>
        <w:jc w:val="center"/>
        <w:outlineLvl w:val="9"/>
        <w:rPr>
          <w:rFonts w:ascii="Calibri" w:hAnsi="Calibri"/>
          <w:b/>
          <w:sz w:val="44"/>
          <w:szCs w:val="44"/>
        </w:rPr>
      </w:pP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1</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目的</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进一步规范学院招生录取工作、加强录取通知书及寄递监控管理。</w:t>
      </w: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2</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适用范围</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学校所有全日制新生录取通知书。</w:t>
      </w: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3</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定义</w:t>
      </w: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4</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职责</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由招生就业处统一管理，纪委办公室（监察室）全程监督。</w:t>
      </w: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5</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特殊情况说明</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学校所有全日制新生录取通知书必须由学校法人代表签发或授权签发</w:t>
      </w:r>
      <w:r>
        <w:rPr>
          <w:rFonts w:ascii="仿宋_GB2312" w:hAnsi="Calibri" w:eastAsia="仿宋_GB2312" w:cs="仿宋"/>
          <w:kern w:val="0"/>
          <w:sz w:val="32"/>
          <w:szCs w:val="32"/>
        </w:rPr>
        <w:t>并加盖学校公章</w:t>
      </w:r>
      <w:r>
        <w:rPr>
          <w:rFonts w:hint="eastAsia" w:ascii="仿宋_GB2312" w:hAnsi="Calibri" w:eastAsia="仿宋_GB2312" w:cs="仿宋"/>
          <w:kern w:val="0"/>
          <w:sz w:val="32"/>
          <w:szCs w:val="32"/>
        </w:rPr>
        <w:t>。</w:t>
      </w:r>
    </w:p>
    <w:p>
      <w:pPr>
        <w:pageBreakBefore w:val="0"/>
        <w:kinsoku/>
        <w:wordWrap/>
        <w:overflowPunct/>
        <w:topLinePunct w:val="0"/>
        <w:autoSpaceDE w:val="0"/>
        <w:autoSpaceDN w:val="0"/>
        <w:bidi w:val="0"/>
        <w:adjustRightInd w:val="0"/>
        <w:spacing w:line="580" w:lineRule="exact"/>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6</w:t>
      </w:r>
      <w:r>
        <w:rPr>
          <w:rFonts w:ascii="仿宋_GB2312" w:hAnsi="Calibri" w:eastAsia="仿宋_GB2312" w:cs="仿宋"/>
          <w:b/>
          <w:kern w:val="0"/>
          <w:sz w:val="32"/>
          <w:szCs w:val="32"/>
        </w:rPr>
        <w:t>.</w:t>
      </w:r>
      <w:r>
        <w:rPr>
          <w:rFonts w:hint="eastAsia" w:ascii="仿宋_GB2312" w:hAnsi="Calibri" w:eastAsia="仿宋_GB2312" w:cs="仿宋"/>
          <w:b/>
          <w:kern w:val="0"/>
          <w:sz w:val="32"/>
          <w:szCs w:val="32"/>
        </w:rPr>
        <w:t>工作程序/工作要求</w:t>
      </w: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pPr>
    </w:p>
    <w:p>
      <w:pPr>
        <w:pageBreakBefore w:val="0"/>
        <w:kinsoku/>
        <w:wordWrap/>
        <w:overflowPunct/>
        <w:topLinePunct w:val="0"/>
        <w:bidi w:val="0"/>
        <w:spacing w:line="360" w:lineRule="auto"/>
        <w:outlineLvl w:val="9"/>
        <w:rPr>
          <w:rFonts w:ascii="宋体" w:hAnsi="宋体"/>
        </w:rPr>
        <w:sectPr>
          <w:pgSz w:w="11906" w:h="16838"/>
          <w:pgMar w:top="2098" w:right="1474" w:bottom="1985" w:left="1588" w:header="851" w:footer="1559" w:gutter="0"/>
          <w:pgNumType w:fmt="decimal"/>
          <w:cols w:space="720" w:num="1"/>
          <w:docGrid w:type="linesAndChars" w:linePitch="381" w:charSpace="0"/>
        </w:sectPr>
      </w:pPr>
    </w:p>
    <w:tbl>
      <w:tblPr>
        <w:tblStyle w:val="17"/>
        <w:tblpPr w:leftFromText="180" w:rightFromText="180" w:vertAnchor="text" w:horzAnchor="margin" w:tblpXSpec="center" w:tblpY="18"/>
        <w:tblW w:w="10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1"/>
        <w:gridCol w:w="708"/>
        <w:gridCol w:w="1383"/>
        <w:gridCol w:w="226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4821"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流程图</w:t>
            </w: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责任人</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实施</w:t>
            </w:r>
          </w:p>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部门</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过程描述及注意事项</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支持性文件及记录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4821"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r>
              <w:rPr>
                <w:rFonts w:hint="eastAsia" w:ascii="仿宋_GB2312" w:hAnsi="Calibri" w:eastAsia="仿宋_GB2312" w:cs="仿宋"/>
                <w:kern w:val="0"/>
                <w:sz w:val="32"/>
                <w:szCs w:val="32"/>
              </w:rPr>
              <mc:AlternateContent>
                <mc:Choice Requires="wpg">
                  <w:drawing>
                    <wp:anchor distT="0" distB="0" distL="114300" distR="114300" simplePos="0" relativeHeight="251827200" behindDoc="0" locked="0" layoutInCell="1" allowOverlap="1">
                      <wp:simplePos x="0" y="0"/>
                      <wp:positionH relativeFrom="column">
                        <wp:posOffset>-35560</wp:posOffset>
                      </wp:positionH>
                      <wp:positionV relativeFrom="paragraph">
                        <wp:posOffset>257175</wp:posOffset>
                      </wp:positionV>
                      <wp:extent cx="2981960" cy="6844665"/>
                      <wp:effectExtent l="4445" t="5080" r="23495" b="8255"/>
                      <wp:wrapNone/>
                      <wp:docPr id="127" name="组合 39"/>
                      <wp:cNvGraphicFramePr/>
                      <a:graphic xmlns:a="http://schemas.openxmlformats.org/drawingml/2006/main">
                        <a:graphicData uri="http://schemas.microsoft.com/office/word/2010/wordprocessingGroup">
                          <wpg:wgp>
                            <wpg:cNvGrpSpPr/>
                            <wpg:grpSpPr>
                              <a:xfrm>
                                <a:off x="0" y="0"/>
                                <a:ext cx="2981960" cy="6844665"/>
                                <a:chOff x="942" y="1440"/>
                                <a:chExt cx="4696" cy="10779"/>
                              </a:xfrm>
                            </wpg:grpSpPr>
                            <wps:wsp>
                              <wps:cNvPr id="102" name="自选图形 40"/>
                              <wps:cNvSpPr/>
                              <wps:spPr>
                                <a:xfrm>
                                  <a:off x="1953" y="1440"/>
                                  <a:ext cx="2355" cy="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获取邮寄地址、联系方式、新生一寸照片</w:t>
                                    </w:r>
                                  </w:p>
                                </w:txbxContent>
                              </wps:txbx>
                              <wps:bodyPr upright="1"/>
                            </wps:wsp>
                            <wps:wsp>
                              <wps:cNvPr id="103" name="自选图形 41"/>
                              <wps:cNvSpPr/>
                              <wps:spPr>
                                <a:xfrm>
                                  <a:off x="1958" y="2580"/>
                                  <a:ext cx="2355" cy="4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sz w:val="18"/>
                                        <w:szCs w:val="18"/>
                                      </w:rPr>
                                    </w:pPr>
                                    <w:r>
                                      <w:rPr>
                                        <w:rFonts w:hint="eastAsia" w:ascii="宋体" w:hAnsi="宋体" w:cs="Arial"/>
                                        <w:b/>
                                        <w:bCs/>
                                        <w:color w:val="000000"/>
                                        <w:kern w:val="0"/>
                                        <w:sz w:val="18"/>
                                        <w:szCs w:val="18"/>
                                      </w:rPr>
                                      <w:t>核准录取</w:t>
                                    </w:r>
                                    <w:r>
                                      <w:rPr>
                                        <w:rFonts w:hint="eastAsia" w:ascii="宋体" w:hAnsi="宋体" w:cs="Arial"/>
                                        <w:b/>
                                        <w:bCs/>
                                        <w:kern w:val="0"/>
                                        <w:sz w:val="18"/>
                                        <w:szCs w:val="18"/>
                                      </w:rPr>
                                      <w:t>名单</w:t>
                                    </w:r>
                                  </w:p>
                                </w:txbxContent>
                              </wps:txbx>
                              <wps:bodyPr upright="1"/>
                            </wps:wsp>
                            <wps:wsp>
                              <wps:cNvPr id="104" name="自选图形 42"/>
                              <wps:cNvSpPr/>
                              <wps:spPr>
                                <a:xfrm>
                                  <a:off x="1963" y="3285"/>
                                  <a:ext cx="2355" cy="10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打印新生 通知书、寄递单；印制《新生入学指南》；装袋；校验</w:t>
                                    </w:r>
                                  </w:p>
                                  <w:p>
                                    <w:pPr>
                                      <w:rPr>
                                        <w:b/>
                                        <w:bCs/>
                                        <w:sz w:val="18"/>
                                        <w:szCs w:val="18"/>
                                      </w:rPr>
                                    </w:pPr>
                                  </w:p>
                                </w:txbxContent>
                              </wps:txbx>
                              <wps:bodyPr upright="1"/>
                            </wps:wsp>
                            <wps:wsp>
                              <wps:cNvPr id="105" name="自选图形 43"/>
                              <wps:cNvSpPr/>
                              <wps:spPr>
                                <a:xfrm>
                                  <a:off x="1948" y="4695"/>
                                  <a:ext cx="2355" cy="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jc w:val="left"/>
                                      <w:rPr>
                                        <w:rFonts w:ascii="宋体" w:hAnsi="宋体"/>
                                        <w:b/>
                                        <w:bCs/>
                                        <w:color w:val="000000"/>
                                        <w:sz w:val="18"/>
                                        <w:szCs w:val="18"/>
                                      </w:rPr>
                                    </w:pPr>
                                    <w:r>
                                      <w:rPr>
                                        <w:rFonts w:hint="eastAsia" w:ascii="宋体" w:hAnsi="宋体"/>
                                        <w:b/>
                                        <w:bCs/>
                                        <w:color w:val="000000"/>
                                        <w:sz w:val="18"/>
                                        <w:szCs w:val="18"/>
                                      </w:rPr>
                                      <w:t>纪委办公室（监察室）</w:t>
                                    </w:r>
                                    <w:r>
                                      <w:rPr>
                                        <w:rFonts w:hint="eastAsia"/>
                                        <w:b/>
                                        <w:bCs/>
                                        <w:sz w:val="18"/>
                                        <w:szCs w:val="18"/>
                                      </w:rPr>
                                      <w:t>全程监督并抽查</w:t>
                                    </w:r>
                                  </w:p>
                                </w:txbxContent>
                              </wps:txbx>
                              <wps:bodyPr upright="1"/>
                            </wps:wsp>
                            <wps:wsp>
                              <wps:cNvPr id="106" name="自选图形 44"/>
                              <wps:cNvSpPr/>
                              <wps:spPr>
                                <a:xfrm>
                                  <a:off x="1958" y="5978"/>
                                  <a:ext cx="2355" cy="82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与邮政企业交接、清点、登记</w:t>
                                    </w:r>
                                  </w:p>
                                </w:txbxContent>
                              </wps:txbx>
                              <wps:bodyPr upright="1"/>
                            </wps:wsp>
                            <wps:wsp>
                              <wps:cNvPr id="107" name="自选图形 45"/>
                              <wps:cNvSpPr/>
                              <wps:spPr>
                                <a:xfrm>
                                  <a:off x="1968" y="7128"/>
                                  <a:ext cx="2345" cy="50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sz w:val="18"/>
                                        <w:szCs w:val="18"/>
                                      </w:rPr>
                                    </w:pPr>
                                    <w:r>
                                      <w:rPr>
                                        <w:rFonts w:hint="eastAsia"/>
                                        <w:b/>
                                        <w:bCs/>
                                        <w:sz w:val="18"/>
                                        <w:szCs w:val="18"/>
                                      </w:rPr>
                                      <w:t>邮寄</w:t>
                                    </w:r>
                                  </w:p>
                                </w:txbxContent>
                              </wps:txbx>
                              <wps:bodyPr upright="1"/>
                            </wps:wsp>
                            <wps:wsp>
                              <wps:cNvPr id="108" name="自选图形 46"/>
                              <wps:cNvSpPr/>
                              <wps:spPr>
                                <a:xfrm>
                                  <a:off x="1968" y="7876"/>
                                  <a:ext cx="2370" cy="8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ascii="宋体" w:hAnsi="宋体"/>
                                        <w:b/>
                                        <w:bCs/>
                                        <w:sz w:val="18"/>
                                        <w:szCs w:val="18"/>
                                      </w:rPr>
                                      <w:t>邮政企业反馈录取通知书投递情况</w:t>
                                    </w:r>
                                  </w:p>
                                </w:txbxContent>
                              </wps:txbx>
                              <wps:bodyPr upright="1"/>
                            </wps:wsp>
                            <wps:wsp>
                              <wps:cNvPr id="109" name="自选图形 47"/>
                              <wps:cNvSpPr/>
                              <wps:spPr>
                                <a:xfrm>
                                  <a:off x="1953" y="9020"/>
                                  <a:ext cx="2355" cy="75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开始录取通知书邮寄查询渠道</w:t>
                                    </w:r>
                                  </w:p>
                                </w:txbxContent>
                              </wps:txbx>
                              <wps:bodyPr upright="1"/>
                            </wps:wsp>
                            <wps:wsp>
                              <wps:cNvPr id="110" name="自选图形 48"/>
                              <wps:cNvCnPr/>
                              <wps:spPr>
                                <a:xfrm>
                                  <a:off x="3048" y="2220"/>
                                  <a:ext cx="0" cy="345"/>
                                </a:xfrm>
                                <a:prstGeom prst="straightConnector1">
                                  <a:avLst/>
                                </a:prstGeom>
                                <a:ln w="9525" cap="flat" cmpd="sng">
                                  <a:solidFill>
                                    <a:srgbClr val="000000"/>
                                  </a:solidFill>
                                  <a:prstDash val="solid"/>
                                  <a:headEnd type="none" w="med" len="med"/>
                                  <a:tailEnd type="triangle" w="med" len="med"/>
                                </a:ln>
                              </wps:spPr>
                              <wps:bodyPr/>
                            </wps:wsp>
                            <wps:wsp>
                              <wps:cNvPr id="111" name="自选图形 49"/>
                              <wps:cNvCnPr/>
                              <wps:spPr>
                                <a:xfrm>
                                  <a:off x="3053" y="2985"/>
                                  <a:ext cx="0" cy="285"/>
                                </a:xfrm>
                                <a:prstGeom prst="straightConnector1">
                                  <a:avLst/>
                                </a:prstGeom>
                                <a:ln w="9525" cap="flat" cmpd="sng">
                                  <a:solidFill>
                                    <a:srgbClr val="000000"/>
                                  </a:solidFill>
                                  <a:prstDash val="solid"/>
                                  <a:headEnd type="none" w="med" len="med"/>
                                  <a:tailEnd type="triangle" w="med" len="med"/>
                                </a:ln>
                              </wps:spPr>
                              <wps:bodyPr/>
                            </wps:wsp>
                            <wps:wsp>
                              <wps:cNvPr id="112" name="自选图形 50"/>
                              <wps:cNvCnPr/>
                              <wps:spPr>
                                <a:xfrm>
                                  <a:off x="3058" y="4342"/>
                                  <a:ext cx="0" cy="345"/>
                                </a:xfrm>
                                <a:prstGeom prst="straightConnector1">
                                  <a:avLst/>
                                </a:prstGeom>
                                <a:ln w="9525" cap="flat" cmpd="sng">
                                  <a:solidFill>
                                    <a:srgbClr val="000000"/>
                                  </a:solidFill>
                                  <a:prstDash val="solid"/>
                                  <a:headEnd type="none" w="med" len="med"/>
                                  <a:tailEnd type="triangle" w="med" len="med"/>
                                </a:ln>
                              </wps:spPr>
                              <wps:bodyPr/>
                            </wps:wsp>
                            <wps:wsp>
                              <wps:cNvPr id="113" name="自选图形 51"/>
                              <wps:cNvCnPr/>
                              <wps:spPr>
                                <a:xfrm>
                                  <a:off x="3063" y="5572"/>
                                  <a:ext cx="0" cy="398"/>
                                </a:xfrm>
                                <a:prstGeom prst="straightConnector1">
                                  <a:avLst/>
                                </a:prstGeom>
                                <a:ln w="9525" cap="flat" cmpd="sng">
                                  <a:solidFill>
                                    <a:srgbClr val="000000"/>
                                  </a:solidFill>
                                  <a:prstDash val="solid"/>
                                  <a:headEnd type="none" w="med" len="med"/>
                                  <a:tailEnd type="triangle" w="med" len="med"/>
                                </a:ln>
                              </wps:spPr>
                              <wps:bodyPr/>
                            </wps:wsp>
                            <wps:wsp>
                              <wps:cNvPr id="114" name="自选图形 52"/>
                              <wps:cNvCnPr/>
                              <wps:spPr>
                                <a:xfrm>
                                  <a:off x="3068" y="6794"/>
                                  <a:ext cx="0" cy="326"/>
                                </a:xfrm>
                                <a:prstGeom prst="straightConnector1">
                                  <a:avLst/>
                                </a:prstGeom>
                                <a:ln w="9525" cap="flat" cmpd="sng">
                                  <a:solidFill>
                                    <a:srgbClr val="000000"/>
                                  </a:solidFill>
                                  <a:prstDash val="solid"/>
                                  <a:headEnd type="none" w="med" len="med"/>
                                  <a:tailEnd type="triangle" w="med" len="med"/>
                                </a:ln>
                              </wps:spPr>
                              <wps:bodyPr/>
                            </wps:wsp>
                            <wps:wsp>
                              <wps:cNvPr id="115" name="自选图形 53"/>
                              <wps:cNvCnPr/>
                              <wps:spPr>
                                <a:xfrm>
                                  <a:off x="3073" y="7621"/>
                                  <a:ext cx="0" cy="247"/>
                                </a:xfrm>
                                <a:prstGeom prst="straightConnector1">
                                  <a:avLst/>
                                </a:prstGeom>
                                <a:ln w="9525" cap="flat" cmpd="sng">
                                  <a:solidFill>
                                    <a:srgbClr val="000000"/>
                                  </a:solidFill>
                                  <a:prstDash val="solid"/>
                                  <a:headEnd type="none" w="med" len="med"/>
                                  <a:tailEnd type="triangle" w="med" len="med"/>
                                </a:ln>
                              </wps:spPr>
                              <wps:bodyPr/>
                            </wps:wsp>
                            <wps:wsp>
                              <wps:cNvPr id="116" name="自选图形 54"/>
                              <wps:cNvCnPr/>
                              <wps:spPr>
                                <a:xfrm>
                                  <a:off x="3068" y="8689"/>
                                  <a:ext cx="0" cy="379"/>
                                </a:xfrm>
                                <a:prstGeom prst="straightConnector1">
                                  <a:avLst/>
                                </a:prstGeom>
                                <a:ln w="9525" cap="flat" cmpd="sng">
                                  <a:solidFill>
                                    <a:srgbClr val="000000"/>
                                  </a:solidFill>
                                  <a:prstDash val="solid"/>
                                  <a:headEnd type="none" w="med" len="med"/>
                                  <a:tailEnd type="triangle" w="med" len="med"/>
                                </a:ln>
                              </wps:spPr>
                              <wps:bodyPr/>
                            </wps:wsp>
                            <wps:wsp>
                              <wps:cNvPr id="117" name="自选图形 55"/>
                              <wps:cNvCnPr/>
                              <wps:spPr>
                                <a:xfrm>
                                  <a:off x="4325" y="9387"/>
                                  <a:ext cx="203" cy="14"/>
                                </a:xfrm>
                                <a:prstGeom prst="straightConnector1">
                                  <a:avLst/>
                                </a:prstGeom>
                                <a:ln w="9525" cap="flat" cmpd="sng">
                                  <a:solidFill>
                                    <a:srgbClr val="000000"/>
                                  </a:solidFill>
                                  <a:prstDash val="solid"/>
                                  <a:headEnd type="none" w="med" len="med"/>
                                  <a:tailEnd type="triangle" w="med" len="med"/>
                                </a:ln>
                              </wps:spPr>
                              <wps:bodyPr/>
                            </wps:wsp>
                            <wps:wsp>
                              <wps:cNvPr id="118" name="自选图形 56"/>
                              <wps:cNvCnPr/>
                              <wps:spPr>
                                <a:xfrm flipH="1">
                                  <a:off x="1703" y="9372"/>
                                  <a:ext cx="257" cy="0"/>
                                </a:xfrm>
                                <a:prstGeom prst="straightConnector1">
                                  <a:avLst/>
                                </a:prstGeom>
                                <a:ln w="9525" cap="flat" cmpd="sng">
                                  <a:solidFill>
                                    <a:srgbClr val="000000"/>
                                  </a:solidFill>
                                  <a:prstDash val="solid"/>
                                  <a:headEnd type="none" w="med" len="med"/>
                                  <a:tailEnd type="triangle" w="med" len="med"/>
                                </a:ln>
                              </wps:spPr>
                              <wps:bodyPr/>
                            </wps:wsp>
                            <wps:wsp>
                              <wps:cNvPr id="119" name="自选图形 57"/>
                              <wps:cNvSpPr/>
                              <wps:spPr>
                                <a:xfrm>
                                  <a:off x="942" y="9134"/>
                                  <a:ext cx="760" cy="49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遗失</w:t>
                                    </w:r>
                                  </w:p>
                                </w:txbxContent>
                              </wps:txbx>
                              <wps:bodyPr upright="1"/>
                            </wps:wsp>
                            <wps:wsp>
                              <wps:cNvPr id="120" name="自选图形 58"/>
                              <wps:cNvSpPr/>
                              <wps:spPr>
                                <a:xfrm>
                                  <a:off x="4534" y="9119"/>
                                  <a:ext cx="1068" cy="49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无法投递</w:t>
                                    </w:r>
                                  </w:p>
                                </w:txbxContent>
                              </wps:txbx>
                              <wps:bodyPr upright="1"/>
                            </wps:wsp>
                            <wps:wsp>
                              <wps:cNvPr id="121" name="自选图形 59"/>
                              <wps:cNvSpPr/>
                              <wps:spPr>
                                <a:xfrm>
                                  <a:off x="946" y="10034"/>
                                  <a:ext cx="1074" cy="137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b/>
                                        <w:bCs/>
                                        <w:sz w:val="18"/>
                                        <w:szCs w:val="18"/>
                                      </w:rPr>
                                    </w:pPr>
                                    <w:r>
                                      <w:rPr>
                                        <w:rFonts w:hint="eastAsia"/>
                                        <w:b/>
                                        <w:bCs/>
                                        <w:sz w:val="18"/>
                                        <w:szCs w:val="18"/>
                                      </w:rPr>
                                      <w:t>持有效证件“人脸识别”报到注册</w:t>
                                    </w:r>
                                  </w:p>
                                </w:txbxContent>
                              </wps:txbx>
                              <wps:bodyPr upright="1"/>
                            </wps:wsp>
                            <wps:wsp>
                              <wps:cNvPr id="122" name="自选图形 60"/>
                              <wps:cNvSpPr/>
                              <wps:spPr>
                                <a:xfrm>
                                  <a:off x="4532" y="10049"/>
                                  <a:ext cx="1074" cy="5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b/>
                                        <w:bCs/>
                                        <w:sz w:val="18"/>
                                        <w:szCs w:val="18"/>
                                      </w:rPr>
                                      <w:t>退回我校</w:t>
                                    </w:r>
                                  </w:p>
                                </w:txbxContent>
                              </wps:txbx>
                              <wps:bodyPr upright="1"/>
                            </wps:wsp>
                            <wps:wsp>
                              <wps:cNvPr id="123" name="自选图形 61"/>
                              <wps:cNvCnPr/>
                              <wps:spPr>
                                <a:xfrm>
                                  <a:off x="1337" y="9611"/>
                                  <a:ext cx="14" cy="438"/>
                                </a:xfrm>
                                <a:prstGeom prst="straightConnector1">
                                  <a:avLst/>
                                </a:prstGeom>
                                <a:ln w="9525" cap="flat" cmpd="sng">
                                  <a:solidFill>
                                    <a:srgbClr val="000000"/>
                                  </a:solidFill>
                                  <a:prstDash val="solid"/>
                                  <a:headEnd type="none" w="med" len="med"/>
                                  <a:tailEnd type="triangle" w="med" len="med"/>
                                </a:ln>
                              </wps:spPr>
                              <wps:bodyPr/>
                            </wps:wsp>
                            <wps:wsp>
                              <wps:cNvPr id="124" name="自选图形 62"/>
                              <wps:cNvCnPr/>
                              <wps:spPr>
                                <a:xfrm>
                                  <a:off x="5073" y="9611"/>
                                  <a:ext cx="13" cy="438"/>
                                </a:xfrm>
                                <a:prstGeom prst="straightConnector1">
                                  <a:avLst/>
                                </a:prstGeom>
                                <a:ln w="9525" cap="flat" cmpd="sng">
                                  <a:solidFill>
                                    <a:srgbClr val="000000"/>
                                  </a:solidFill>
                                  <a:prstDash val="solid"/>
                                  <a:headEnd type="none" w="med" len="med"/>
                                  <a:tailEnd type="triangle" w="med" len="med"/>
                                </a:ln>
                              </wps:spPr>
                              <wps:bodyPr/>
                            </wps:wsp>
                            <wps:wsp>
                              <wps:cNvPr id="125" name="自选图形 63"/>
                              <wps:cNvSpPr/>
                              <wps:spPr>
                                <a:xfrm>
                                  <a:off x="3855" y="10819"/>
                                  <a:ext cx="1783" cy="1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b/>
                                        <w:bCs/>
                                        <w:sz w:val="18"/>
                                        <w:szCs w:val="18"/>
                                      </w:rPr>
                                    </w:pPr>
                                    <w:r>
                                      <w:rPr>
                                        <w:rFonts w:eastAsia="仿宋_GB2312"/>
                                        <w:b/>
                                        <w:bCs/>
                                        <w:kern w:val="0"/>
                                        <w:sz w:val="18"/>
                                        <w:szCs w:val="18"/>
                                        <w:lang w:val="zh-CN"/>
                                      </w:rPr>
                                      <w:t>通过</w:t>
                                    </w:r>
                                    <w:r>
                                      <w:rPr>
                                        <w:rFonts w:hint="eastAsia" w:eastAsia="仿宋_GB2312"/>
                                        <w:b/>
                                        <w:bCs/>
                                        <w:kern w:val="0"/>
                                        <w:sz w:val="18"/>
                                        <w:szCs w:val="18"/>
                                        <w:lang w:val="zh-CN"/>
                                      </w:rPr>
                                      <w:t>相</w:t>
                                    </w:r>
                                    <w:r>
                                      <w:rPr>
                                        <w:rFonts w:eastAsia="仿宋_GB2312"/>
                                        <w:b/>
                                        <w:bCs/>
                                        <w:kern w:val="0"/>
                                        <w:sz w:val="18"/>
                                        <w:szCs w:val="18"/>
                                        <w:lang w:val="zh-CN"/>
                                      </w:rPr>
                                      <w:t>关省（区、市）招办联系新生妥善处理，</w:t>
                                    </w:r>
                                    <w:r>
                                      <w:rPr>
                                        <w:rFonts w:hint="eastAsia" w:eastAsia="仿宋_GB2312"/>
                                        <w:b/>
                                        <w:bCs/>
                                        <w:kern w:val="0"/>
                                        <w:sz w:val="18"/>
                                        <w:szCs w:val="18"/>
                                        <w:lang w:val="zh-CN"/>
                                      </w:rPr>
                                      <w:t>告知录取消息</w:t>
                                    </w:r>
                                  </w:p>
                                </w:txbxContent>
                              </wps:txbx>
                              <wps:bodyPr upright="1"/>
                            </wps:wsp>
                            <wps:wsp>
                              <wps:cNvPr id="126" name="自选图形 64"/>
                              <wps:cNvCnPr/>
                              <wps:spPr>
                                <a:xfrm>
                                  <a:off x="5077" y="10536"/>
                                  <a:ext cx="0" cy="26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9" o:spid="_x0000_s1026" o:spt="203" style="position:absolute;left:0pt;margin-left:-2.8pt;margin-top:20.25pt;height:538.95pt;width:234.8pt;z-index:251827200;mso-width-relative:page;mso-height-relative:page;" coordorigin="942,1440" coordsize="4696,10779" o:gfxdata="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cmv7vtkAAAAKAQAADwAAAAAAAAABACAAAAAiAAAAZHJzL2Rvd25yZXYueG1sUEsB&#10;AhQAFAAAAAgAh07iQCPQx/+9BQAAXToAAA4AAAAAAAAAAQAgAAAAKAEAAGRycy9lMm9Eb2MueG1s&#10;UEsFBgAAAAAGAAYAWQEAAFcJAAAAAA==&#10;">
                      <o:lock v:ext="edit" aspectratio="f"/>
                      <v:shape id="自选图形 40" o:spid="_x0000_s1026" o:spt="109" type="#_x0000_t109" style="position:absolute;left:1953;top:1440;height:795;width:2355;" fillcolor="#FFFFFF" filled="t" stroked="t" coordsize="21600,21600" o:gfxdata="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D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bCs/>
                                  <w:sz w:val="18"/>
                                  <w:szCs w:val="18"/>
                                </w:rPr>
                              </w:pPr>
                              <w:r>
                                <w:rPr>
                                  <w:rFonts w:hint="eastAsia"/>
                                  <w:b/>
                                  <w:bCs/>
                                  <w:sz w:val="18"/>
                                  <w:szCs w:val="18"/>
                                </w:rPr>
                                <w:t>获取邮寄地址、联系方式、新生一寸照片</w:t>
                              </w:r>
                            </w:p>
                          </w:txbxContent>
                        </v:textbox>
                      </v:shape>
                      <v:shape id="自选图形 41" o:spid="_x0000_s1026" o:spt="109" type="#_x0000_t109" style="position:absolute;left:1958;top:2580;height:420;width:2355;" fillcolor="#FFFFFF" filled="t" stroked="t" coordsize="21600,21600" o:gfxdata="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Uk9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b/>
                                  <w:bCs/>
                                  <w:sz w:val="18"/>
                                  <w:szCs w:val="18"/>
                                </w:rPr>
                              </w:pPr>
                              <w:r>
                                <w:rPr>
                                  <w:rFonts w:hint="eastAsia" w:ascii="宋体" w:hAnsi="宋体" w:cs="Arial"/>
                                  <w:b/>
                                  <w:bCs/>
                                  <w:color w:val="000000"/>
                                  <w:kern w:val="0"/>
                                  <w:sz w:val="18"/>
                                  <w:szCs w:val="18"/>
                                </w:rPr>
                                <w:t>核准录取</w:t>
                              </w:r>
                              <w:r>
                                <w:rPr>
                                  <w:rFonts w:hint="eastAsia" w:ascii="宋体" w:hAnsi="宋体" w:cs="Arial"/>
                                  <w:b/>
                                  <w:bCs/>
                                  <w:kern w:val="0"/>
                                  <w:sz w:val="18"/>
                                  <w:szCs w:val="18"/>
                                </w:rPr>
                                <w:t>名单</w:t>
                              </w:r>
                            </w:p>
                          </w:txbxContent>
                        </v:textbox>
                      </v:shape>
                      <v:shape id="自选图形 42" o:spid="_x0000_s1026" o:spt="109" type="#_x0000_t109" style="position:absolute;left:1963;top:3285;height:1065;width:2355;" fillcolor="#FFFFFF" filled="t" stroked="t" coordsize="21600,21600" o:gfxdata="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9C6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b/>
                                  <w:bCs/>
                                  <w:sz w:val="18"/>
                                  <w:szCs w:val="18"/>
                                </w:rPr>
                              </w:pPr>
                              <w:r>
                                <w:rPr>
                                  <w:rFonts w:hint="eastAsia"/>
                                  <w:b/>
                                  <w:bCs/>
                                  <w:sz w:val="18"/>
                                  <w:szCs w:val="18"/>
                                </w:rPr>
                                <w:t>打印新生 通知书、寄递单；印制《新生入学指南》；装袋；校验</w:t>
                              </w:r>
                            </w:p>
                            <w:p>
                              <w:pPr>
                                <w:rPr>
                                  <w:b/>
                                  <w:bCs/>
                                  <w:sz w:val="18"/>
                                  <w:szCs w:val="18"/>
                                </w:rPr>
                              </w:pPr>
                            </w:p>
                          </w:txbxContent>
                        </v:textbox>
                      </v:shape>
                      <v:shape id="自选图形 43" o:spid="_x0000_s1026" o:spt="109" type="#_x0000_t109" style="position:absolute;left:1948;top:4695;height:885;width:2355;" fillcolor="#FFFFFF" filled="t" stroked="t" coordsize="21600,21600" o:gfxdata="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xrj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jc w:val="left"/>
                                <w:rPr>
                                  <w:rFonts w:ascii="宋体" w:hAnsi="宋体"/>
                                  <w:b/>
                                  <w:bCs/>
                                  <w:color w:val="000000"/>
                                  <w:sz w:val="18"/>
                                  <w:szCs w:val="18"/>
                                </w:rPr>
                              </w:pPr>
                              <w:r>
                                <w:rPr>
                                  <w:rFonts w:hint="eastAsia" w:ascii="宋体" w:hAnsi="宋体"/>
                                  <w:b/>
                                  <w:bCs/>
                                  <w:color w:val="000000"/>
                                  <w:sz w:val="18"/>
                                  <w:szCs w:val="18"/>
                                </w:rPr>
                                <w:t>纪委办公室（监察室）</w:t>
                              </w:r>
                              <w:r>
                                <w:rPr>
                                  <w:rFonts w:hint="eastAsia"/>
                                  <w:b/>
                                  <w:bCs/>
                                  <w:sz w:val="18"/>
                                  <w:szCs w:val="18"/>
                                </w:rPr>
                                <w:t>全程监督并抽查</w:t>
                              </w:r>
                            </w:p>
                          </w:txbxContent>
                        </v:textbox>
                      </v:shape>
                      <v:shape id="自选图形 44" o:spid="_x0000_s1026" o:spt="109" type="#_x0000_t109" style="position:absolute;left:1958;top:5978;height:824;width:2355;" fillcolor="#FFFFFF" filled="t" stroked="t" coordsize="21600,21600" o:gfxdata="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ME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b/>
                                  <w:bCs/>
                                  <w:sz w:val="18"/>
                                  <w:szCs w:val="18"/>
                                </w:rPr>
                              </w:pPr>
                              <w:r>
                                <w:rPr>
                                  <w:rFonts w:hint="eastAsia"/>
                                  <w:b/>
                                  <w:bCs/>
                                  <w:sz w:val="18"/>
                                  <w:szCs w:val="18"/>
                                </w:rPr>
                                <w:t>与邮政企业交接、清点、登记</w:t>
                              </w:r>
                            </w:p>
                          </w:txbxContent>
                        </v:textbox>
                      </v:shape>
                      <v:shape id="自选图形 45" o:spid="_x0000_s1026" o:spt="109" type="#_x0000_t109" style="position:absolute;left:1968;top:7128;height:501;width:2345;" fillcolor="#FFFFFF" filled="t" stroked="t" coordsize="21600,21600" o:gfxdata="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5X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b/>
                                  <w:bCs/>
                                  <w:sz w:val="18"/>
                                  <w:szCs w:val="18"/>
                                </w:rPr>
                              </w:pPr>
                              <w:r>
                                <w:rPr>
                                  <w:rFonts w:hint="eastAsia"/>
                                  <w:b/>
                                  <w:bCs/>
                                  <w:sz w:val="18"/>
                                  <w:szCs w:val="18"/>
                                </w:rPr>
                                <w:t>邮寄</w:t>
                              </w:r>
                            </w:p>
                          </w:txbxContent>
                        </v:textbox>
                      </v:shape>
                      <v:shape id="自选图形 46" o:spid="_x0000_s1026" o:spt="109" type="#_x0000_t109" style="position:absolute;left:1968;top:7876;height:829;width:2370;" fillcolor="#FFFFFF" filled="t" stroked="t" coordsize="21600,21600" o:gfxdata="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AG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b/>
                                  <w:bCs/>
                                  <w:sz w:val="18"/>
                                  <w:szCs w:val="18"/>
                                </w:rPr>
                              </w:pPr>
                              <w:r>
                                <w:rPr>
                                  <w:rFonts w:hint="eastAsia" w:ascii="宋体" w:hAnsi="宋体"/>
                                  <w:b/>
                                  <w:bCs/>
                                  <w:sz w:val="18"/>
                                  <w:szCs w:val="18"/>
                                </w:rPr>
                                <w:t>邮政企业反馈录取通知书投递情况</w:t>
                              </w:r>
                            </w:p>
                          </w:txbxContent>
                        </v:textbox>
                      </v:shape>
                      <v:shape id="自选图形 47" o:spid="_x0000_s1026" o:spt="109" type="#_x0000_t109" style="position:absolute;left:1953;top:9020;height:754;width:2355;" fillcolor="#FFFFFF" filled="t" stroked="t" coordsize="21600,21600" o:gfxdata="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KQ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bCs/>
                                  <w:sz w:val="18"/>
                                  <w:szCs w:val="18"/>
                                </w:rPr>
                              </w:pPr>
                              <w:r>
                                <w:rPr>
                                  <w:rFonts w:hint="eastAsia"/>
                                  <w:b/>
                                  <w:bCs/>
                                  <w:sz w:val="18"/>
                                  <w:szCs w:val="18"/>
                                </w:rPr>
                                <w:t>开始录取通知书邮寄查询渠道</w:t>
                              </w:r>
                            </w:p>
                          </w:txbxContent>
                        </v:textbox>
                      </v:shape>
                      <v:shape id="自选图形 48" o:spid="_x0000_s1026" o:spt="32" type="#_x0000_t32" style="position:absolute;left:3048;top:2220;height:345;width:0;" filled="f" stroked="t" coordsize="21600,21600" o:gfxdata="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X9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9" o:spid="_x0000_s1026" o:spt="32" type="#_x0000_t32" style="position:absolute;left:3053;top:2985;height:285;width:0;" filled="f" stroked="t" coordsize="21600,21600" o:gfxdata="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6fp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50" o:spid="_x0000_s1026" o:spt="32" type="#_x0000_t32" style="position:absolute;left:3058;top:4342;height:345;width:0;" filled="f" stroked="t" coordsize="21600,21600" o:gfxdata="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Z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1" o:spid="_x0000_s1026" o:spt="32" type="#_x0000_t32" style="position:absolute;left:3063;top:5572;height:398;width:0;" filled="f" stroked="t" coordsize="21600,21600" o:gfxdata="UEsDBAoAAAAAAIdO4kAAAAAAAAAAAAAAAAAEAAAAZHJzL1BLAwQUAAAACACHTuJAv3fBpbwAAADc&#10;AAAADwAAAGRycy9kb3ducmV2LnhtbEVPS2sCMRC+F/wPYYTeanYt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w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2" o:spid="_x0000_s1026" o:spt="32" type="#_x0000_t32" style="position:absolute;left:3068;top:6794;height:326;width:0;"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3" o:spid="_x0000_s1026" o:spt="32" type="#_x0000_t32" style="position:absolute;left:3073;top:7621;height:247;width:0;"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4" o:spid="_x0000_s1026" o:spt="32" type="#_x0000_t32" style="position:absolute;left:3068;top:8689;height:379;width:0;"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5" o:spid="_x0000_s1026" o:spt="32" type="#_x0000_t32" style="position:absolute;left:4325;top:9387;height:14;width:203;" filled="f" stroked="t" coordsize="21600,21600" o:gfxdata="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x6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6" o:spid="_x0000_s1026" o:spt="32" type="#_x0000_t32" style="position:absolute;left:1703;top:9372;flip:x;height:0;width:257;" filled="f" stroked="t" coordsize="21600,21600" o:gfxdata="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GfI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57" o:spid="_x0000_s1026" o:spt="109" type="#_x0000_t109" style="position:absolute;left:942;top:9134;height:492;width:760;" fillcolor="#FFFFFF" filled="t" stroked="t" coordsize="21600,21600" o:gfxdata="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Uy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b/>
                                  <w:bCs/>
                                  <w:sz w:val="18"/>
                                  <w:szCs w:val="18"/>
                                </w:rPr>
                              </w:pPr>
                              <w:r>
                                <w:rPr>
                                  <w:rFonts w:hint="eastAsia"/>
                                  <w:b/>
                                  <w:bCs/>
                                  <w:sz w:val="18"/>
                                  <w:szCs w:val="18"/>
                                </w:rPr>
                                <w:t>遗失</w:t>
                              </w:r>
                            </w:p>
                          </w:txbxContent>
                        </v:textbox>
                      </v:shape>
                      <v:shape id="自选图形 58" o:spid="_x0000_s1026" o:spt="109" type="#_x0000_t109" style="position:absolute;left:4534;top:9119;height:492;width:1068;" fillcolor="#FFFFFF" filled="t" stroked="t" coordsize="21600,21600" o:gfxdata="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b/>
                                  <w:bCs/>
                                  <w:sz w:val="18"/>
                                  <w:szCs w:val="18"/>
                                </w:rPr>
                              </w:pPr>
                              <w:r>
                                <w:rPr>
                                  <w:rFonts w:hint="eastAsia"/>
                                  <w:b/>
                                  <w:bCs/>
                                  <w:sz w:val="18"/>
                                  <w:szCs w:val="18"/>
                                </w:rPr>
                                <w:t>无法投递</w:t>
                              </w:r>
                            </w:p>
                          </w:txbxContent>
                        </v:textbox>
                      </v:shape>
                      <v:shape id="自选图形 59" o:spid="_x0000_s1026" o:spt="109" type="#_x0000_t109" style="position:absolute;left:946;top:10034;height:1372;width:1074;" fillcolor="#FFFFFF" filled="t" stroked="t" coordsize="21600,21600" o:gfxdata="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9F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b/>
                                  <w:bCs/>
                                  <w:sz w:val="18"/>
                                  <w:szCs w:val="18"/>
                                </w:rPr>
                              </w:pPr>
                              <w:r>
                                <w:rPr>
                                  <w:rFonts w:hint="eastAsia"/>
                                  <w:b/>
                                  <w:bCs/>
                                  <w:sz w:val="18"/>
                                  <w:szCs w:val="18"/>
                                </w:rPr>
                                <w:t>持有效证件“人脸识别”报到注册</w:t>
                              </w:r>
                            </w:p>
                          </w:txbxContent>
                        </v:textbox>
                      </v:shape>
                      <v:shape id="自选图形 60" o:spid="_x0000_s1026" o:spt="109" type="#_x0000_t109" style="position:absolute;left:4532;top:10049;height:502;width:1074;" fillcolor="#FFFFFF" filled="t" stroked="t" coordsize="21600,21600" o:gfxdata="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LWo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b/>
                                  <w:bCs/>
                                  <w:sz w:val="18"/>
                                  <w:szCs w:val="18"/>
                                </w:rPr>
                                <w:t>退回我校</w:t>
                              </w:r>
                            </w:p>
                          </w:txbxContent>
                        </v:textbox>
                      </v:shape>
                      <v:shape id="自选图形 61" o:spid="_x0000_s1026" o:spt="32" type="#_x0000_t32" style="position:absolute;left:1337;top:9611;height:438;width:14;" filled="f" stroked="t" coordsize="21600,21600" o:gfxdata="UEsDBAoAAAAAAIdO4kAAAAAAAAAAAAAAAAAEAAAAZHJzL1BLAwQUAAAACACHTuJAcRsLGL0AAADc&#10;AAAADwAAAGRycy9kb3ducmV2LnhtbEVPS2sCMRC+C/6HMEJvml0L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w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2" o:spid="_x0000_s1026" o:spt="32" type="#_x0000_t32" style="position:absolute;left:5073;top:9611;height:438;width:13;" filled="f" stroked="t" coordsize="21600,21600" o:gfxdata="UEsDBAoAAAAAAIdO4kAAAAAAAAAAAAAAAAAEAAAAZHJzL1BLAwQUAAAACACHTuJA/vKTbL0AAADc&#10;AAAADwAAAGRycy9kb3ducmV2LnhtbEVPS2sCMRC+C/6HMEJvml0p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N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3" o:spid="_x0000_s1026" o:spt="109" type="#_x0000_t109" style="position:absolute;left:3855;top:10819;height:1400;width:1783;" fillcolor="#FFFFFF" filled="t" stroked="t" coordsize="21600,21600" o:gfxdata="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E8l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b/>
                                  <w:bCs/>
                                  <w:sz w:val="18"/>
                                  <w:szCs w:val="18"/>
                                </w:rPr>
                              </w:pPr>
                              <w:r>
                                <w:rPr>
                                  <w:rFonts w:eastAsia="仿宋_GB2312"/>
                                  <w:b/>
                                  <w:bCs/>
                                  <w:kern w:val="0"/>
                                  <w:sz w:val="18"/>
                                  <w:szCs w:val="18"/>
                                  <w:lang w:val="zh-CN"/>
                                </w:rPr>
                                <w:t>通过</w:t>
                              </w:r>
                              <w:r>
                                <w:rPr>
                                  <w:rFonts w:hint="eastAsia" w:eastAsia="仿宋_GB2312"/>
                                  <w:b/>
                                  <w:bCs/>
                                  <w:kern w:val="0"/>
                                  <w:sz w:val="18"/>
                                  <w:szCs w:val="18"/>
                                  <w:lang w:val="zh-CN"/>
                                </w:rPr>
                                <w:t>相</w:t>
                              </w:r>
                              <w:r>
                                <w:rPr>
                                  <w:rFonts w:eastAsia="仿宋_GB2312"/>
                                  <w:b/>
                                  <w:bCs/>
                                  <w:kern w:val="0"/>
                                  <w:sz w:val="18"/>
                                  <w:szCs w:val="18"/>
                                  <w:lang w:val="zh-CN"/>
                                </w:rPr>
                                <w:t>关省（区、市）招办联系新生妥善处理，</w:t>
                              </w:r>
                              <w:r>
                                <w:rPr>
                                  <w:rFonts w:hint="eastAsia" w:eastAsia="仿宋_GB2312"/>
                                  <w:b/>
                                  <w:bCs/>
                                  <w:kern w:val="0"/>
                                  <w:sz w:val="18"/>
                                  <w:szCs w:val="18"/>
                                  <w:lang w:val="zh-CN"/>
                                </w:rPr>
                                <w:t>告知录取消息</w:t>
                              </w:r>
                            </w:p>
                          </w:txbxContent>
                        </v:textbox>
                      </v:shape>
                      <v:shape id="自选图形 64" o:spid="_x0000_s1026" o:spt="32" type="#_x0000_t32" style="position:absolute;left:5077;top:10536;height:268;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招生就业处</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生源所在地招生考试院</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招生就业处</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1.从生源所在地招生考试院获取新生录取通知书邮寄地址及联系方式。</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2.核准录取名单。</w:t>
            </w:r>
          </w:p>
        </w:tc>
        <w:tc>
          <w:tcPr>
            <w:tcW w:w="992"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《教育部办公厅 国家邮政局办公室关于进一步做好2</w:t>
            </w:r>
            <w:r>
              <w:rPr>
                <w:rFonts w:ascii="仿宋_GB2312" w:hAnsi="Calibri" w:eastAsia="仿宋_GB2312" w:cs="仿宋"/>
                <w:kern w:val="0"/>
                <w:sz w:val="21"/>
                <w:szCs w:val="21"/>
              </w:rPr>
              <w:t>020</w:t>
            </w:r>
            <w:r>
              <w:rPr>
                <w:rFonts w:hint="eastAsia" w:ascii="仿宋_GB2312" w:hAnsi="Calibri" w:eastAsia="仿宋_GB2312" w:cs="仿宋"/>
                <w:kern w:val="0"/>
                <w:sz w:val="21"/>
                <w:szCs w:val="21"/>
              </w:rPr>
              <w:t>年高校录取通知书寄递工作的通知》（教学厅函〔</w:t>
            </w:r>
            <w:r>
              <w:rPr>
                <w:rFonts w:ascii="仿宋_GB2312" w:hAnsi="Calibri" w:eastAsia="仿宋_GB2312" w:cs="仿宋"/>
                <w:kern w:val="0"/>
                <w:sz w:val="21"/>
                <w:szCs w:val="21"/>
              </w:rPr>
              <w:t>2020</w:t>
            </w:r>
            <w:r>
              <w:rPr>
                <w:rFonts w:hint="eastAsia" w:ascii="仿宋_GB2312" w:hAnsi="Calibri" w:eastAsia="仿宋_GB2312" w:cs="仿宋"/>
                <w:kern w:val="0"/>
                <w:sz w:val="21"/>
                <w:szCs w:val="21"/>
              </w:rPr>
              <w:t>〕</w:t>
            </w:r>
            <w:r>
              <w:rPr>
                <w:rFonts w:ascii="仿宋_GB2312" w:hAnsi="Calibri" w:eastAsia="仿宋_GB2312" w:cs="仿宋"/>
                <w:kern w:val="0"/>
                <w:sz w:val="21"/>
                <w:szCs w:val="21"/>
              </w:rPr>
              <w:t>23</w:t>
            </w:r>
            <w:r>
              <w:rPr>
                <w:rFonts w:hint="eastAsia" w:ascii="仿宋_GB2312" w:hAnsi="Calibri" w:eastAsia="仿宋_GB2312" w:cs="仿宋"/>
                <w:kern w:val="0"/>
                <w:sz w:val="21"/>
                <w:szCs w:val="21"/>
              </w:rPr>
              <w:t>号）</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《自治区教育厅办公室转发关于进一步做好2020年高校录取通知书寄递工作的通知》（桂教办〔2020〕291号）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4" w:hRule="atLeast"/>
        </w:trPr>
        <w:tc>
          <w:tcPr>
            <w:tcW w:w="4821"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项目负责人</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招生就业处</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1.打印新生录取通知书、寄递单。</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2.使用邮政局监制的录取专用信封。</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3.录取通知书、新生入学指南（含</w:t>
            </w:r>
            <w:r>
              <w:rPr>
                <w:rFonts w:ascii="仿宋_GB2312" w:hAnsi="Calibri" w:eastAsia="仿宋_GB2312" w:cs="仿宋"/>
                <w:kern w:val="0"/>
                <w:sz w:val="21"/>
                <w:szCs w:val="21"/>
              </w:rPr>
              <w:t>学生资助政策的详细介绍</w:t>
            </w:r>
            <w:r>
              <w:rPr>
                <w:rFonts w:hint="eastAsia" w:ascii="仿宋_GB2312" w:hAnsi="Calibri" w:eastAsia="仿宋_GB2312" w:cs="仿宋"/>
                <w:kern w:val="0"/>
                <w:sz w:val="21"/>
                <w:szCs w:val="21"/>
              </w:rPr>
              <w:t>、</w:t>
            </w:r>
            <w:r>
              <w:rPr>
                <w:rFonts w:ascii="仿宋_GB2312" w:hAnsi="Calibri" w:eastAsia="仿宋_GB2312" w:cs="仿宋"/>
                <w:kern w:val="0"/>
                <w:sz w:val="21"/>
                <w:szCs w:val="21"/>
              </w:rPr>
              <w:t>大学新生应征入伍宣传单</w:t>
            </w:r>
            <w:r>
              <w:rPr>
                <w:rFonts w:hint="eastAsia" w:ascii="仿宋_GB2312" w:hAnsi="Calibri" w:eastAsia="仿宋_GB2312" w:cs="仿宋"/>
                <w:kern w:val="0"/>
                <w:sz w:val="21"/>
                <w:szCs w:val="21"/>
              </w:rPr>
              <w:t>、学校各专业介绍、报到流程及生活指南等）装袋。</w:t>
            </w:r>
          </w:p>
        </w:tc>
        <w:tc>
          <w:tcPr>
            <w:tcW w:w="992" w:type="dxa"/>
            <w:vMerge w:val="continue"/>
            <w:tcBorders>
              <w:left w:val="single" w:color="auto" w:sz="4" w:space="0"/>
              <w:right w:val="single" w:color="auto" w:sz="4" w:space="0"/>
            </w:tcBorders>
            <w:noWrap w:val="0"/>
            <w:vAlign w:val="center"/>
          </w:tcPr>
          <w:p>
            <w:pPr>
              <w:pageBreakBefore w:val="0"/>
              <w:kinsoku/>
              <w:wordWrap/>
              <w:overflowPunct/>
              <w:topLinePunct w:val="0"/>
              <w:bidi w:val="0"/>
              <w:ind w:right="-84"/>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trPr>
        <w:tc>
          <w:tcPr>
            <w:tcW w:w="4821"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项目负责人</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招生就业处</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纪委办公室（监察室）</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邮政企业</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1.新生录取通知书的封装及校验工作。</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2.做好与邮政部门交接、清点的登记手续。</w:t>
            </w:r>
          </w:p>
        </w:tc>
        <w:tc>
          <w:tcPr>
            <w:tcW w:w="992" w:type="dxa"/>
            <w:vMerge w:val="continue"/>
            <w:tcBorders>
              <w:left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4821"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邮政企业</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邮政企业</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确保录取通知书安全、准确、快速投递。</w:t>
            </w:r>
          </w:p>
        </w:tc>
        <w:tc>
          <w:tcPr>
            <w:tcW w:w="992" w:type="dxa"/>
            <w:vMerge w:val="continue"/>
            <w:tcBorders>
              <w:left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trPr>
        <w:tc>
          <w:tcPr>
            <w:tcW w:w="4821"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center"/>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项目负责人</w:t>
            </w:r>
          </w:p>
        </w:tc>
        <w:tc>
          <w:tcPr>
            <w:tcW w:w="1383"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招生就业处</w:t>
            </w:r>
          </w:p>
          <w:p>
            <w:pPr>
              <w:pageBreakBefore w:val="0"/>
              <w:kinsoku/>
              <w:wordWrap/>
              <w:overflowPunct/>
              <w:topLinePunct w:val="0"/>
              <w:autoSpaceDE w:val="0"/>
              <w:autoSpaceDN w:val="0"/>
              <w:bidi w:val="0"/>
              <w:adjustRightInd w:val="0"/>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邮政企业</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val="0"/>
              <w:autoSpaceDN w:val="0"/>
              <w:bidi w:val="0"/>
              <w:adjustRightInd w:val="0"/>
              <w:ind w:right="-84"/>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1.邮政企业反馈录取通知书投递情况（E</w:t>
            </w:r>
            <w:r>
              <w:rPr>
                <w:rFonts w:ascii="仿宋_GB2312" w:hAnsi="Calibri" w:eastAsia="仿宋_GB2312" w:cs="仿宋"/>
                <w:kern w:val="0"/>
                <w:sz w:val="21"/>
                <w:szCs w:val="21"/>
              </w:rPr>
              <w:t>MS</w:t>
            </w:r>
            <w:r>
              <w:rPr>
                <w:rFonts w:hint="eastAsia" w:ascii="仿宋_GB2312" w:hAnsi="Calibri" w:eastAsia="仿宋_GB2312" w:cs="仿宋"/>
                <w:kern w:val="0"/>
                <w:sz w:val="21"/>
                <w:szCs w:val="21"/>
              </w:rPr>
              <w:t>特快专递需采用“电子返单”功能，向我校返回录取通知书签收电子底单；顺丰快递：采用“签收确认”功能，收件人需凭顺丰发送的签收码签收快递）。</w:t>
            </w:r>
          </w:p>
          <w:p>
            <w:pPr>
              <w:pageBreakBefore w:val="0"/>
              <w:kinsoku/>
              <w:wordWrap/>
              <w:overflowPunct/>
              <w:topLinePunct w:val="0"/>
              <w:autoSpaceDE w:val="0"/>
              <w:autoSpaceDN w:val="0"/>
              <w:bidi w:val="0"/>
              <w:adjustRightInd w:val="0"/>
              <w:ind w:right="-84"/>
              <w:jc w:val="left"/>
              <w:outlineLvl w:val="9"/>
              <w:rPr>
                <w:rFonts w:ascii="仿宋_GB2312" w:hAnsi="Calibri" w:eastAsia="仿宋_GB2312" w:cs="仿宋"/>
                <w:kern w:val="0"/>
                <w:sz w:val="21"/>
                <w:szCs w:val="21"/>
              </w:rPr>
            </w:pPr>
            <w:r>
              <w:rPr>
                <w:rFonts w:hint="eastAsia" w:ascii="仿宋_GB2312" w:hAnsi="Calibri" w:eastAsia="仿宋_GB2312" w:cs="仿宋"/>
                <w:kern w:val="0"/>
                <w:sz w:val="21"/>
                <w:szCs w:val="21"/>
              </w:rPr>
              <w:t>2.开设查询窗口，为考生开通新生录取通知书寄递物流查询渠道，提供查询服务。</w:t>
            </w:r>
          </w:p>
        </w:tc>
        <w:tc>
          <w:tcPr>
            <w:tcW w:w="992"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jc w:val="left"/>
              <w:outlineLvl w:val="9"/>
              <w:rPr>
                <w:rFonts w:ascii="Calibri" w:hAnsi="Calibri" w:cs="宋体"/>
                <w:sz w:val="21"/>
                <w:szCs w:val="21"/>
              </w:rPr>
            </w:pPr>
          </w:p>
        </w:tc>
      </w:tr>
    </w:tbl>
    <w:p>
      <w:pPr>
        <w:pStyle w:val="3"/>
        <w:rPr>
          <w:rFonts w:hint="eastAsia"/>
        </w:rPr>
      </w:pP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rFonts w:ascii="Calibri" w:hAnsi="Calibri"/>
          <w:b/>
          <w:sz w:val="36"/>
          <w:szCs w:val="36"/>
        </w:rPr>
      </w:pPr>
      <w:bookmarkStart w:id="437" w:name="_Toc5006"/>
      <w:bookmarkStart w:id="438" w:name="_Toc6929"/>
      <w:bookmarkStart w:id="439" w:name="_Toc12339"/>
      <w:r>
        <w:rPr>
          <w:rFonts w:hint="eastAsia" w:ascii="Calibri" w:hAnsi="Calibri"/>
          <w:b/>
          <w:sz w:val="36"/>
          <w:szCs w:val="36"/>
        </w:rPr>
        <w:t>实训室诊断与改进管理办法（试行）</w:t>
      </w:r>
      <w:bookmarkEnd w:id="437"/>
      <w:bookmarkEnd w:id="438"/>
      <w:bookmarkEnd w:id="439"/>
    </w:p>
    <w:p>
      <w:pPr>
        <w:pageBreakBefore w:val="0"/>
        <w:kinsoku/>
        <w:wordWrap/>
        <w:overflowPunct/>
        <w:topLinePunct w:val="0"/>
        <w:bidi w:val="0"/>
        <w:jc w:val="center"/>
        <w:outlineLvl w:val="9"/>
        <w:rPr>
          <w:rFonts w:ascii="仿宋_GB2312" w:hAnsi="Calibri" w:eastAsia="仿宋_GB2312"/>
          <w:sz w:val="32"/>
          <w:szCs w:val="32"/>
        </w:rPr>
      </w:pPr>
      <w:r>
        <w:rPr>
          <w:rFonts w:hint="eastAsia" w:ascii="仿宋_GB2312" w:hAnsi="Calibri" w:eastAsia="仿宋_GB2312"/>
          <w:sz w:val="32"/>
          <w:szCs w:val="32"/>
        </w:rPr>
        <w:t>柳职院字〔2020〕31 号</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为贯彻落实教育部《高等学校仪器设备管理办法》（教高〔2000〕 9号）和教育部《高等职业院校内部质量保证体系诊断与改进指导方案（试行）》（</w:t>
      </w:r>
      <w:r>
        <w:rPr>
          <w:rFonts w:ascii="仿宋_GB2312" w:hAnsi="Calibri" w:eastAsia="仿宋_GB2312" w:cs="仿宋"/>
          <w:kern w:val="0"/>
          <w:sz w:val="32"/>
          <w:szCs w:val="32"/>
        </w:rPr>
        <w:t>教职成司函〔2015〕168号</w:t>
      </w:r>
      <w:r>
        <w:rPr>
          <w:rFonts w:hint="eastAsia" w:ascii="仿宋_GB2312" w:hAnsi="Calibri" w:eastAsia="仿宋_GB2312" w:cs="仿宋"/>
          <w:kern w:val="0"/>
          <w:sz w:val="32"/>
          <w:szCs w:val="32"/>
        </w:rPr>
        <w:t xml:space="preserve">）精神，以及学校《基于卓越绩效模式的内部质量体系诊断改进工作实施方案》的相关要求，特制订本管理办法。 </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一、实训室诊改适用范围</w:t>
      </w:r>
      <w:r>
        <w:rPr>
          <w:rFonts w:ascii="黑体" w:hAnsi="黑体" w:eastAsia="黑体" w:cs="仿宋"/>
          <w:b/>
          <w:kern w:val="0"/>
          <w:sz w:val="32"/>
          <w:szCs w:val="32"/>
        </w:rPr>
        <w:t> </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本办法适用于本校内用于教学和培训的体验室、实验室、实训室、生产车间、计算机房、语音室等，不适用于研讨室、多媒体教室、运动场馆、大师工作室、校外实训基地等。</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二、实训室诊改标准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实训室诊改标准共包括5个一级指标：制度及记录、设备及耗材、环境及安全、教材及使用率、创新及成效等，下设12个二级指标，各指标有评分分值，总分100分。详见《柳州职业技术学院实训室诊断与改进标准》（附件1）。</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实训室诊改标准的评分方法为符合标准的得分，不符合标准的不得分；如有扣分项，扣完该项总分值为止，不计负分。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三、实训室诊改程序</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1.发布诊改通知</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成立学校实训室诊改工作小组，提前2周发布通知需诊改的实训室。</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2.实训室自评</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实训室根据诊改标准进行自查，填写《柳州职业技术学院实训室诊断自评表》（附件2），给出自评分及理由。在现场诊断前上报学校诊改工作小组。</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3. 实训室诊断</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学校诊改工作小组根据实训室诊改标准，采用材料预审和现场诊断相结合的方式，对实训室进行诊断评估，填写《柳州职业技术学院实训室现场诊断评分表》（附件3），给出诊断评分及理由，反馈诊断结果和改进要求。</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材料预审。诊改工作小组审核实训室上报的各项材料和数据，认真审阅自评材料，提出预评意见。</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现场诊断。实训室现场诊断方式包括听取管理员汇报、访谈教师和学生、听课、检查材料、试运行设备、核查账物等。</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4.对标改进</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根据诊改工作小组的反馈意见结果和改进要求，实训室负责二级学院提出改进方案和措施，填写《柳州职业技术学院实训室改进情况表》（附件4），于现场诊断结束后5天内上报诊改工作小组，并落实改进工作实施。</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b/>
          <w:kern w:val="0"/>
          <w:sz w:val="32"/>
          <w:szCs w:val="32"/>
        </w:rPr>
      </w:pPr>
      <w:r>
        <w:rPr>
          <w:rFonts w:hint="eastAsia" w:ascii="仿宋_GB2312" w:hAnsi="Calibri" w:eastAsia="仿宋_GB2312" w:cs="仿宋"/>
          <w:b/>
          <w:kern w:val="0"/>
          <w:sz w:val="32"/>
          <w:szCs w:val="32"/>
        </w:rPr>
        <w:t>5.回访与复查</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学校诊改工作小组根据《柳州职业技术学院实训室改进情况表》进行回访与复查。</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黑体" w:hAnsi="黑体" w:eastAsia="黑体" w:cs="仿宋"/>
          <w:b/>
          <w:kern w:val="0"/>
          <w:sz w:val="32"/>
          <w:szCs w:val="32"/>
        </w:rPr>
      </w:pPr>
      <w:r>
        <w:rPr>
          <w:rFonts w:hint="eastAsia" w:ascii="黑体" w:hAnsi="黑体" w:eastAsia="黑体" w:cs="仿宋"/>
          <w:b/>
          <w:kern w:val="0"/>
          <w:sz w:val="32"/>
          <w:szCs w:val="32"/>
        </w:rPr>
        <w:t>五、实训室诊断结果评级</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优秀，诊断评分≥90分；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良好，90分＞诊断评分≥80分；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中等，80分＞诊断评分≥70分；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合格，70分＞诊断评分≥60分；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r>
        <w:rPr>
          <w:rFonts w:hint="eastAsia" w:ascii="仿宋_GB2312" w:hAnsi="Calibri" w:eastAsia="仿宋_GB2312" w:cs="仿宋"/>
          <w:kern w:val="0"/>
          <w:sz w:val="32"/>
          <w:szCs w:val="32"/>
        </w:rPr>
        <w:t>不合格，诊断评分＜60分。</w:t>
      </w: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pPr>
    </w:p>
    <w:p>
      <w:pPr>
        <w:pageBreakBefore w:val="0"/>
        <w:kinsoku/>
        <w:wordWrap/>
        <w:overflowPunct/>
        <w:topLinePunct w:val="0"/>
        <w:autoSpaceDE w:val="0"/>
        <w:autoSpaceDN w:val="0"/>
        <w:bidi w:val="0"/>
        <w:adjustRightInd w:val="0"/>
        <w:spacing w:line="580" w:lineRule="exact"/>
        <w:ind w:firstLine="640" w:firstLineChars="200"/>
        <w:jc w:val="left"/>
        <w:outlineLvl w:val="9"/>
        <w:rPr>
          <w:rFonts w:ascii="仿宋_GB2312" w:hAnsi="Calibri" w:eastAsia="仿宋_GB2312" w:cs="仿宋"/>
          <w:kern w:val="0"/>
          <w:sz w:val="32"/>
          <w:szCs w:val="32"/>
        </w:rPr>
        <w:sectPr>
          <w:headerReference r:id="rId35" w:type="first"/>
          <w:footerReference r:id="rId38" w:type="first"/>
          <w:headerReference r:id="rId33" w:type="default"/>
          <w:footerReference r:id="rId36" w:type="default"/>
          <w:headerReference r:id="rId34" w:type="even"/>
          <w:footerReference r:id="rId37" w:type="even"/>
          <w:pgSz w:w="11906" w:h="16838"/>
          <w:pgMar w:top="2098" w:right="1474" w:bottom="1985" w:left="1588" w:header="851" w:footer="1559" w:gutter="0"/>
          <w:pgNumType w:fmt="decimal"/>
          <w:cols w:space="720" w:num="1"/>
          <w:docGrid w:type="linesAndChars" w:linePitch="584" w:charSpace="0"/>
        </w:sectPr>
      </w:pPr>
    </w:p>
    <w:p>
      <w:pPr>
        <w:pageBreakBefore w:val="0"/>
        <w:widowControl/>
        <w:kinsoku/>
        <w:wordWrap/>
        <w:overflowPunct/>
        <w:topLinePunct w:val="0"/>
        <w:bidi w:val="0"/>
        <w:spacing w:line="460" w:lineRule="exact"/>
        <w:ind w:right="700"/>
        <w:outlineLvl w:val="9"/>
        <w:rPr>
          <w:rFonts w:hint="eastAsia" w:ascii="Calibri" w:hAnsi="Calibri"/>
          <w:b/>
          <w:sz w:val="36"/>
          <w:szCs w:val="36"/>
        </w:rPr>
      </w:pPr>
      <w:r>
        <w:rPr>
          <w:rFonts w:hint="eastAsia" w:ascii="黑体" w:hAnsi="Calibri" w:eastAsia="黑体"/>
          <w:sz w:val="32"/>
          <w:szCs w:val="32"/>
        </w:rPr>
        <w:t>附件1：</w:t>
      </w:r>
    </w:p>
    <w:p>
      <w:pPr>
        <w:pageBreakBefore w:val="0"/>
        <w:kinsoku/>
        <w:wordWrap/>
        <w:overflowPunct/>
        <w:topLinePunct w:val="0"/>
        <w:bidi w:val="0"/>
        <w:jc w:val="center"/>
        <w:outlineLvl w:val="9"/>
        <w:rPr>
          <w:rFonts w:ascii="Calibri" w:hAnsi="Calibri"/>
          <w:b/>
          <w:sz w:val="32"/>
          <w:szCs w:val="32"/>
        </w:rPr>
      </w:pPr>
      <w:r>
        <w:rPr>
          <w:rFonts w:hint="eastAsia" w:ascii="Calibri" w:hAnsi="Calibri"/>
          <w:b/>
          <w:sz w:val="32"/>
          <w:szCs w:val="32"/>
        </w:rPr>
        <w:t>柳州职业技术学院实训室诊断与改进标准</w:t>
      </w:r>
    </w:p>
    <w:tbl>
      <w:tblPr>
        <w:tblStyle w:val="17"/>
        <w:tblW w:w="13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280"/>
        <w:gridCol w:w="1224"/>
        <w:gridCol w:w="4295"/>
        <w:gridCol w:w="3940"/>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754" w:hRule="atLeast"/>
          <w:tblHeader/>
          <w:jc w:val="center"/>
        </w:trPr>
        <w:tc>
          <w:tcPr>
            <w:tcW w:w="1280"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一级指标</w:t>
            </w:r>
          </w:p>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二级指标</w:t>
            </w:r>
          </w:p>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4295"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指标内涵</w:t>
            </w:r>
          </w:p>
        </w:tc>
        <w:tc>
          <w:tcPr>
            <w:tcW w:w="3940" w:type="dxa"/>
            <w:noWrap w:val="0"/>
            <w:vAlign w:val="center"/>
          </w:tcPr>
          <w:p>
            <w:pPr>
              <w:pageBreakBefore w:val="0"/>
              <w:kinsoku/>
              <w:wordWrap/>
              <w:overflowPunct/>
              <w:topLinePunct w:val="0"/>
              <w:bidi w:val="0"/>
              <w:snapToGrid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评分标准</w:t>
            </w:r>
          </w:p>
        </w:tc>
        <w:tc>
          <w:tcPr>
            <w:tcW w:w="248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考察方式及支撑材料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1280" w:type="dxa"/>
            <w:vMerge w:val="restart"/>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制度及记录</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224" w:type="dxa"/>
            <w:noWrap w:val="0"/>
            <w:vAlign w:val="center"/>
          </w:tcPr>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人员配备</w:t>
            </w:r>
          </w:p>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4295"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1.二级学院领导有专人负责实训室管理。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2.实训室配备有专门管理员。若有特殊要求，使用、管理实训室人员经过培训，持证上岗。</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3.贵重仪器设备（单价或整套10万以上）有专人负责管理。</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1.有学院领导负责实训室管理1分。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2.实训室有专门管理员2分；按要求持证上岗1分。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3.贵重设备有专人管理1分。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1.负责人信息公开。</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2.管理人员的资格证书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建立制度</w:t>
            </w:r>
          </w:p>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1.建立实训室使用规范制度，对使用教师、使用学生、管理员有明确的使用要求。易燃、易爆、剧毒、放射性物资及其他危险物品，制定专门管理制度。</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2.把实训室的使用规范有关要求纳入教学过程，规范使用前、使用中、使用后的行为。</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3.实训室建立了必备的四个基本管理制度（包括岗位责任制度、安全制度、卫生保洁制度、设备维护维修制度）。</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4.制定有劳动教育相关制度及教学内容。</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5.采用管理信息化系统</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1.有实训室使用规范制度1分。若有危险品，但无专门制度不得分。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2.把实训室的使用规范有关要求纳入教学过程1分。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3.四个基本管理制度共4分，每缺一个-1分；四个基本管理文件档案共2分，每缺一个-1分。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 有劳动教育相关制度及教学内容1分。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5.采用管理信息化系统1分。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1.现场观察教学过程中老师和学生的行为。</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2.管理制度并公开（发文或张贴）。</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3.必要的过程性记录文件档案。</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4.查看管理信息系统。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管理记录</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实训室按照四个基本管理制度（包括岗位责任制度、安全制度、卫生保洁制度、设备维护维修制度）执行。有管理执行情况记录文档，记录文档完备规范（实训教学计划、实训室使用记录、设备维修记录、安全卫生检查记录）。</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2.使用信息化的电子文档。</w:t>
            </w:r>
          </w:p>
        </w:tc>
        <w:tc>
          <w:tcPr>
            <w:tcW w:w="3940"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1.制度执行好，管理执行情况记录文档齐全，记录规范共8分。四个基本管理执行记录（实训教学计划、实训室使用记录、设备维修记录、安全卫生检查记录）每少一个或不按要求记录-2分。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2.使用信息化管理记录2分。</w:t>
            </w:r>
          </w:p>
        </w:tc>
        <w:tc>
          <w:tcPr>
            <w:tcW w:w="2484"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1.制度执行过程性记录。</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2.管理执行情况记录文档。</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3.管理信息化系统及使用记录。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907" w:hRule="atLeast"/>
          <w:jc w:val="center"/>
        </w:trPr>
        <w:tc>
          <w:tcPr>
            <w:tcW w:w="1280" w:type="dxa"/>
            <w:vMerge w:val="restart"/>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设备及耗材</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仪器设备</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tabs>
                <w:tab w:val="left" w:pos="842"/>
              </w:tabs>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1.仪器设备的账、物相符；仪器设备张贴条形码，张贴必要的建设项目信息；捐赠、丢失、损坏和报废的设备，按规定处理。</w:t>
            </w:r>
          </w:p>
          <w:p>
            <w:pPr>
              <w:pageBreakBefore w:val="0"/>
              <w:tabs>
                <w:tab w:val="left" w:pos="842"/>
              </w:tabs>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2.仪器设备完好率高。</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3.仪器设备技术资料保管齐全。</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1.仪器设备账物相符共5分，每有一套设备账物不符-1分；仪器设备条形码等信息不完整-1分；仪器设备变更处理不符合规定-1分。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2.仪器设备技术资料齐全完整2分。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3.计算机房、实训室仪器设备完好率为90%及以上则3分；为80%-90%则2分；为60%-80%则1分；60%以下则0分。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1.账物逐项核对，核查设备变更处理证明材料。</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2.核查仪器设备技术资料。</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3.随机抽取至少3个实训室的仪器设备完好率，取平均值。</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仪器设备完好率=实际可使用仪器设备数/仪器设备总数。其中，实际可使用仪器设备数可根据仪器设备使用记录统计或现场测试统计；仪器设备总数以设备资产登记数为准。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096" w:hRule="atLeast"/>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低值耐用品、低值易耗品和材料、实训工具</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1.低值耐用品、低值易耗品、材料的账、物相符。</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2.低值耐用品、低值易耗品、材料的保管、领用和回收记录规范。</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3.制定低值耐用品、低值易耗品、材料年度经费预算。</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4.实训工具的保管、领用和回收记录规范。</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1.耗材账、物相符共4分，每项不符-1分。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2.耗材、实训工具的保管、领用和回收记录规范共5分，每项不符-1分。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3.制定耗材经费预算1分。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1.账物逐项核对。</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2.随机抽取不低于5种低值耐用品、低值易耗品、材料进行核查（如果设耗材室，则检查耗材室）。</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3.物品的过程性记录。</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4.物品的经费预算。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986" w:hRule="atLeast"/>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教学软件</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 及时软件升级、后期服务。实训室必备的教学软件保证运行良好。</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2.教学软件的账、物相符。</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1.服务保障及时，软件运行良好共4分，不正常一个-1分。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2.教学软件账、物相符1分。</w:t>
            </w:r>
          </w:p>
        </w:tc>
        <w:tc>
          <w:tcPr>
            <w:tcW w:w="2484"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1.随机抽取不低于5台或20%软件试运行。</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2.账物逐项核对。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631" w:hRule="atLeast"/>
          <w:jc w:val="center"/>
        </w:trPr>
        <w:tc>
          <w:tcPr>
            <w:tcW w:w="1280" w:type="dxa"/>
            <w:vMerge w:val="restart"/>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环境及安全</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标识</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1.设置实训室标识牌：实训室简介、实训项目。</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2.实训需要公开的管理制度标识：学生守则、开放使用制度。</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3.安全操作规程、设备操作流程等标识。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4.有体现职业素养的标识。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5.有体现工匠精神文化传承的标识。</w:t>
            </w:r>
          </w:p>
        </w:tc>
        <w:tc>
          <w:tcPr>
            <w:tcW w:w="3940"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设置有实训室标识、管理制度标识、安全操作规程流程标识、职业素养的标识、工匠精神文化传承的标识等五类标识共5分，前三类标识每缺失一类-1分。</w:t>
            </w:r>
          </w:p>
        </w:tc>
        <w:tc>
          <w:tcPr>
            <w:tcW w:w="2484"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1.实地现场查看。</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2.制度、操作规程、职业素养、工匠精神上墙或可查看相关提示信息。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645" w:hRule="atLeast"/>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整洁</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达到精益管理的要求，主要包括：</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1.门窗、地面、墙面、天花板等无污迹、无破损、无烟头、无纸屑。</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2.设备、桌椅、台架等整洁无灰尘。</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3.设备、桌椅、台架摆放整齐。</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4.不堆放无关的杂物，按标识摆放物品。</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1.门窗、地面、墙面、天花板等无污迹、无破损、无烟头、无纸屑等，每处存在一项问题-1分。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2.设备、桌椅、台架等整洁无脏尘等，每处存在一项问题-1分。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3.设备、桌椅、台架摆放整齐，每处存在一项问题-1分。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4.堆放无关的杂物，或不按标识摆放物品，每处存在一项问题-1分。</w:t>
            </w:r>
          </w:p>
        </w:tc>
        <w:tc>
          <w:tcPr>
            <w:tcW w:w="2484"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实地现场查看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829" w:hRule="atLeast"/>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安全</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1.设置安全警示标识、逃生路线图和求救电话。</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2.消防设施配置完备合格，定期检查。</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3.电、水、气等使用，符合安全标准；排放废气、4.废水、废物，遵守国家环境保护工作的有关规定。</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危险品存放及使用，符合安全标准要求，有记录。</w:t>
            </w:r>
          </w:p>
        </w:tc>
        <w:tc>
          <w:tcPr>
            <w:tcW w:w="3940"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1.设置安全警示标识、逃生路线图和求救电话等，每处存在一项问题-2分。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2.消防设施配置完备合格，定期检查等，每处存在一项问题-2分。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 电、水、气等使用不符合安全标准，排放废气、废水、废物不符合有关规定等，每处存在一项问题-5分。</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4.危险品存放及使用，符合安全标准要求，有记录等，每处存在一项问题-5分。</w:t>
            </w:r>
          </w:p>
        </w:tc>
        <w:tc>
          <w:tcPr>
            <w:tcW w:w="2484"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1.实地现场查看。</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2.消防物品定期检查记录。</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3.安全使用、安全排放检查。</w:t>
            </w:r>
          </w:p>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4.危险品存放及使用记录。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1356" w:hRule="atLeast"/>
          <w:jc w:val="center"/>
        </w:trPr>
        <w:tc>
          <w:tcPr>
            <w:tcW w:w="1280" w:type="dxa"/>
            <w:vMerge w:val="restart"/>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教材及</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（20分）</w:t>
            </w:r>
          </w:p>
        </w:tc>
        <w:tc>
          <w:tcPr>
            <w:tcW w:w="1224" w:type="dxa"/>
            <w:noWrap w:val="0"/>
            <w:vAlign w:val="center"/>
          </w:tcPr>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教学材料</w:t>
            </w:r>
          </w:p>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4295" w:type="dxa"/>
            <w:noWrap w:val="0"/>
            <w:vAlign w:val="center"/>
          </w:tcPr>
          <w:p>
            <w:pPr>
              <w:pageBreakBefore w:val="0"/>
              <w:kinsoku/>
              <w:wordWrap/>
              <w:overflowPunct/>
              <w:topLinePunct w:val="0"/>
              <w:bidi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1.制定实训课程标准，包含有职业素养养成、工匠精神文化传承的要求。</w:t>
            </w:r>
          </w:p>
          <w:p>
            <w:pPr>
              <w:pageBreakBefore w:val="0"/>
              <w:widowControl/>
              <w:tabs>
                <w:tab w:val="left" w:pos="180"/>
                <w:tab w:val="left" w:pos="720"/>
              </w:tabs>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2.制定实训项目指导书。</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1.实训课程标准完整规范2分，已开设的实训课程的课标缺少或内容不完整的一个-1分。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2.实训项目指导书完整规范2分，已开设的实训课程中缺少一个项目指导书-1分。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1.实训课程标准；</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2.实训项目指导书；</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920" w:hRule="atLeast"/>
          <w:jc w:val="center"/>
        </w:trPr>
        <w:tc>
          <w:tcPr>
            <w:tcW w:w="1280" w:type="dxa"/>
            <w:vMerge w:val="continue"/>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p>
        </w:tc>
        <w:tc>
          <w:tcPr>
            <w:tcW w:w="1224" w:type="dxa"/>
            <w:noWrap w:val="0"/>
            <w:vAlign w:val="center"/>
          </w:tcPr>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（15分）</w:t>
            </w:r>
          </w:p>
        </w:tc>
        <w:tc>
          <w:tcPr>
            <w:tcW w:w="4295" w:type="dxa"/>
            <w:noWrap w:val="0"/>
            <w:vAlign w:val="center"/>
          </w:tcPr>
          <w:p>
            <w:pPr>
              <w:pageBreakBefore w:val="0"/>
              <w:widowControl/>
              <w:tabs>
                <w:tab w:val="left" w:pos="180"/>
                <w:tab w:val="left" w:pos="720"/>
              </w:tabs>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计算机房、基础实训室、专业实训室使用率高。</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实训室使用率共15分，其中计算机房、基础实训室、专业实训室使用率分别达到60%、40%、30%及以上则15分。使用率未达15分标准的，计分按公式计算：</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计算机房使用率计分=使用率*（15/60%）取整数。</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基础实训室使用率计分=使用率*（15/40%）取整数。</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专业实训室使用率计分=使用率*（15/30%）取整数。</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使用率=阶段实际使用课时/阶段教学安排总课时。</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其中：阶段实际使用课时根据某阶段时期的实际排课安排、使用登记表等统计；阶段教学安排总课时为某阶段时期的学校教学安排总天数（各类假期除外）*8课时/天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2906" w:hRule="atLeast"/>
          <w:jc w:val="center"/>
        </w:trPr>
        <w:tc>
          <w:tcPr>
            <w:tcW w:w="1280" w:type="dxa"/>
            <w:noWrap w:val="0"/>
            <w:vAlign w:val="center"/>
          </w:tcPr>
          <w:p>
            <w:pPr>
              <w:pageBreakBefore w:val="0"/>
              <w:kinsoku/>
              <w:wordWrap/>
              <w:overflowPunct/>
              <w:topLinePunct w:val="0"/>
              <w:bidi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创新及成效（5分）</w:t>
            </w:r>
          </w:p>
        </w:tc>
        <w:tc>
          <w:tcPr>
            <w:tcW w:w="1224" w:type="dxa"/>
            <w:noWrap w:val="0"/>
            <w:vAlign w:val="center"/>
          </w:tcPr>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技术管理创新及建设成效</w:t>
            </w:r>
          </w:p>
          <w:p>
            <w:pPr>
              <w:pageBreakBefore w:val="0"/>
              <w:kinsoku/>
              <w:wordWrap/>
              <w:overflowPunct/>
              <w:topLinePunct w:val="0"/>
              <w:bidi w:val="0"/>
              <w:adjustRightInd w:val="0"/>
              <w:snapToGrid w:val="0"/>
              <w:spacing w:line="28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4295"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1.挖掘现有仪器设备潜力，开发功能、改造升级、延长寿命；自制新型教学、科研仪器设备等。</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2.创新管理方式和措施；优化实行开放实训室管理等。</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3.校企合作成绩突出。</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4.对外培训、技术研究和开发成效明显。</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5.提高实训室利用率效果明显。</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6.支持创新创造方面成效显著。</w:t>
            </w:r>
          </w:p>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7.实训基地建设取得标志性成果。</w:t>
            </w:r>
          </w:p>
        </w:tc>
        <w:tc>
          <w:tcPr>
            <w:tcW w:w="3940"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只要满足一项创新或成效指标5分，已认定过的创新或成效不计分。</w:t>
            </w:r>
          </w:p>
        </w:tc>
        <w:tc>
          <w:tcPr>
            <w:tcW w:w="2484" w:type="dxa"/>
            <w:noWrap w:val="0"/>
            <w:vAlign w:val="center"/>
          </w:tcPr>
          <w:p>
            <w:pPr>
              <w:pageBreakBefore w:val="0"/>
              <w:kinsoku/>
              <w:wordWrap/>
              <w:overflowPunct/>
              <w:topLinePunct w:val="0"/>
              <w:bidi w:val="0"/>
              <w:adjustRightInd w:val="0"/>
              <w:snapToGrid w:val="0"/>
              <w:spacing w:line="280" w:lineRule="exact"/>
              <w:jc w:val="left"/>
              <w:outlineLvl w:val="9"/>
              <w:rPr>
                <w:rFonts w:hint="eastAsia" w:ascii="仿宋_GB2312" w:hAnsi="宋体" w:eastAsia="仿宋_GB2312"/>
                <w:sz w:val="21"/>
                <w:szCs w:val="21"/>
              </w:rPr>
            </w:pPr>
            <w:r>
              <w:rPr>
                <w:rFonts w:hint="eastAsia" w:ascii="仿宋_GB2312" w:hAnsi="宋体" w:eastAsia="仿宋_GB2312"/>
                <w:sz w:val="21"/>
                <w:szCs w:val="21"/>
              </w:rPr>
              <w:t>提供能证明的材料或实物</w:t>
            </w:r>
            <w:r>
              <w:rPr>
                <w:rFonts w:ascii="Calibri" w:hAnsi="Calibri"/>
              </w:rPr>
              <mc:AlternateContent>
                <mc:Choice Requires="wps">
                  <w:drawing>
                    <wp:anchor distT="0" distB="0" distL="114300" distR="114300" simplePos="0" relativeHeight="251880448" behindDoc="0" locked="0" layoutInCell="1" allowOverlap="1">
                      <wp:simplePos x="0" y="0"/>
                      <wp:positionH relativeFrom="column">
                        <wp:posOffset>917575</wp:posOffset>
                      </wp:positionH>
                      <wp:positionV relativeFrom="paragraph">
                        <wp:posOffset>6448425</wp:posOffset>
                      </wp:positionV>
                      <wp:extent cx="421640" cy="539750"/>
                      <wp:effectExtent l="0" t="0" r="16510" b="12700"/>
                      <wp:wrapNone/>
                      <wp:docPr id="128" name="Text Box 1"/>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13 -</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Text Box 1" o:spid="_x0000_s1026" o:spt="202" type="#_x0000_t202" style="position:absolute;left:0pt;margin-left:72.25pt;margin-top:507.75pt;height:42.5pt;width:33.2pt;z-index:251880448;mso-width-relative:page;mso-height-relative:page;" fillcolor="#FFFFFF" filled="t" stroked="f" coordsize="21600,21600" o:gfxdata="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ULFm2wAAAA0BAAAPAAAAAAAAAAEAIAAAACIAAABk&#10;cnMvZG93bnJldi54bWxQSwECFAAUAAAACACHTuJAcsA9zQMCAAD+AwAADgAAAAAAAAABACAAAAAq&#10;AQAAZHJzL2Uyb0RvYy54bWxQSwUGAAAAAAYABgBZAQAAnwUAAAAA&#10;">
                      <v:fill on="t" focussize="0,0"/>
                      <v:stroke on="f"/>
                      <v:imagedata o:title=""/>
                      <o:lock v:ext="edit" aspectratio="f"/>
                      <v:textbox style="layout-flow:vertical;mso-fit-shape-to-text:t;">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13 -</w:t>
                            </w:r>
                            <w:r>
                              <w:rPr>
                                <w:rFonts w:ascii="宋体" w:hAnsi="宋体"/>
                                <w:sz w:val="28"/>
                                <w:szCs w:val="28"/>
                              </w:rPr>
                              <w:fldChar w:fldCharType="end"/>
                            </w:r>
                          </w:p>
                        </w:txbxContent>
                      </v:textbox>
                    </v:shape>
                  </w:pict>
                </mc:Fallback>
              </mc:AlternateContent>
            </w:r>
          </w:p>
        </w:tc>
      </w:tr>
    </w:tbl>
    <w:p>
      <w:pPr>
        <w:pageBreakBefore w:val="0"/>
        <w:widowControl/>
        <w:kinsoku/>
        <w:wordWrap/>
        <w:overflowPunct/>
        <w:topLinePunct w:val="0"/>
        <w:bidi w:val="0"/>
        <w:spacing w:line="460" w:lineRule="exact"/>
        <w:ind w:right="700"/>
        <w:outlineLvl w:val="9"/>
        <w:rPr>
          <w:rFonts w:ascii="仿宋_GB2312" w:hAnsi="Calibri" w:eastAsia="仿宋_GB2312" w:cs="仿宋"/>
          <w:kern w:val="0"/>
          <w:sz w:val="32"/>
          <w:szCs w:val="32"/>
        </w:rPr>
        <w:sectPr>
          <w:footerReference r:id="rId40" w:type="default"/>
          <w:headerReference r:id="rId39" w:type="even"/>
          <w:footerReference r:id="rId41" w:type="even"/>
          <w:pgSz w:w="16838" w:h="11906" w:orient="landscape"/>
          <w:pgMar w:top="1588" w:right="2098" w:bottom="1474" w:left="1985" w:header="851" w:footer="1559" w:gutter="0"/>
          <w:pgNumType w:fmt="decimal"/>
          <w:cols w:space="720" w:num="1"/>
          <w:docGrid w:type="lines" w:linePitch="584" w:charSpace="0"/>
        </w:sectPr>
      </w:pPr>
    </w:p>
    <w:p>
      <w:pPr>
        <w:pageBreakBefore w:val="0"/>
        <w:widowControl/>
        <w:kinsoku/>
        <w:wordWrap/>
        <w:overflowPunct/>
        <w:topLinePunct w:val="0"/>
        <w:bidi w:val="0"/>
        <w:spacing w:line="460" w:lineRule="exact"/>
        <w:ind w:right="700"/>
        <w:outlineLvl w:val="9"/>
        <w:rPr>
          <w:rFonts w:ascii="黑体" w:hAnsi="Calibri" w:eastAsia="黑体"/>
          <w:sz w:val="32"/>
          <w:szCs w:val="32"/>
        </w:rPr>
      </w:pPr>
      <w:r>
        <w:rPr>
          <w:rFonts w:hint="eastAsia" w:ascii="黑体" w:hAnsi="Calibri" w:eastAsia="黑体"/>
          <w:sz w:val="32"/>
          <w:szCs w:val="32"/>
        </w:rPr>
        <w:t>附件2：</w:t>
      </w:r>
    </w:p>
    <w:p>
      <w:pPr>
        <w:pageBreakBefore w:val="0"/>
        <w:widowControl/>
        <w:kinsoku/>
        <w:wordWrap/>
        <w:overflowPunct/>
        <w:topLinePunct w:val="0"/>
        <w:bidi w:val="0"/>
        <w:spacing w:line="520" w:lineRule="exact"/>
        <w:ind w:right="697"/>
        <w:jc w:val="center"/>
        <w:outlineLvl w:val="9"/>
        <w:rPr>
          <w:rFonts w:ascii="Calibri" w:hAnsi="Calibri"/>
          <w:b/>
          <w:sz w:val="36"/>
          <w:szCs w:val="36"/>
        </w:rPr>
      </w:pPr>
      <w:r>
        <w:rPr>
          <w:rFonts w:hint="eastAsia" w:ascii="Calibri" w:hAnsi="Calibri"/>
          <w:b/>
          <w:sz w:val="36"/>
          <w:szCs w:val="36"/>
        </w:rPr>
        <w:t>柳州职业技术学院实训室诊断自评表</w:t>
      </w:r>
    </w:p>
    <w:tbl>
      <w:tblPr>
        <w:tblStyle w:val="17"/>
        <w:tblW w:w="90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1376"/>
        <w:gridCol w:w="337"/>
        <w:gridCol w:w="1438"/>
        <w:gridCol w:w="1110"/>
        <w:gridCol w:w="631"/>
        <w:gridCol w:w="1299"/>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3"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二级学院</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299"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sz w:val="21"/>
                <w:szCs w:val="21"/>
              </w:rPr>
              <w:t>诊断日期</w:t>
            </w:r>
          </w:p>
        </w:tc>
        <w:tc>
          <w:tcPr>
            <w:tcW w:w="2908"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3"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sz w:val="21"/>
                <w:szCs w:val="21"/>
              </w:rPr>
              <w:t>实训室</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299"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地点</w:t>
            </w:r>
          </w:p>
        </w:tc>
        <w:tc>
          <w:tcPr>
            <w:tcW w:w="2908"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3"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管理员</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299"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联系电话</w:t>
            </w:r>
          </w:p>
        </w:tc>
        <w:tc>
          <w:tcPr>
            <w:tcW w:w="2908"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376"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一级指标</w:t>
            </w:r>
          </w:p>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二级指标</w:t>
            </w:r>
          </w:p>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诊断</w:t>
            </w:r>
          </w:p>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自评分</w:t>
            </w: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自评情况说明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制度及记录</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75"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人员配备</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建立制度</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管理记录</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设备及耗材</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仪器设备</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低值耐用品、低值易耗品和材料</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教学软件</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环境及安全</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标识</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整洁</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安全</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11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教材及</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75"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教学材料</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75"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（20分）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创新及成效</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775"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技术管理创新及建设成效</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3151"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总分</w:t>
            </w:r>
          </w:p>
        </w:tc>
        <w:tc>
          <w:tcPr>
            <w:tcW w:w="1110"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838"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3151"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二级学院领导审核签名</w:t>
            </w:r>
          </w:p>
        </w:tc>
        <w:tc>
          <w:tcPr>
            <w:tcW w:w="5948" w:type="dxa"/>
            <w:gridSpan w:val="4"/>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bl>
    <w:p>
      <w:pPr>
        <w:pageBreakBefore w:val="0"/>
        <w:kinsoku/>
        <w:wordWrap/>
        <w:overflowPunct/>
        <w:topLinePunct w:val="0"/>
        <w:bidi w:val="0"/>
        <w:jc w:val="left"/>
        <w:outlineLvl w:val="9"/>
        <w:rPr>
          <w:rFonts w:ascii="宋体" w:hAnsi="宋体"/>
          <w:b/>
          <w:bCs/>
          <w:kern w:val="0"/>
          <w:szCs w:val="28"/>
        </w:rPr>
      </w:pPr>
    </w:p>
    <w:p>
      <w:pPr>
        <w:pageBreakBefore w:val="0"/>
        <w:widowControl/>
        <w:kinsoku/>
        <w:wordWrap/>
        <w:overflowPunct/>
        <w:topLinePunct w:val="0"/>
        <w:bidi w:val="0"/>
        <w:spacing w:line="460" w:lineRule="exact"/>
        <w:ind w:right="700"/>
        <w:outlineLvl w:val="9"/>
        <w:rPr>
          <w:rFonts w:ascii="黑体" w:hAnsi="Calibri" w:eastAsia="黑体"/>
          <w:sz w:val="32"/>
          <w:szCs w:val="32"/>
        </w:rPr>
      </w:pPr>
      <w:r>
        <w:rPr>
          <w:rFonts w:hint="eastAsia" w:ascii="黑体" w:hAnsi="Calibri" w:eastAsia="黑体"/>
          <w:sz w:val="32"/>
          <w:szCs w:val="32"/>
        </w:rPr>
        <w:t>附件3：</w:t>
      </w:r>
    </w:p>
    <w:p>
      <w:pPr>
        <w:pageBreakBefore w:val="0"/>
        <w:widowControl/>
        <w:kinsoku/>
        <w:wordWrap/>
        <w:overflowPunct/>
        <w:topLinePunct w:val="0"/>
        <w:bidi w:val="0"/>
        <w:spacing w:line="520" w:lineRule="exact"/>
        <w:ind w:right="697"/>
        <w:jc w:val="center"/>
        <w:outlineLvl w:val="9"/>
        <w:rPr>
          <w:rFonts w:ascii="Calibri" w:hAnsi="Calibri"/>
          <w:b/>
          <w:sz w:val="36"/>
          <w:szCs w:val="36"/>
        </w:rPr>
      </w:pPr>
      <w:r>
        <w:rPr>
          <w:rFonts w:hint="eastAsia" w:ascii="Calibri" w:hAnsi="Calibri"/>
          <w:b/>
          <w:sz w:val="36"/>
          <w:szCs w:val="36"/>
        </w:rPr>
        <w:t>柳州职业技术学院实训室现场诊断评分表</w:t>
      </w:r>
    </w:p>
    <w:tbl>
      <w:tblPr>
        <w:tblStyle w:val="17"/>
        <w:tblW w:w="92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
      <w:tblGrid>
        <w:gridCol w:w="1215"/>
        <w:gridCol w:w="161"/>
        <w:gridCol w:w="338"/>
        <w:gridCol w:w="1450"/>
        <w:gridCol w:w="1097"/>
        <w:gridCol w:w="632"/>
        <w:gridCol w:w="1300"/>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二级学院</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30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sz w:val="21"/>
                <w:szCs w:val="21"/>
              </w:rPr>
              <w:t>诊断日期</w:t>
            </w:r>
          </w:p>
        </w:tc>
        <w:tc>
          <w:tcPr>
            <w:tcW w:w="3042"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sz w:val="21"/>
                <w:szCs w:val="21"/>
              </w:rPr>
              <w:t>实训室</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30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bCs/>
                <w:sz w:val="21"/>
                <w:szCs w:val="21"/>
              </w:rPr>
              <w:t>地点</w:t>
            </w:r>
          </w:p>
        </w:tc>
        <w:tc>
          <w:tcPr>
            <w:tcW w:w="3042"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71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管理员</w:t>
            </w:r>
          </w:p>
        </w:tc>
        <w:tc>
          <w:tcPr>
            <w:tcW w:w="3179"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c>
          <w:tcPr>
            <w:tcW w:w="1300"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r>
              <w:rPr>
                <w:rFonts w:hint="eastAsia" w:ascii="仿宋_GB2312" w:hAnsi="宋体" w:eastAsia="仿宋_GB2312"/>
                <w:bCs/>
                <w:sz w:val="21"/>
                <w:szCs w:val="21"/>
              </w:rPr>
              <w:t>联系电话</w:t>
            </w:r>
          </w:p>
        </w:tc>
        <w:tc>
          <w:tcPr>
            <w:tcW w:w="3042"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tblHeader/>
          <w:jc w:val="center"/>
        </w:trPr>
        <w:tc>
          <w:tcPr>
            <w:tcW w:w="1376"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一级指标</w:t>
            </w:r>
          </w:p>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二级指标</w:t>
            </w:r>
          </w:p>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（权重）</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诊断评分</w:t>
            </w: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b/>
                <w:bCs/>
                <w:sz w:val="21"/>
                <w:szCs w:val="21"/>
              </w:rPr>
            </w:pPr>
            <w:r>
              <w:rPr>
                <w:rFonts w:hint="eastAsia" w:ascii="仿宋_GB2312" w:hAnsi="宋体" w:eastAsia="仿宋_GB2312"/>
                <w:b/>
                <w:bCs/>
                <w:sz w:val="21"/>
                <w:szCs w:val="21"/>
              </w:rPr>
              <w:t>诊断情况及改进要求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制度及记录</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88"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人员配备</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建立制度</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管理记录</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设备及耗材</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仪器设备</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低值耐用品、低值易耗品和材料</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教学软件</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环境及安全</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标识</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整洁</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安全</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（10分）</w:t>
            </w:r>
          </w:p>
        </w:tc>
        <w:tc>
          <w:tcPr>
            <w:tcW w:w="1097" w:type="dxa"/>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restart"/>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教材及</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（25分）</w:t>
            </w:r>
          </w:p>
        </w:tc>
        <w:tc>
          <w:tcPr>
            <w:tcW w:w="1788"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教学材料</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vMerge w:val="continue"/>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c>
          <w:tcPr>
            <w:tcW w:w="1788"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使用率</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（20分）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376" w:type="dxa"/>
            <w:gridSpan w:val="2"/>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创新及成效</w:t>
            </w:r>
          </w:p>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788" w:type="dxa"/>
            <w:gridSpan w:val="2"/>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技术管理创新及建设成效</w:t>
            </w:r>
          </w:p>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（5分）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3164" w:type="dxa"/>
            <w:gridSpan w:val="4"/>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总分</w:t>
            </w:r>
          </w:p>
        </w:tc>
        <w:tc>
          <w:tcPr>
            <w:tcW w:w="1097"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p>
        </w:tc>
        <w:tc>
          <w:tcPr>
            <w:tcW w:w="4974" w:type="dxa"/>
            <w:gridSpan w:val="3"/>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 w:type="dxa"/>
            <w:left w:w="108" w:type="dxa"/>
            <w:bottom w:w="14" w:type="dxa"/>
            <w:right w:w="108" w:type="dxa"/>
          </w:tblCellMar>
        </w:tblPrEx>
        <w:trPr>
          <w:trHeight w:val="567" w:hRule="atLeast"/>
          <w:jc w:val="center"/>
        </w:trPr>
        <w:tc>
          <w:tcPr>
            <w:tcW w:w="1215" w:type="dxa"/>
            <w:noWrap w:val="0"/>
            <w:vAlign w:val="center"/>
          </w:tcPr>
          <w:p>
            <w:pPr>
              <w:pageBreakBefore w:val="0"/>
              <w:kinsoku/>
              <w:wordWrap/>
              <w:overflowPunct/>
              <w:topLinePunct w:val="0"/>
              <w:bidi w:val="0"/>
              <w:adjustRightInd w:val="0"/>
              <w:snapToGrid w:val="0"/>
              <w:spacing w:line="260" w:lineRule="exact"/>
              <w:jc w:val="center"/>
              <w:outlineLvl w:val="9"/>
              <w:rPr>
                <w:rFonts w:hint="eastAsia" w:ascii="仿宋_GB2312" w:hAnsi="宋体" w:eastAsia="仿宋_GB2312"/>
                <w:sz w:val="21"/>
                <w:szCs w:val="21"/>
              </w:rPr>
            </w:pPr>
            <w:r>
              <w:rPr>
                <w:rFonts w:hint="eastAsia" w:ascii="仿宋_GB2312" w:hAnsi="宋体" w:eastAsia="仿宋_GB2312"/>
                <w:sz w:val="21"/>
                <w:szCs w:val="21"/>
              </w:rPr>
              <w:t>检查人员签名</w:t>
            </w:r>
          </w:p>
        </w:tc>
        <w:tc>
          <w:tcPr>
            <w:tcW w:w="8020" w:type="dxa"/>
            <w:gridSpan w:val="7"/>
            <w:noWrap w:val="0"/>
            <w:vAlign w:val="center"/>
          </w:tcPr>
          <w:p>
            <w:pPr>
              <w:pageBreakBefore w:val="0"/>
              <w:kinsoku/>
              <w:wordWrap/>
              <w:overflowPunct/>
              <w:topLinePunct w:val="0"/>
              <w:bidi w:val="0"/>
              <w:spacing w:line="260" w:lineRule="exact"/>
              <w:jc w:val="center"/>
              <w:outlineLvl w:val="9"/>
              <w:rPr>
                <w:rFonts w:hint="eastAsia" w:ascii="仿宋_GB2312" w:hAnsi="宋体" w:eastAsia="仿宋_GB2312"/>
                <w:sz w:val="21"/>
                <w:szCs w:val="21"/>
              </w:rPr>
            </w:pPr>
          </w:p>
        </w:tc>
      </w:tr>
    </w:tbl>
    <w:p>
      <w:pPr>
        <w:pageBreakBefore w:val="0"/>
        <w:kinsoku/>
        <w:wordWrap/>
        <w:overflowPunct/>
        <w:topLinePunct w:val="0"/>
        <w:bidi w:val="0"/>
        <w:jc w:val="left"/>
        <w:outlineLvl w:val="9"/>
        <w:rPr>
          <w:rFonts w:ascii="宋体" w:hAnsi="宋体"/>
          <w:b/>
          <w:bCs/>
          <w:kern w:val="0"/>
          <w:szCs w:val="28"/>
        </w:rPr>
      </w:pPr>
    </w:p>
    <w:p>
      <w:pPr>
        <w:pageBreakBefore w:val="0"/>
        <w:widowControl/>
        <w:kinsoku/>
        <w:wordWrap/>
        <w:overflowPunct/>
        <w:topLinePunct w:val="0"/>
        <w:bidi w:val="0"/>
        <w:spacing w:line="460" w:lineRule="exact"/>
        <w:ind w:right="700"/>
        <w:outlineLvl w:val="9"/>
        <w:rPr>
          <w:rFonts w:ascii="黑体" w:hAnsi="Calibri" w:eastAsia="黑体"/>
          <w:sz w:val="32"/>
          <w:szCs w:val="32"/>
        </w:rPr>
      </w:pPr>
      <w:r>
        <w:rPr>
          <w:rFonts w:hint="eastAsia" w:ascii="黑体" w:hAnsi="Calibri" w:eastAsia="黑体"/>
          <w:sz w:val="32"/>
          <w:szCs w:val="32"/>
        </w:rPr>
        <w:t>附件4：</w:t>
      </w:r>
    </w:p>
    <w:p>
      <w:pPr>
        <w:pageBreakBefore w:val="0"/>
        <w:widowControl/>
        <w:kinsoku/>
        <w:wordWrap/>
        <w:overflowPunct/>
        <w:topLinePunct w:val="0"/>
        <w:bidi w:val="0"/>
        <w:spacing w:line="520" w:lineRule="exact"/>
        <w:ind w:right="697"/>
        <w:jc w:val="center"/>
        <w:outlineLvl w:val="9"/>
        <w:rPr>
          <w:rFonts w:ascii="Calibri" w:hAnsi="Calibri"/>
          <w:b/>
          <w:sz w:val="36"/>
          <w:szCs w:val="36"/>
        </w:rPr>
      </w:pPr>
      <w:r>
        <w:rPr>
          <w:rFonts w:hint="eastAsia" w:ascii="Calibri" w:hAnsi="Calibri"/>
          <w:b/>
          <w:sz w:val="36"/>
          <w:szCs w:val="36"/>
        </w:rPr>
        <w:t>柳州职业技术学院实训室改进情况表</w:t>
      </w:r>
    </w:p>
    <w:tbl>
      <w:tblPr>
        <w:tblStyle w:val="17"/>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37"/>
        <w:gridCol w:w="1953"/>
        <w:gridCol w:w="1844"/>
        <w:gridCol w:w="1505"/>
        <w:gridCol w:w="126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二级学院</w:t>
            </w:r>
          </w:p>
        </w:tc>
        <w:tc>
          <w:tcPr>
            <w:tcW w:w="3797"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1505"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填报日期</w:t>
            </w:r>
          </w:p>
        </w:tc>
        <w:tc>
          <w:tcPr>
            <w:tcW w:w="224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实训室</w:t>
            </w:r>
          </w:p>
        </w:tc>
        <w:tc>
          <w:tcPr>
            <w:tcW w:w="3797"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1505"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地点</w:t>
            </w:r>
          </w:p>
        </w:tc>
        <w:tc>
          <w:tcPr>
            <w:tcW w:w="224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管理员</w:t>
            </w:r>
          </w:p>
        </w:tc>
        <w:tc>
          <w:tcPr>
            <w:tcW w:w="3797"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1505"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联系电话</w:t>
            </w:r>
          </w:p>
        </w:tc>
        <w:tc>
          <w:tcPr>
            <w:tcW w:w="224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序号</w:t>
            </w:r>
          </w:p>
        </w:tc>
        <w:tc>
          <w:tcPr>
            <w:tcW w:w="2790"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原诊断问题</w:t>
            </w:r>
          </w:p>
        </w:tc>
        <w:tc>
          <w:tcPr>
            <w:tcW w:w="3349" w:type="dxa"/>
            <w:gridSpan w:val="2"/>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改进方案</w:t>
            </w: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改进完成</w:t>
            </w:r>
          </w:p>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日期</w:t>
            </w: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1</w:t>
            </w: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2</w:t>
            </w: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3</w:t>
            </w: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72"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2790"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3349" w:type="dxa"/>
            <w:gridSpan w:val="2"/>
            <w:noWrap w:val="0"/>
            <w:vAlign w:val="center"/>
          </w:tcPr>
          <w:p>
            <w:pPr>
              <w:pageBreakBefore w:val="0"/>
              <w:kinsoku/>
              <w:wordWrap/>
              <w:overflowPunct/>
              <w:topLinePunct w:val="0"/>
              <w:bidi w:val="0"/>
              <w:outlineLvl w:val="9"/>
              <w:rPr>
                <w:rFonts w:hint="eastAsia" w:ascii="仿宋_GB2312" w:hAnsi="宋体" w:eastAsia="仿宋_GB2312"/>
                <w:sz w:val="21"/>
                <w:szCs w:val="21"/>
              </w:rPr>
            </w:pPr>
          </w:p>
        </w:tc>
        <w:tc>
          <w:tcPr>
            <w:tcW w:w="1266"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c>
          <w:tcPr>
            <w:tcW w:w="983" w:type="dxa"/>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462" w:type="dxa"/>
            <w:gridSpan w:val="3"/>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r>
              <w:rPr>
                <w:rFonts w:hint="eastAsia" w:ascii="仿宋_GB2312" w:hAnsi="宋体" w:eastAsia="仿宋_GB2312"/>
                <w:sz w:val="21"/>
                <w:szCs w:val="21"/>
              </w:rPr>
              <w:t>二级学院领导审核签名</w:t>
            </w:r>
          </w:p>
        </w:tc>
        <w:tc>
          <w:tcPr>
            <w:tcW w:w="5598" w:type="dxa"/>
            <w:gridSpan w:val="4"/>
            <w:noWrap w:val="0"/>
            <w:vAlign w:val="center"/>
          </w:tcPr>
          <w:p>
            <w:pPr>
              <w:pageBreakBefore w:val="0"/>
              <w:kinsoku/>
              <w:wordWrap/>
              <w:overflowPunct/>
              <w:topLinePunct w:val="0"/>
              <w:bidi w:val="0"/>
              <w:jc w:val="center"/>
              <w:outlineLvl w:val="9"/>
              <w:rPr>
                <w:rFonts w:hint="eastAsia" w:ascii="仿宋_GB2312" w:hAnsi="宋体" w:eastAsia="仿宋_GB2312"/>
                <w:sz w:val="21"/>
                <w:szCs w:val="21"/>
              </w:rPr>
            </w:pPr>
          </w:p>
        </w:tc>
      </w:tr>
    </w:tbl>
    <w:p>
      <w:pPr>
        <w:pageBreakBefore w:val="0"/>
        <w:kinsoku/>
        <w:wordWrap/>
        <w:overflowPunct/>
        <w:topLinePunct w:val="0"/>
        <w:bidi w:val="0"/>
        <w:spacing w:line="596" w:lineRule="exact"/>
        <w:jc w:val="center"/>
        <w:outlineLvl w:val="9"/>
        <w:rPr>
          <w:rFonts w:hint="eastAsia" w:ascii="Calibri" w:hAnsi="Calibri"/>
          <w:b/>
          <w:sz w:val="36"/>
          <w:szCs w:val="36"/>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0"/>
        <w:rPr>
          <w:b/>
          <w:color w:val="000000"/>
          <w:sz w:val="36"/>
          <w:szCs w:val="36"/>
        </w:rPr>
      </w:pPr>
      <w:bookmarkStart w:id="440" w:name="_Toc23903"/>
      <w:bookmarkStart w:id="441" w:name="_Toc6272"/>
      <w:bookmarkStart w:id="442" w:name="_Toc19482"/>
      <w:r>
        <w:rPr>
          <w:rFonts w:hint="eastAsia"/>
          <w:b/>
          <w:color w:val="000000"/>
          <w:sz w:val="36"/>
          <w:szCs w:val="36"/>
        </w:rPr>
        <w:t>疫情防控期间在线教学组织与管理实施方案</w:t>
      </w:r>
      <w:bookmarkEnd w:id="440"/>
      <w:bookmarkEnd w:id="441"/>
      <w:bookmarkEnd w:id="442"/>
    </w:p>
    <w:p>
      <w:pPr>
        <w:pageBreakBefore w:val="0"/>
        <w:kinsoku/>
        <w:wordWrap/>
        <w:overflowPunct/>
        <w:topLinePunct w:val="0"/>
        <w:bidi w:val="0"/>
        <w:jc w:val="center"/>
        <w:outlineLvl w:val="9"/>
        <w:rPr>
          <w:rFonts w:ascii="仿宋_GB2312" w:hAnsi="Calibri" w:eastAsia="仿宋_GB2312"/>
          <w:sz w:val="32"/>
          <w:szCs w:val="32"/>
        </w:rPr>
      </w:pPr>
      <w:r>
        <w:rPr>
          <w:rFonts w:hint="eastAsia" w:ascii="仿宋_GB2312" w:hAnsi="Calibri" w:eastAsia="仿宋_GB2312"/>
          <w:sz w:val="32"/>
          <w:szCs w:val="32"/>
        </w:rPr>
        <w:t>柳职院教字〔2020〕1号</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为贯彻落实习近平总书记关于打赢疫情防控阻击战的重要指示精神，根据教育部、自治区教育厅关于疫情防控期间高校“停课不停教、停课不停学”的要求，特制定我校疫情防控期间在线教学组织与管理实施方案。</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一、在线教学时间</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教学时间：</w:t>
      </w:r>
      <w:r>
        <w:rPr>
          <w:rFonts w:hint="eastAsia" w:ascii="仿宋_GB2312" w:eastAsia="仿宋_GB2312"/>
          <w:sz w:val="32"/>
          <w:szCs w:val="32"/>
        </w:rPr>
        <w:t>暂定本学期教学周第2-</w:t>
      </w:r>
      <w:r>
        <w:rPr>
          <w:rFonts w:ascii="仿宋_GB2312" w:eastAsia="仿宋_GB2312"/>
          <w:sz w:val="32"/>
          <w:szCs w:val="32"/>
        </w:rPr>
        <w:t>6</w:t>
      </w:r>
      <w:r>
        <w:rPr>
          <w:rFonts w:hint="eastAsia" w:ascii="仿宋_GB2312" w:eastAsia="仿宋_GB2312"/>
          <w:sz w:val="32"/>
          <w:szCs w:val="32"/>
        </w:rPr>
        <w:t>周（3月5日-4月</w:t>
      </w:r>
      <w:r>
        <w:rPr>
          <w:rFonts w:ascii="仿宋_GB2312" w:eastAsia="仿宋_GB2312"/>
          <w:sz w:val="32"/>
          <w:szCs w:val="32"/>
        </w:rPr>
        <w:t>3</w:t>
      </w:r>
      <w:r>
        <w:rPr>
          <w:rFonts w:hint="eastAsia" w:ascii="仿宋_GB2312" w:eastAsia="仿宋_GB2312"/>
          <w:sz w:val="32"/>
          <w:szCs w:val="32"/>
        </w:rPr>
        <w:t>日），全部教学活动采用在线教学方式，学生返校后逐步恢复常规教学。返校时间，根据疫情变化和上级有关部署另行通知。</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二、在线教学对象</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所有在校生。</w:t>
      </w:r>
      <w:r>
        <w:rPr>
          <w:rFonts w:ascii="仿宋_GB2312" w:eastAsia="仿宋_GB2312"/>
          <w:sz w:val="32"/>
          <w:szCs w:val="32"/>
        </w:rPr>
        <w:t>确因病患或上网不便等无法进行线上学习的学生，</w:t>
      </w:r>
      <w:r>
        <w:rPr>
          <w:rFonts w:hint="eastAsia" w:ascii="仿宋_GB2312" w:eastAsia="仿宋_GB2312"/>
          <w:sz w:val="32"/>
          <w:szCs w:val="32"/>
        </w:rPr>
        <w:t>需办理请假手续并在教务处备案。</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三、在线教学工作指导思想和实施原则</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（一）指导思想</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充分利用优质在线课程教学资源，依托学校网络教学平台，积极开展线上授课和线上学习等在线教学活动，</w:t>
      </w:r>
      <w:r>
        <w:rPr>
          <w:rFonts w:ascii="仿宋_GB2312" w:eastAsia="仿宋_GB2312"/>
          <w:sz w:val="32"/>
          <w:szCs w:val="32"/>
        </w:rPr>
        <w:t>始终把立德树人作为首要任务，保证在线学习与线下课堂教学同质等效</w:t>
      </w:r>
      <w:r>
        <w:rPr>
          <w:rFonts w:hint="eastAsia" w:ascii="仿宋_GB2312" w:eastAsia="仿宋_GB2312"/>
          <w:sz w:val="32"/>
          <w:szCs w:val="32"/>
        </w:rPr>
        <w:t>，</w:t>
      </w:r>
      <w:r>
        <w:rPr>
          <w:rFonts w:ascii="仿宋_GB2312" w:eastAsia="仿宋_GB2312"/>
          <w:sz w:val="32"/>
          <w:szCs w:val="32"/>
        </w:rPr>
        <w:t>做到“标准不降低、</w:t>
      </w:r>
      <w:r>
        <w:rPr>
          <w:rFonts w:hint="eastAsia" w:ascii="仿宋_GB2312" w:eastAsia="仿宋_GB2312"/>
          <w:sz w:val="32"/>
          <w:szCs w:val="32"/>
        </w:rPr>
        <w:t>教学</w:t>
      </w:r>
      <w:r>
        <w:rPr>
          <w:rFonts w:ascii="仿宋_GB2312" w:eastAsia="仿宋_GB2312"/>
          <w:sz w:val="32"/>
          <w:szCs w:val="32"/>
        </w:rPr>
        <w:t>不</w:t>
      </w:r>
      <w:r>
        <w:rPr>
          <w:rFonts w:hint="eastAsia" w:ascii="仿宋_GB2312" w:eastAsia="仿宋_GB2312"/>
          <w:sz w:val="32"/>
          <w:szCs w:val="32"/>
        </w:rPr>
        <w:t>停止</w:t>
      </w:r>
      <w:r>
        <w:rPr>
          <w:rFonts w:ascii="仿宋_GB2312" w:eastAsia="仿宋_GB2312"/>
          <w:sz w:val="32"/>
          <w:szCs w:val="32"/>
        </w:rPr>
        <w:t>、</w:t>
      </w:r>
      <w:r>
        <w:rPr>
          <w:rFonts w:hint="eastAsia" w:ascii="仿宋_GB2312" w:eastAsia="仿宋_GB2312"/>
          <w:sz w:val="32"/>
          <w:szCs w:val="32"/>
        </w:rPr>
        <w:t>项目</w:t>
      </w:r>
      <w:r>
        <w:rPr>
          <w:rFonts w:ascii="仿宋_GB2312" w:eastAsia="仿宋_GB2312"/>
          <w:sz w:val="32"/>
          <w:szCs w:val="32"/>
        </w:rPr>
        <w:t>不</w:t>
      </w:r>
      <w:r>
        <w:rPr>
          <w:rFonts w:hint="eastAsia" w:ascii="仿宋_GB2312" w:eastAsia="仿宋_GB2312"/>
          <w:sz w:val="32"/>
          <w:szCs w:val="32"/>
        </w:rPr>
        <w:t>中断</w:t>
      </w:r>
      <w:r>
        <w:rPr>
          <w:rFonts w:ascii="仿宋_GB2312" w:eastAsia="仿宋_GB2312"/>
          <w:sz w:val="32"/>
          <w:szCs w:val="32"/>
        </w:rPr>
        <w:t>”</w:t>
      </w:r>
      <w:r>
        <w:rPr>
          <w:rFonts w:hint="eastAsia" w:ascii="仿宋_GB2312" w:eastAsia="仿宋_GB2312"/>
          <w:sz w:val="32"/>
          <w:szCs w:val="32"/>
        </w:rPr>
        <w:t>，确保疫情防控期间的教学进度、教改项目建设进度、质量标准与</w:t>
      </w:r>
      <w:r>
        <w:rPr>
          <w:rFonts w:ascii="仿宋_GB2312" w:eastAsia="仿宋_GB2312"/>
          <w:sz w:val="32"/>
          <w:szCs w:val="32"/>
        </w:rPr>
        <w:t>疫情解除</w:t>
      </w:r>
      <w:r>
        <w:rPr>
          <w:rFonts w:hint="eastAsia" w:ascii="仿宋_GB2312" w:eastAsia="仿宋_GB2312"/>
          <w:sz w:val="32"/>
          <w:szCs w:val="32"/>
        </w:rPr>
        <w:t>后</w:t>
      </w:r>
      <w:r>
        <w:rPr>
          <w:rFonts w:ascii="仿宋_GB2312" w:eastAsia="仿宋_GB2312"/>
          <w:sz w:val="32"/>
          <w:szCs w:val="32"/>
        </w:rPr>
        <w:t>有效对接</w:t>
      </w:r>
      <w:r>
        <w:rPr>
          <w:rFonts w:hint="eastAsia"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（二）实施原则</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1.人才培养计划连续性与灵活调整相结合原则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原则上按照既定人才培养方案安排，除实验实训实习等实践性课程、在线上无法有效开展的课程和第二课堂活动、在线资源准备不充分的课程、聘请外聘教师担任的课程之外，优先安排通识课和专业基础课。通过灵活调整教学安排，确保</w:t>
      </w:r>
      <w:r>
        <w:rPr>
          <w:rFonts w:ascii="仿宋_GB2312" w:eastAsia="仿宋_GB2312"/>
          <w:sz w:val="32"/>
          <w:szCs w:val="32"/>
        </w:rPr>
        <w:t>疫情防控</w:t>
      </w:r>
      <w:r>
        <w:rPr>
          <w:rFonts w:hint="eastAsia" w:ascii="仿宋_GB2312" w:eastAsia="仿宋_GB2312"/>
          <w:sz w:val="32"/>
          <w:szCs w:val="32"/>
        </w:rPr>
        <w:t>期间和之后人才培养计划的完整性和连续性。</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2.整合利用优质资源与自主开发特色资源相结合原则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充分利用国家</w:t>
      </w:r>
      <w:r>
        <w:rPr>
          <w:rFonts w:hint="eastAsia" w:ascii="仿宋_GB2312" w:eastAsia="仿宋_GB2312"/>
          <w:sz w:val="32"/>
          <w:szCs w:val="32"/>
        </w:rPr>
        <w:t>等各级</w:t>
      </w:r>
      <w:r>
        <w:rPr>
          <w:rFonts w:ascii="仿宋_GB2312" w:eastAsia="仿宋_GB2312"/>
          <w:sz w:val="32"/>
          <w:szCs w:val="32"/>
        </w:rPr>
        <w:t>各类在线资源平台</w:t>
      </w:r>
      <w:r>
        <w:rPr>
          <w:rFonts w:hint="eastAsia" w:ascii="仿宋_GB2312" w:eastAsia="仿宋_GB2312"/>
          <w:sz w:val="32"/>
          <w:szCs w:val="32"/>
        </w:rPr>
        <w:t>，优先采用校本网络教学平台和移动终端等线上教学工具</w:t>
      </w:r>
      <w:r>
        <w:rPr>
          <w:rFonts w:ascii="仿宋_GB2312" w:eastAsia="仿宋_GB2312"/>
          <w:sz w:val="32"/>
          <w:szCs w:val="32"/>
        </w:rPr>
        <w:t>，积极汇聚并精选适合本专业群学生实际</w:t>
      </w:r>
      <w:r>
        <w:rPr>
          <w:rFonts w:hint="eastAsia" w:ascii="仿宋_GB2312" w:eastAsia="仿宋_GB2312"/>
          <w:sz w:val="32"/>
          <w:szCs w:val="32"/>
        </w:rPr>
        <w:t>的</w:t>
      </w:r>
      <w:r>
        <w:rPr>
          <w:rFonts w:ascii="仿宋_GB2312" w:eastAsia="仿宋_GB2312"/>
          <w:sz w:val="32"/>
          <w:szCs w:val="32"/>
        </w:rPr>
        <w:t>优质课程资源，</w:t>
      </w:r>
      <w:r>
        <w:rPr>
          <w:rFonts w:hint="eastAsia" w:ascii="仿宋_GB2312" w:eastAsia="仿宋_GB2312"/>
          <w:sz w:val="32"/>
          <w:szCs w:val="32"/>
        </w:rPr>
        <w:t>同时</w:t>
      </w:r>
      <w:r>
        <w:rPr>
          <w:rFonts w:ascii="仿宋_GB2312" w:eastAsia="仿宋_GB2312"/>
          <w:sz w:val="32"/>
          <w:szCs w:val="32"/>
        </w:rPr>
        <w:t>鼓励老师充分利用现有的自主开发的各类资源，</w:t>
      </w:r>
      <w:r>
        <w:rPr>
          <w:rFonts w:hint="eastAsia" w:ascii="仿宋_GB2312" w:eastAsia="仿宋_GB2312"/>
          <w:sz w:val="32"/>
          <w:szCs w:val="32"/>
        </w:rPr>
        <w:t>并</w:t>
      </w:r>
      <w:r>
        <w:rPr>
          <w:rFonts w:ascii="仿宋_GB2312" w:eastAsia="仿宋_GB2312"/>
          <w:sz w:val="32"/>
          <w:szCs w:val="32"/>
        </w:rPr>
        <w:t>根据需要自主开发特色教学资源</w:t>
      </w:r>
      <w:r>
        <w:rPr>
          <w:rFonts w:hint="eastAsia" w:ascii="仿宋_GB2312" w:eastAsia="仿宋_GB2312"/>
          <w:sz w:val="32"/>
          <w:szCs w:val="32"/>
        </w:rPr>
        <w:t>。</w:t>
      </w:r>
      <w:r>
        <w:rPr>
          <w:rFonts w:ascii="仿宋_GB2312" w:eastAsia="仿宋_GB2312"/>
          <w:sz w:val="32"/>
          <w:szCs w:val="32"/>
        </w:rPr>
        <w:t>有条件的</w:t>
      </w:r>
      <w:r>
        <w:rPr>
          <w:rFonts w:hint="eastAsia" w:ascii="仿宋_GB2312" w:eastAsia="仿宋_GB2312"/>
          <w:sz w:val="32"/>
          <w:szCs w:val="32"/>
        </w:rPr>
        <w:t>二级学院</w:t>
      </w:r>
      <w:r>
        <w:rPr>
          <w:rFonts w:ascii="仿宋_GB2312" w:eastAsia="仿宋_GB2312"/>
          <w:sz w:val="32"/>
          <w:szCs w:val="32"/>
        </w:rPr>
        <w:t>，利用多种形式</w:t>
      </w:r>
      <w:r>
        <w:rPr>
          <w:rFonts w:hint="eastAsia" w:ascii="仿宋_GB2312" w:eastAsia="仿宋_GB2312"/>
          <w:sz w:val="32"/>
          <w:szCs w:val="32"/>
        </w:rPr>
        <w:t>积极开展“在线教研活动”，</w:t>
      </w:r>
      <w:r>
        <w:rPr>
          <w:rFonts w:ascii="仿宋_GB2312" w:eastAsia="仿宋_GB2312"/>
          <w:sz w:val="32"/>
          <w:szCs w:val="32"/>
        </w:rPr>
        <w:t>加快研发有特色、代表性强、数量充足的教学资源，服务学生在线学习，提高学生学习积极性。</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3.重视在线学习过程与多元考核评价相结合原则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针对学生在线学习活动，教师要</w:t>
      </w:r>
      <w:r>
        <w:rPr>
          <w:rFonts w:ascii="仿宋_GB2312" w:eastAsia="仿宋_GB2312"/>
          <w:sz w:val="32"/>
          <w:szCs w:val="32"/>
        </w:rPr>
        <w:t>开展线上教学、组织线上讨论、答疑辅导等教学活动，布置在线作业，</w:t>
      </w:r>
      <w:r>
        <w:rPr>
          <w:rFonts w:hint="eastAsia" w:ascii="仿宋_GB2312" w:eastAsia="仿宋_GB2312"/>
          <w:sz w:val="32"/>
          <w:szCs w:val="32"/>
        </w:rPr>
        <w:t>严格按照课程标准</w:t>
      </w:r>
      <w:r>
        <w:rPr>
          <w:rFonts w:ascii="仿宋_GB2312" w:eastAsia="仿宋_GB2312"/>
          <w:sz w:val="32"/>
          <w:szCs w:val="32"/>
        </w:rPr>
        <w:t>进行在线测验等</w:t>
      </w:r>
      <w:r>
        <w:rPr>
          <w:rFonts w:hint="eastAsia" w:ascii="仿宋_GB2312" w:eastAsia="仿宋_GB2312"/>
          <w:sz w:val="32"/>
          <w:szCs w:val="32"/>
        </w:rPr>
        <w:t>方式</w:t>
      </w:r>
      <w:r>
        <w:rPr>
          <w:rFonts w:ascii="仿宋_GB2312" w:eastAsia="仿宋_GB2312"/>
          <w:sz w:val="32"/>
          <w:szCs w:val="32"/>
        </w:rPr>
        <w:t>考核</w:t>
      </w:r>
      <w:r>
        <w:rPr>
          <w:rFonts w:hint="eastAsia" w:ascii="仿宋_GB2312" w:eastAsia="仿宋_GB2312"/>
          <w:sz w:val="32"/>
          <w:szCs w:val="32"/>
        </w:rPr>
        <w:t>在线</w:t>
      </w:r>
      <w:r>
        <w:rPr>
          <w:rFonts w:ascii="仿宋_GB2312" w:eastAsia="仿宋_GB2312"/>
          <w:sz w:val="32"/>
          <w:szCs w:val="32"/>
        </w:rPr>
        <w:t>学习</w:t>
      </w:r>
      <w:r>
        <w:rPr>
          <w:rFonts w:hint="eastAsia" w:ascii="仿宋_GB2312" w:eastAsia="仿宋_GB2312"/>
          <w:sz w:val="32"/>
          <w:szCs w:val="32"/>
        </w:rPr>
        <w:t>效果</w:t>
      </w:r>
      <w:r>
        <w:rPr>
          <w:rFonts w:ascii="仿宋_GB2312" w:eastAsia="仿宋_GB2312"/>
          <w:sz w:val="32"/>
          <w:szCs w:val="32"/>
        </w:rPr>
        <w:t>；</w:t>
      </w:r>
      <w:r>
        <w:rPr>
          <w:rFonts w:hint="eastAsia" w:ascii="仿宋_GB2312" w:eastAsia="仿宋_GB2312"/>
          <w:sz w:val="32"/>
          <w:szCs w:val="32"/>
        </w:rPr>
        <w:t>同时</w:t>
      </w:r>
      <w:r>
        <w:rPr>
          <w:rFonts w:ascii="仿宋_GB2312" w:eastAsia="仿宋_GB2312"/>
          <w:sz w:val="32"/>
          <w:szCs w:val="32"/>
        </w:rPr>
        <w:t>要与课程平台建立教学质量保障联动机制，充分利用学习行为分析数据，了解学生在线学习情况</w:t>
      </w:r>
      <w:r>
        <w:rPr>
          <w:rFonts w:hint="eastAsia" w:ascii="仿宋_GB2312" w:eastAsia="仿宋_GB2312"/>
          <w:sz w:val="32"/>
          <w:szCs w:val="32"/>
        </w:rPr>
        <w:t>，作为学习成绩考核内容。增加学生自主学习时间，强化在线学习过程和多元考核评价的质量要求，确保在线学习效果。</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4. 常规教学质量管理与在线教学质量管理创新相结合原则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做好常规教学质量管理工作，对开学准备工作中教师备课情况、教学资源、教学平台等环节加强审核和检查，及时发现并解决问题；二级学院要重点</w:t>
      </w:r>
      <w:r>
        <w:rPr>
          <w:rFonts w:ascii="仿宋_GB2312" w:eastAsia="仿宋_GB2312"/>
          <w:sz w:val="32"/>
          <w:szCs w:val="32"/>
        </w:rPr>
        <w:t>关注并参加指导第一次</w:t>
      </w:r>
      <w:r>
        <w:rPr>
          <w:rFonts w:hint="eastAsia" w:ascii="仿宋_GB2312" w:eastAsia="仿宋_GB2312"/>
          <w:sz w:val="32"/>
          <w:szCs w:val="32"/>
        </w:rPr>
        <w:t>“在线班会”</w:t>
      </w:r>
      <w:r>
        <w:rPr>
          <w:rFonts w:ascii="仿宋_GB2312" w:eastAsia="仿宋_GB2312"/>
          <w:sz w:val="32"/>
          <w:szCs w:val="32"/>
        </w:rPr>
        <w:t>的组织</w:t>
      </w:r>
      <w:r>
        <w:rPr>
          <w:rFonts w:hint="eastAsia" w:ascii="仿宋_GB2312" w:eastAsia="仿宋_GB2312"/>
          <w:sz w:val="32"/>
          <w:szCs w:val="32"/>
        </w:rPr>
        <w:t>、</w:t>
      </w:r>
      <w:r>
        <w:rPr>
          <w:rFonts w:ascii="仿宋_GB2312" w:eastAsia="仿宋_GB2312"/>
          <w:sz w:val="32"/>
          <w:szCs w:val="32"/>
        </w:rPr>
        <w:t>每门</w:t>
      </w:r>
      <w:r>
        <w:rPr>
          <w:rFonts w:hint="eastAsia" w:ascii="仿宋_GB2312" w:eastAsia="仿宋_GB2312"/>
          <w:sz w:val="32"/>
          <w:szCs w:val="32"/>
        </w:rPr>
        <w:t>在线</w:t>
      </w:r>
      <w:r>
        <w:rPr>
          <w:rFonts w:ascii="仿宋_GB2312" w:eastAsia="仿宋_GB2312"/>
          <w:sz w:val="32"/>
          <w:szCs w:val="32"/>
        </w:rPr>
        <w:t>课程的第一节课内容</w:t>
      </w:r>
      <w:r>
        <w:rPr>
          <w:rFonts w:hint="eastAsia" w:ascii="仿宋_GB2312" w:eastAsia="仿宋_GB2312"/>
          <w:sz w:val="32"/>
          <w:szCs w:val="32"/>
        </w:rPr>
        <w:t>、</w:t>
      </w:r>
      <w:r>
        <w:rPr>
          <w:rFonts w:ascii="仿宋_GB2312" w:eastAsia="仿宋_GB2312"/>
          <w:sz w:val="32"/>
          <w:szCs w:val="32"/>
        </w:rPr>
        <w:t>开学后的第一周</w:t>
      </w:r>
      <w:r>
        <w:rPr>
          <w:rFonts w:hint="eastAsia" w:ascii="仿宋_GB2312" w:eastAsia="仿宋_GB2312"/>
          <w:sz w:val="32"/>
          <w:szCs w:val="32"/>
        </w:rPr>
        <w:t>在线</w:t>
      </w:r>
      <w:r>
        <w:rPr>
          <w:rFonts w:ascii="仿宋_GB2312" w:eastAsia="仿宋_GB2312"/>
          <w:sz w:val="32"/>
          <w:szCs w:val="32"/>
        </w:rPr>
        <w:t>教学情况</w:t>
      </w:r>
      <w:r>
        <w:rPr>
          <w:rFonts w:hint="eastAsia" w:ascii="仿宋_GB2312" w:eastAsia="仿宋_GB2312"/>
          <w:sz w:val="32"/>
          <w:szCs w:val="32"/>
        </w:rPr>
        <w:t>，鼓励创新在线教学质量管理手段，及时了解在线教学师生的实际需求和难点问题并加以解决，确保在线教学质量</w:t>
      </w:r>
      <w:r>
        <w:rPr>
          <w:rFonts w:ascii="仿宋_GB2312" w:eastAsia="仿宋_GB2312"/>
          <w:sz w:val="32"/>
          <w:szCs w:val="32"/>
        </w:rPr>
        <w:t>与线下课堂教学同质等效</w:t>
      </w:r>
      <w:r>
        <w:rPr>
          <w:rFonts w:hint="eastAsia" w:ascii="仿宋_GB2312" w:eastAsia="仿宋_GB2312"/>
          <w:sz w:val="32"/>
          <w:szCs w:val="32"/>
        </w:rPr>
        <w:t>。</w:t>
      </w:r>
      <w:bookmarkStart w:id="443" w:name="_Toc33092706"/>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5. 在线教学第一课堂与第二课堂相结合原则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级学院在安排在线教学第一课堂时，应充分考虑线上第二课堂活动的开展，结合我国疫情防控的情况开展相应的爱国主义教育、生命教育、社会责任感教育、规则教育、爱与感恩教育等教育活动，并安排一定的阅读活动、健身活动，做好安排和通知。</w:t>
      </w:r>
    </w:p>
    <w:bookmarkEnd w:id="443"/>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四、在线教学工作的具体安排和要求</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（一）制定二级学院线上教学实施细则</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各二级学院根据学校要求，结合专业和课程的实际情况，制定二级学院在线教学实施细则，实施细则要经过学校的审核通过后才能实施。实施细则的主要内容有：工作组，在线课程开设，在线课程检查安排，在线课程评教安排，在线课程考核测试安排，应急预案等。</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（二）确定所开设的在线课程和网络平台</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1. 确定所开设的在线课程</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二级学院和专业团队根据人才培养方案，共同确定所要开设的在线课程。涉及跨二级学院的课程，需要做好协调沟通工作。注意开设课程的数量，每个班安排的课程在2-5门。</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每个同学在返校前，须完成《疫情防控第一课》的学习和考核，考核合格后才能返校，《疫情防控第一课》开课的通知和要求另行通知。</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实验实训实习等实践性课程、线上无法有效开展的课程，线上教学资源准备不充分的课程，不推荐采用在线教学方式。原则上，外聘教师担任的课程，不推荐采用在线教学方式。</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无法按照计划在本学期开设的课程，可以提出人才培养方案异动申请。</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对于</w:t>
      </w:r>
      <w:r>
        <w:rPr>
          <w:rFonts w:ascii="仿宋_GB2312" w:eastAsia="仿宋_GB2312"/>
          <w:sz w:val="32"/>
          <w:szCs w:val="32"/>
        </w:rPr>
        <w:t>毕业班</w:t>
      </w:r>
      <w:r>
        <w:rPr>
          <w:rFonts w:hint="eastAsia" w:ascii="仿宋_GB2312" w:eastAsia="仿宋_GB2312"/>
          <w:sz w:val="32"/>
          <w:szCs w:val="32"/>
        </w:rPr>
        <w:t>，</w:t>
      </w:r>
      <w:r>
        <w:rPr>
          <w:rFonts w:ascii="仿宋_GB2312" w:eastAsia="仿宋_GB2312"/>
          <w:sz w:val="32"/>
          <w:szCs w:val="32"/>
        </w:rPr>
        <w:t>二级学院可以根据实际情况对毕业班做出必要的时间安排和教学内容调整</w:t>
      </w:r>
      <w:r>
        <w:rPr>
          <w:rFonts w:hint="eastAsia" w:ascii="仿宋_GB2312" w:eastAsia="仿宋_GB2312"/>
          <w:sz w:val="32"/>
          <w:szCs w:val="32"/>
        </w:rPr>
        <w:t>，</w:t>
      </w:r>
      <w:r>
        <w:rPr>
          <w:rFonts w:ascii="仿宋_GB2312" w:eastAsia="仿宋_GB2312"/>
          <w:sz w:val="32"/>
          <w:szCs w:val="32"/>
        </w:rPr>
        <w:t>尽早开展毕业论文</w:t>
      </w:r>
      <w:r>
        <w:rPr>
          <w:rFonts w:hint="eastAsia" w:ascii="仿宋_GB2312" w:eastAsia="仿宋_GB2312"/>
          <w:sz w:val="32"/>
          <w:szCs w:val="32"/>
        </w:rPr>
        <w:t>（设计）的指导，开展毕业资格审查等工作。</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w:t>
      </w:r>
      <w:r>
        <w:rPr>
          <w:rFonts w:ascii="仿宋_GB2312" w:eastAsia="仿宋_GB2312"/>
          <w:b/>
          <w:sz w:val="32"/>
          <w:szCs w:val="32"/>
        </w:rPr>
        <w:t>实习安排</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校暂停一切实习，但必须每天进入学校实习管理平台（蘑菇丁或习讯云）签到、打卡。对未开展实习的学生，在居住地进行自我隔离；对在疫情爆发前已经在外实习的学生，如仍在岗位实习，按属地原则管理服从当地政府统一管理；因疫情影响，暂停实习而返家的学生，均在家进行居家隔离，在未接到学校通知返岗前，不得擅自开展新一阶段的实习；春节企业放假而回家休假的学生，单位复工后原则上不得回单位实习，均在家进行居家隔离，在接到学校通知后，方可回实习单位进行实习，避免人员流动所带来的风险。因停止实习而没有获得相应学分的同学，可以通过学习网络课程等形式，获取相应的学分，不影响毕业。</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3.补考与重修</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补考安排：采取线上、线下等多种形式进行补考，线下补考的课程在学生返校后2周内完成。</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重修</w:t>
      </w:r>
      <w:r>
        <w:rPr>
          <w:rFonts w:hint="eastAsia" w:ascii="仿宋_GB2312" w:eastAsia="仿宋_GB2312"/>
          <w:sz w:val="32"/>
          <w:szCs w:val="32"/>
        </w:rPr>
        <w:t>、</w:t>
      </w:r>
      <w:r>
        <w:rPr>
          <w:rFonts w:ascii="仿宋_GB2312" w:eastAsia="仿宋_GB2312"/>
          <w:sz w:val="32"/>
          <w:szCs w:val="32"/>
        </w:rPr>
        <w:t>学籍异动等事务的办理在学生返校后开展</w:t>
      </w:r>
      <w:r>
        <w:rPr>
          <w:rFonts w:hint="eastAsia"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4.选择在线课程的网络平台</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线教学平台原则上统一使用学校目前使用的网络教学平台（超星泛雅），由于资源库、在线课程建设需要在智慧职教、中国大学慕课等其他平台运行的课程，由二级学院汇总后统一报教务处备案，并确保学生知晓课程登录和学习方式。</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（三）确定在线课程的集中学习和答疑时间</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线上教学的主要任务是组织学生进行集中学习和答疑，时间由二级学院根据课程情况确定，排进课表，并确保学生和教师知晓。</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具体课程安排上，应根据线上教学的特点和学生的学习情况对排课的时段和间隔进行调整。原则上，一个半天一个班只安排一门课程，课程不能4节或5节连排。每周由教师直接组织学生集中学习和在线答疑的时间控制在12至 20学时，学生课后自学及作业时间由学生自行安排。</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在线教学期间</w:t>
      </w:r>
      <w:r>
        <w:rPr>
          <w:rFonts w:hint="eastAsia" w:ascii="仿宋_GB2312" w:eastAsia="仿宋_GB2312"/>
          <w:sz w:val="32"/>
          <w:szCs w:val="32"/>
        </w:rPr>
        <w:t>，</w:t>
      </w:r>
      <w:r>
        <w:rPr>
          <w:rFonts w:ascii="仿宋_GB2312" w:eastAsia="仿宋_GB2312"/>
          <w:sz w:val="32"/>
          <w:szCs w:val="32"/>
        </w:rPr>
        <w:t>统一按社湾校区作息时间执行</w:t>
      </w:r>
      <w:r>
        <w:rPr>
          <w:rFonts w:hint="eastAsia"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（四）选择合适的在线学习内容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线上教学的任课教师应根据线上教学的特点，调整教学进度，完善线上教学的教案。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教师的教学进度要合理设置教学内容和教学活动，将适合在线学习的内容提前，</w:t>
      </w:r>
      <w:r>
        <w:rPr>
          <w:rFonts w:ascii="仿宋_GB2312" w:eastAsia="仿宋_GB2312"/>
          <w:sz w:val="32"/>
          <w:szCs w:val="32"/>
        </w:rPr>
        <w:t>根据教学内容和学生的特点合理设置知识点讲解、作业</w:t>
      </w:r>
      <w:r>
        <w:rPr>
          <w:rFonts w:hint="eastAsia" w:ascii="仿宋_GB2312" w:eastAsia="仿宋_GB2312"/>
          <w:sz w:val="32"/>
          <w:szCs w:val="32"/>
        </w:rPr>
        <w:t>/任务布置、讨论、测试等教学活动。</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（五）做好在线课程的开课准备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二级学院应组织任课教师</w:t>
      </w:r>
      <w:r>
        <w:rPr>
          <w:rFonts w:hint="eastAsia" w:ascii="仿宋_GB2312" w:eastAsia="仿宋_GB2312"/>
          <w:sz w:val="32"/>
          <w:szCs w:val="32"/>
        </w:rPr>
        <w:t>做好</w:t>
      </w:r>
      <w:r>
        <w:rPr>
          <w:rFonts w:ascii="仿宋_GB2312" w:eastAsia="仿宋_GB2312"/>
          <w:sz w:val="32"/>
          <w:szCs w:val="32"/>
        </w:rPr>
        <w:t>在线教学资源的准备与完善</w:t>
      </w:r>
      <w:r>
        <w:rPr>
          <w:rFonts w:hint="eastAsia" w:ascii="仿宋_GB2312" w:eastAsia="仿宋_GB2312"/>
          <w:sz w:val="32"/>
          <w:szCs w:val="32"/>
        </w:rPr>
        <w:t>、</w:t>
      </w:r>
      <w:r>
        <w:rPr>
          <w:rFonts w:ascii="仿宋_GB2312" w:eastAsia="仿宋_GB2312"/>
          <w:sz w:val="32"/>
          <w:szCs w:val="32"/>
        </w:rPr>
        <w:t>学习平台及手机</w:t>
      </w:r>
      <w:r>
        <w:rPr>
          <w:rFonts w:hint="eastAsia" w:ascii="仿宋_GB2312" w:eastAsia="仿宋_GB2312"/>
          <w:sz w:val="32"/>
          <w:szCs w:val="32"/>
        </w:rPr>
        <w:t>APP的操作使用、授课班级准备等</w:t>
      </w:r>
      <w:r>
        <w:rPr>
          <w:rFonts w:ascii="仿宋_GB2312" w:eastAsia="仿宋_GB2312"/>
          <w:sz w:val="32"/>
          <w:szCs w:val="32"/>
        </w:rPr>
        <w:t>开课前的准备工作</w:t>
      </w:r>
      <w:r>
        <w:rPr>
          <w:rFonts w:hint="eastAsia"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ascii="仿宋_GB2312" w:eastAsia="仿宋_GB2312"/>
          <w:b/>
          <w:sz w:val="32"/>
          <w:szCs w:val="32"/>
        </w:rPr>
        <w:t>1. 在线</w:t>
      </w:r>
      <w:r>
        <w:rPr>
          <w:rFonts w:hint="eastAsia" w:ascii="仿宋_GB2312" w:eastAsia="仿宋_GB2312"/>
          <w:b/>
          <w:sz w:val="32"/>
          <w:szCs w:val="32"/>
        </w:rPr>
        <w:t>学习</w:t>
      </w:r>
      <w:r>
        <w:rPr>
          <w:rFonts w:ascii="仿宋_GB2312" w:eastAsia="仿宋_GB2312"/>
          <w:b/>
          <w:sz w:val="32"/>
          <w:szCs w:val="32"/>
        </w:rPr>
        <w:t>资源的准备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在开课前按照《学院在线课程建设标准与要求》，教师应完成在线课程教学资源的准备。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必备资源：第一次课的说课视频、课程简介、考核方案、各章节学习指南、教学微课、教学课件、习题等。</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w:t>
      </w:r>
      <w:r>
        <w:rPr>
          <w:rFonts w:ascii="仿宋_GB2312" w:eastAsia="仿宋_GB2312"/>
          <w:b/>
          <w:sz w:val="32"/>
          <w:szCs w:val="32"/>
        </w:rPr>
        <w:t>学习平台和工具</w:t>
      </w:r>
      <w:r>
        <w:rPr>
          <w:rFonts w:hint="eastAsia" w:ascii="仿宋_GB2312" w:eastAsia="仿宋_GB2312"/>
          <w:b/>
          <w:sz w:val="32"/>
          <w:szCs w:val="32"/>
        </w:rPr>
        <w:t>的准备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教师需在开课前熟练掌握学校网络教学平台、“学习通APP”常用功能的操作，准备好进行辅助教学的软件和工具。</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3</w:t>
      </w:r>
      <w:r>
        <w:rPr>
          <w:rFonts w:ascii="仿宋_GB2312" w:eastAsia="仿宋_GB2312"/>
          <w:b/>
          <w:sz w:val="32"/>
          <w:szCs w:val="32"/>
        </w:rPr>
        <w:t xml:space="preserve">. </w:t>
      </w:r>
      <w:r>
        <w:rPr>
          <w:rFonts w:hint="eastAsia" w:ascii="仿宋_GB2312" w:eastAsia="仿宋_GB2312"/>
          <w:b/>
          <w:sz w:val="32"/>
          <w:szCs w:val="32"/>
        </w:rPr>
        <w:t>授课班级准备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所有课程应在网络教学平台上建立教学班，导入学生库，做好教学准备和课前网络测试工作，通过课程公告及时向学生发布课程学习要求、考核说明、课程资源学习网址、学习方式。</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4.制定应急预案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每门课程要做好在线课程应急预案，应对网络拥堵崩溃、舆情应对、教学无法按计划进行等的突发情况。</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（六）确定在线课程的教学方式</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针对延期开学期间，学生在家上课，建议采用“翻转课堂+线上辅导”为主的教学模式。</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1.第一次课的要求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第一次课教师应重点向学生介绍课程的性质、教学内容、教学资源、学习要求、考核说明、课程资源、学习方式等内容，建议用录播的形式讲解课程的基本情况和要求。</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2.课前、课中、课后的教学环节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课前：推送任务给学生，让学生通过观看视频或教学资源等方式自主学习、并完成作业、测试等；</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课中：教师讲解分析课前学生学习任务完成情况，在线上与学生进行讨论、答疑等教学活动，完成内容教授与教学互动。内容教授由教师根据实际情况选择适合的方式开展，不鼓励，不提倡采用“直播”的方式进行全程的线上教学。</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课后：教师布置学生完成相关的作业、考试、讨论。</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3.教学实施</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教师根据课表的时间组织学生开展集中学习和答疑</w:t>
      </w:r>
      <w:r>
        <w:rPr>
          <w:rFonts w:hint="eastAsia" w:ascii="仿宋_GB2312" w:eastAsia="仿宋_GB2312"/>
          <w:sz w:val="32"/>
          <w:szCs w:val="32"/>
        </w:rPr>
        <w:t>，按照教学进度表安排线上教学，做好线上师生互动，线上答疑、作业发布、线上测试等线上教学环节。线上授课时应严格课堂纪律，将学生的到课情况、网上学习情况、网上互动情况等内容纳入课程考核中。</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进行线上教学时，应严格遵循教师职业操守，注意个人形象，端正教学态度，营造简洁干净的网络教学环境，关闭不必要的软件和弹出信息，精心准备教学内容，在教学过程中不得出现危害国家安全、违反法律法规及其他不适宜网络传播的内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鼓励教师在线教学中，让学生进行动态评教，并及时调整教学。</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（七）提供在线课程支持</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1.操作支持</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学生可以参照“柳州职业技术学院学生在线学习操作指导手册”，了解有关在线学习的操作。</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教师可以参照“柳州职业技术学院教师在线教学实施指导手册”，了解有关在线教学的操作。</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2.工作量核算</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在疫情防控期间开展线上教学的课程，课酬按照学校动态网络课程教学的标准计算，即按照1.1的系数计算课酬，学生返校后恢复原课酬计算标准。</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（八）确保在线课程的教学质量</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在线教学的质量管理以二级学院全面检查，学校抽查的方式开展，为确保在线教学顺利开展，鼓励二级学院创新在线教学质量管理新手段新方法，依照在线教学质量标准，对在线教学情况开展相应的检查和评价。</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1. 检查课程准备。</w:t>
      </w:r>
      <w:r>
        <w:rPr>
          <w:rFonts w:hint="eastAsia" w:ascii="仿宋_GB2312" w:eastAsia="仿宋_GB2312"/>
          <w:sz w:val="32"/>
          <w:szCs w:val="32"/>
        </w:rPr>
        <w:t>二级学院在开课前检查在线课程，主要包括课程线上教学资源准备情况、教师教学进度、教案、课程考核方案、应急预案等。</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2. 检查在线教学。</w:t>
      </w:r>
      <w:r>
        <w:rPr>
          <w:rFonts w:hint="eastAsia" w:ascii="仿宋_GB2312" w:eastAsia="仿宋_GB2312"/>
          <w:sz w:val="32"/>
          <w:szCs w:val="32"/>
        </w:rPr>
        <w:t>督导、教务处和二级学院开展在线教学运行情况的检查和抽查并通报。检查的内容主要包括教师在线开展的教学活动情况、布置的教学任务、作业批改情况、发布的讨论及学生参与情况、网上答疑及在线指导情况等方面。</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 评教和测试。</w:t>
      </w:r>
      <w:r>
        <w:rPr>
          <w:rFonts w:hint="eastAsia" w:ascii="仿宋_GB2312" w:eastAsia="仿宋_GB2312"/>
          <w:sz w:val="32"/>
          <w:szCs w:val="32"/>
        </w:rPr>
        <w:t>通过学生填写的教学质量评价表，对教师在线教学质量进行评价。返校后，对学生线上学习效果的进行测试，对学生线上学习的质量和效果进行检验。</w:t>
      </w:r>
    </w:p>
    <w:p>
      <w:pPr>
        <w:pageBreakBefore w:val="0"/>
        <w:kinsoku/>
        <w:wordWrap/>
        <w:overflowPunct/>
        <w:topLinePunct w:val="0"/>
        <w:bidi w:val="0"/>
        <w:spacing w:line="580" w:lineRule="exact"/>
        <w:ind w:firstLine="643" w:firstLineChars="200"/>
        <w:outlineLvl w:val="9"/>
        <w:rPr>
          <w:rFonts w:ascii="楷体_GB2312" w:eastAsia="楷体_GB2312"/>
          <w:b/>
          <w:sz w:val="32"/>
          <w:szCs w:val="32"/>
        </w:rPr>
      </w:pPr>
      <w:r>
        <w:rPr>
          <w:rFonts w:hint="eastAsia" w:ascii="楷体_GB2312" w:eastAsia="楷体_GB2312"/>
          <w:b/>
          <w:sz w:val="32"/>
          <w:szCs w:val="32"/>
        </w:rPr>
        <w:t>（九）强化二级管理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本次在线教学安排，是学校在疫情防控期间的重要工作，各二级学院要高度重视，认真组织教师开展线上教学操作培训、集体备课等教研活动，完善线上课程建设，保质保量完成课程教学任务。</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1. 加强组织领导</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各二级学院结合自身实际制定本学院在线课程实施细则，对课程安排作出调整。围绕在线教学开展线上教研活动，指导教师开展线上教学资源建设，组织教师开展线上教学技术操作和教学设计的培训。积极发挥辅导员的作用，指导</w:t>
      </w:r>
      <w:r>
        <w:rPr>
          <w:rFonts w:ascii="仿宋_GB2312" w:eastAsia="仿宋_GB2312"/>
          <w:sz w:val="32"/>
          <w:szCs w:val="32"/>
        </w:rPr>
        <w:t>辅导员通过</w:t>
      </w:r>
      <w:r>
        <w:rPr>
          <w:rFonts w:hint="eastAsia" w:ascii="仿宋_GB2312" w:eastAsia="仿宋_GB2312"/>
          <w:sz w:val="32"/>
          <w:szCs w:val="32"/>
        </w:rPr>
        <w:t>加入</w:t>
      </w:r>
      <w:r>
        <w:rPr>
          <w:rFonts w:ascii="仿宋_GB2312" w:eastAsia="仿宋_GB2312"/>
          <w:sz w:val="32"/>
          <w:szCs w:val="32"/>
        </w:rPr>
        <w:t>本班课程的授课平台以及利用微信、QQ等途径及时了解、关注学生的学习动态，积极与本班任课教师共同落实指导和沟通工作</w:t>
      </w:r>
      <w:r>
        <w:rPr>
          <w:rFonts w:hint="eastAsia" w:ascii="仿宋_GB2312" w:eastAsia="仿宋_GB2312"/>
          <w:sz w:val="32"/>
          <w:szCs w:val="32"/>
        </w:rPr>
        <w:t>。做好应对在线教学可能会出现问题的预案，切实保证线上教学的顺利开展。</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2.强化师生关于在线教学的引导</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二级学院应贯彻落实教育部、自治区教育厅及学校关于防控期间的在线教学的要求，做好教师和学生的思想</w:t>
      </w:r>
      <w:r>
        <w:rPr>
          <w:rFonts w:ascii="仿宋_GB2312" w:eastAsia="仿宋_GB2312"/>
          <w:sz w:val="32"/>
          <w:szCs w:val="32"/>
        </w:rPr>
        <w:t>动员与准备工作</w:t>
      </w:r>
      <w:r>
        <w:rPr>
          <w:rFonts w:hint="eastAsia" w:ascii="仿宋_GB2312" w:eastAsia="仿宋_GB2312"/>
          <w:sz w:val="32"/>
          <w:szCs w:val="32"/>
        </w:rPr>
        <w:t>，鼓励教师积极投身教学改革与创新，积累实战经验，产生更多更好的教学成果，引导学生在疫情防控期间积极开展学习，培养自主学习能力。</w:t>
      </w:r>
    </w:p>
    <w:p>
      <w:pPr>
        <w:pageBreakBefore w:val="0"/>
        <w:kinsoku/>
        <w:wordWrap/>
        <w:overflowPunct/>
        <w:topLinePunct w:val="0"/>
        <w:bidi w:val="0"/>
        <w:spacing w:line="580" w:lineRule="exact"/>
        <w:ind w:firstLine="643" w:firstLineChars="200"/>
        <w:outlineLvl w:val="9"/>
        <w:rPr>
          <w:rFonts w:ascii="仿宋_GB2312" w:eastAsia="仿宋_GB2312"/>
          <w:b/>
          <w:sz w:val="32"/>
          <w:szCs w:val="32"/>
        </w:rPr>
      </w:pPr>
      <w:r>
        <w:rPr>
          <w:rFonts w:hint="eastAsia" w:ascii="仿宋_GB2312" w:eastAsia="仿宋_GB2312"/>
          <w:b/>
          <w:sz w:val="32"/>
          <w:szCs w:val="32"/>
        </w:rPr>
        <w:t>3. 强化质量保障</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级学院要强化对在线课程的课程内容、教学进度、教案、教学过程的管理，制定在线课程教学管理细则，防范和制止在教学过程中出现危害国家安全、违反法律法规及其他不适宜网络传播的内容。此外，二级学院在学生返校后组织教师要开展线上教学阶段测试，以检验学生线上学习的质量和效果。</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五、在线教学</w:t>
      </w:r>
      <w:r>
        <w:rPr>
          <w:rFonts w:ascii="黑体" w:hAnsi="黑体" w:eastAsia="黑体"/>
          <w:b/>
          <w:sz w:val="32"/>
          <w:szCs w:val="32"/>
        </w:rPr>
        <w:t>工作日程安排</w:t>
      </w:r>
    </w:p>
    <w:tbl>
      <w:tblPr>
        <w:tblStyle w:val="17"/>
        <w:tblW w:w="91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3344"/>
        <w:gridCol w:w="1509"/>
        <w:gridCol w:w="1560"/>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p>
        </w:tc>
        <w:tc>
          <w:tcPr>
            <w:tcW w:w="3344"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工作任务</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完成时间</w:t>
            </w:r>
          </w:p>
        </w:tc>
        <w:tc>
          <w:tcPr>
            <w:tcW w:w="1560"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责任部门</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1</w:t>
            </w:r>
          </w:p>
        </w:tc>
        <w:tc>
          <w:tcPr>
            <w:tcW w:w="3344" w:type="dxa"/>
            <w:noWrap w:val="0"/>
            <w:vAlign w:val="center"/>
          </w:tcPr>
          <w:p>
            <w:pPr>
              <w:pageBreakBefore w:val="0"/>
              <w:kinsoku/>
              <w:wordWrap/>
              <w:overflowPunct/>
              <w:topLinePunct w:val="0"/>
              <w:bidi w:val="0"/>
              <w:outlineLvl w:val="9"/>
              <w:rPr>
                <w:rFonts w:ascii="仿宋_GB2312" w:hAnsi="宋体" w:eastAsia="仿宋_GB2312"/>
                <w:sz w:val="24"/>
              </w:rPr>
            </w:pPr>
            <w:r>
              <w:rPr>
                <w:rFonts w:hint="eastAsia" w:ascii="仿宋_GB2312" w:hAnsi="宋体" w:eastAsia="仿宋_GB2312"/>
                <w:sz w:val="24"/>
              </w:rPr>
              <w:t>1.完善在线课程资源建设</w:t>
            </w:r>
          </w:p>
          <w:p>
            <w:pPr>
              <w:pageBreakBefore w:val="0"/>
              <w:kinsoku/>
              <w:wordWrap/>
              <w:overflowPunct/>
              <w:topLinePunct w:val="0"/>
              <w:bidi w:val="0"/>
              <w:outlineLvl w:val="9"/>
              <w:rPr>
                <w:rFonts w:ascii="仿宋_GB2312" w:hAnsi="宋体" w:eastAsia="仿宋_GB2312"/>
                <w:sz w:val="24"/>
              </w:rPr>
            </w:pPr>
            <w:r>
              <w:rPr>
                <w:rFonts w:hint="eastAsia" w:ascii="仿宋_GB2312" w:hAnsi="宋体" w:eastAsia="仿宋_GB2312"/>
                <w:sz w:val="24"/>
              </w:rPr>
              <w:t>2.教师在线教学操作培训</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2月24日</w:t>
            </w:r>
          </w:p>
        </w:tc>
        <w:tc>
          <w:tcPr>
            <w:tcW w:w="1560"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各二级学院</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2</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1.制定二级学院在线教学实施细则</w:t>
            </w:r>
          </w:p>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2.课程时间安排调整</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2月24日</w:t>
            </w:r>
          </w:p>
        </w:tc>
        <w:tc>
          <w:tcPr>
            <w:tcW w:w="1560"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各二级学院</w:t>
            </w:r>
          </w:p>
        </w:tc>
        <w:tc>
          <w:tcPr>
            <w:tcW w:w="2166" w:type="dxa"/>
            <w:noWrap w:val="0"/>
            <w:vAlign w:val="top"/>
          </w:tcPr>
          <w:p>
            <w:pPr>
              <w:pageBreakBefore w:val="0"/>
              <w:kinsoku/>
              <w:wordWrap/>
              <w:overflowPunct/>
              <w:topLinePunct w:val="0"/>
              <w:bidi w:val="0"/>
              <w:snapToGrid w:val="0"/>
              <w:outlineLvl w:val="9"/>
              <w:rPr>
                <w:rFonts w:ascii="仿宋_GB2312" w:hAnsi="宋体" w:eastAsia="仿宋_GB2312"/>
                <w:sz w:val="21"/>
                <w:szCs w:val="21"/>
              </w:rPr>
            </w:pPr>
            <w:r>
              <w:rPr>
                <w:rFonts w:hint="eastAsia" w:ascii="仿宋_GB2312" w:hAnsi="宋体" w:eastAsia="仿宋_GB2312"/>
                <w:sz w:val="21"/>
                <w:szCs w:val="21"/>
              </w:rPr>
              <w:t>2月24日前，将线上教学课程安排表、二级学院在线教学实施细则，发送至教务处吴莹办公邮箱。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3</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在线课程资源建设检查</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2月24日</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教务处+各二级学院</w:t>
            </w:r>
          </w:p>
        </w:tc>
        <w:tc>
          <w:tcPr>
            <w:tcW w:w="2166" w:type="dxa"/>
            <w:noWrap w:val="0"/>
            <w:vAlign w:val="top"/>
          </w:tcPr>
          <w:p>
            <w:pPr>
              <w:pageBreakBefore w:val="0"/>
              <w:kinsoku/>
              <w:wordWrap/>
              <w:overflowPunct/>
              <w:topLinePunct w:val="0"/>
              <w:bidi w:val="0"/>
              <w:jc w:val="left"/>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4</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1.课程开课检查</w:t>
            </w:r>
          </w:p>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2.在线教学课程教学进度表、教案、考核方案审核、应急预案</w:t>
            </w:r>
          </w:p>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3.组织开展在线教研活动</w:t>
            </w:r>
          </w:p>
        </w:tc>
        <w:tc>
          <w:tcPr>
            <w:tcW w:w="1509"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3月2日</w:t>
            </w:r>
          </w:p>
        </w:tc>
        <w:tc>
          <w:tcPr>
            <w:tcW w:w="1560" w:type="dxa"/>
            <w:noWrap w:val="0"/>
            <w:vAlign w:val="center"/>
          </w:tcPr>
          <w:p>
            <w:pPr>
              <w:pageBreakBefore w:val="0"/>
              <w:kinsoku/>
              <w:wordWrap/>
              <w:overflowPunct/>
              <w:topLinePunct w:val="0"/>
              <w:bidi w:val="0"/>
              <w:ind w:left="173" w:hanging="172" w:hangingChars="72"/>
              <w:jc w:val="center"/>
              <w:outlineLvl w:val="9"/>
              <w:rPr>
                <w:rFonts w:ascii="仿宋_GB2312" w:hAnsi="宋体" w:eastAsia="仿宋_GB2312"/>
                <w:sz w:val="24"/>
              </w:rPr>
            </w:pPr>
            <w:r>
              <w:rPr>
                <w:rFonts w:hint="eastAsia" w:ascii="仿宋_GB2312" w:hAnsi="宋体" w:eastAsia="仿宋_GB2312"/>
                <w:sz w:val="24"/>
              </w:rPr>
              <w:t>各二级学院</w:t>
            </w:r>
          </w:p>
        </w:tc>
        <w:tc>
          <w:tcPr>
            <w:tcW w:w="2166" w:type="dxa"/>
            <w:noWrap w:val="0"/>
            <w:vAlign w:val="top"/>
          </w:tcPr>
          <w:p>
            <w:pPr>
              <w:pageBreakBefore w:val="0"/>
              <w:kinsoku/>
              <w:wordWrap/>
              <w:overflowPunct/>
              <w:topLinePunct w:val="0"/>
              <w:bidi w:val="0"/>
              <w:jc w:val="left"/>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5</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在线教学试运行</w:t>
            </w:r>
          </w:p>
        </w:tc>
        <w:tc>
          <w:tcPr>
            <w:tcW w:w="1509"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3月2、3日</w:t>
            </w:r>
          </w:p>
        </w:tc>
        <w:tc>
          <w:tcPr>
            <w:tcW w:w="1560" w:type="dxa"/>
            <w:noWrap w:val="0"/>
            <w:vAlign w:val="center"/>
          </w:tcPr>
          <w:p>
            <w:pPr>
              <w:pageBreakBefore w:val="0"/>
              <w:kinsoku/>
              <w:wordWrap/>
              <w:overflowPunct/>
              <w:topLinePunct w:val="0"/>
              <w:bidi w:val="0"/>
              <w:ind w:left="173" w:hanging="172" w:hangingChars="72"/>
              <w:jc w:val="center"/>
              <w:outlineLvl w:val="9"/>
              <w:rPr>
                <w:rFonts w:ascii="仿宋_GB2312" w:hAnsi="宋体" w:eastAsia="仿宋_GB2312"/>
                <w:sz w:val="24"/>
              </w:rPr>
            </w:pPr>
            <w:r>
              <w:rPr>
                <w:rFonts w:hint="eastAsia" w:ascii="仿宋_GB2312" w:hAnsi="宋体" w:eastAsia="仿宋_GB2312"/>
                <w:sz w:val="24"/>
              </w:rPr>
              <w:t>各二级学院</w:t>
            </w:r>
          </w:p>
        </w:tc>
        <w:tc>
          <w:tcPr>
            <w:tcW w:w="2166" w:type="dxa"/>
            <w:noWrap w:val="0"/>
            <w:vAlign w:val="top"/>
          </w:tcPr>
          <w:p>
            <w:pPr>
              <w:pageBreakBefore w:val="0"/>
              <w:kinsoku/>
              <w:wordWrap/>
              <w:overflowPunct/>
              <w:topLinePunct w:val="0"/>
              <w:bidi w:val="0"/>
              <w:jc w:val="left"/>
              <w:outlineLvl w:val="9"/>
              <w:rPr>
                <w:rFonts w:ascii="仿宋_GB2312" w:hAnsi="宋体"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6</w:t>
            </w:r>
          </w:p>
        </w:tc>
        <w:tc>
          <w:tcPr>
            <w:tcW w:w="3344" w:type="dxa"/>
            <w:noWrap w:val="0"/>
            <w:vAlign w:val="center"/>
          </w:tcPr>
          <w:p>
            <w:pPr>
              <w:pageBreakBefore w:val="0"/>
              <w:kinsoku/>
              <w:wordWrap/>
              <w:overflowPunct/>
              <w:topLinePunct w:val="0"/>
              <w:bidi w:val="0"/>
              <w:spacing w:line="360" w:lineRule="auto"/>
              <w:jc w:val="left"/>
              <w:outlineLvl w:val="9"/>
              <w:rPr>
                <w:rFonts w:ascii="仿宋_GB2312" w:hAnsi="宋体" w:eastAsia="仿宋_GB2312"/>
                <w:sz w:val="24"/>
              </w:rPr>
            </w:pPr>
            <w:r>
              <w:rPr>
                <w:rFonts w:hint="eastAsia" w:ascii="仿宋_GB2312" w:hAnsi="宋体" w:eastAsia="仿宋_GB2312"/>
                <w:sz w:val="24"/>
              </w:rPr>
              <w:t>在线教学运行调查</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3月5、6日</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教务处+各二级学院</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7</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在线教学情况进行检查、抽查，并通报</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3月9 -23日</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督导+教务处+各二级学院</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8</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第5周后开设的课程资源建设检查</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3月23-27日</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教务处+各二级学院</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9</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教师在线教学质量评价</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学生返校后</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教务处</w:t>
            </w:r>
          </w:p>
        </w:tc>
        <w:tc>
          <w:tcPr>
            <w:tcW w:w="2166" w:type="dxa"/>
            <w:noWrap w:val="0"/>
            <w:vAlign w:val="top"/>
          </w:tcPr>
          <w:p>
            <w:pPr>
              <w:pageBreakBefore w:val="0"/>
              <w:kinsoku/>
              <w:wordWrap/>
              <w:overflowPunct/>
              <w:topLinePunct w:val="0"/>
              <w:bidi w:val="0"/>
              <w:spacing w:line="360" w:lineRule="auto"/>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2"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10</w:t>
            </w:r>
          </w:p>
        </w:tc>
        <w:tc>
          <w:tcPr>
            <w:tcW w:w="3344" w:type="dxa"/>
            <w:noWrap w:val="0"/>
            <w:vAlign w:val="center"/>
          </w:tcPr>
          <w:p>
            <w:pPr>
              <w:pageBreakBefore w:val="0"/>
              <w:kinsoku/>
              <w:wordWrap/>
              <w:overflowPunct/>
              <w:topLinePunct w:val="0"/>
              <w:bidi w:val="0"/>
              <w:jc w:val="left"/>
              <w:outlineLvl w:val="9"/>
              <w:rPr>
                <w:rFonts w:ascii="仿宋_GB2312" w:hAnsi="宋体" w:eastAsia="仿宋_GB2312"/>
                <w:sz w:val="24"/>
              </w:rPr>
            </w:pPr>
            <w:r>
              <w:rPr>
                <w:rFonts w:hint="eastAsia" w:ascii="仿宋_GB2312" w:hAnsi="宋体" w:eastAsia="仿宋_GB2312"/>
                <w:sz w:val="24"/>
              </w:rPr>
              <w:t>学生在线学习效果测试</w:t>
            </w:r>
          </w:p>
        </w:tc>
        <w:tc>
          <w:tcPr>
            <w:tcW w:w="1509" w:type="dxa"/>
            <w:noWrap w:val="0"/>
            <w:vAlign w:val="center"/>
          </w:tcPr>
          <w:p>
            <w:pPr>
              <w:pageBreakBefore w:val="0"/>
              <w:kinsoku/>
              <w:wordWrap/>
              <w:overflowPunct/>
              <w:topLinePunct w:val="0"/>
              <w:bidi w:val="0"/>
              <w:spacing w:line="360" w:lineRule="auto"/>
              <w:jc w:val="center"/>
              <w:outlineLvl w:val="9"/>
              <w:rPr>
                <w:rFonts w:ascii="仿宋_GB2312" w:hAnsi="宋体" w:eastAsia="仿宋_GB2312"/>
                <w:sz w:val="24"/>
              </w:rPr>
            </w:pPr>
            <w:r>
              <w:rPr>
                <w:rFonts w:hint="eastAsia" w:ascii="仿宋_GB2312" w:hAnsi="宋体" w:eastAsia="仿宋_GB2312"/>
                <w:sz w:val="24"/>
              </w:rPr>
              <w:t>学生返校后</w:t>
            </w:r>
          </w:p>
        </w:tc>
        <w:tc>
          <w:tcPr>
            <w:tcW w:w="1560" w:type="dxa"/>
            <w:noWrap w:val="0"/>
            <w:vAlign w:val="center"/>
          </w:tcPr>
          <w:p>
            <w:pPr>
              <w:pageBreakBefore w:val="0"/>
              <w:kinsoku/>
              <w:wordWrap/>
              <w:overflowPunct/>
              <w:topLinePunct w:val="0"/>
              <w:bidi w:val="0"/>
              <w:jc w:val="center"/>
              <w:outlineLvl w:val="9"/>
              <w:rPr>
                <w:rFonts w:ascii="仿宋_GB2312" w:hAnsi="宋体" w:eastAsia="仿宋_GB2312"/>
                <w:sz w:val="24"/>
              </w:rPr>
            </w:pPr>
            <w:r>
              <w:rPr>
                <w:rFonts w:hint="eastAsia" w:ascii="仿宋_GB2312" w:hAnsi="宋体" w:eastAsia="仿宋_GB2312"/>
                <w:sz w:val="24"/>
              </w:rPr>
              <w:t>各二级学院</w:t>
            </w:r>
          </w:p>
        </w:tc>
        <w:tc>
          <w:tcPr>
            <w:tcW w:w="2166" w:type="dxa"/>
            <w:noWrap w:val="0"/>
            <w:vAlign w:val="top"/>
          </w:tcPr>
          <w:p>
            <w:pPr>
              <w:pageBreakBefore w:val="0"/>
              <w:kinsoku/>
              <w:wordWrap/>
              <w:overflowPunct/>
              <w:topLinePunct w:val="0"/>
              <w:bidi w:val="0"/>
              <w:snapToGrid w:val="0"/>
              <w:outlineLvl w:val="9"/>
              <w:rPr>
                <w:rFonts w:ascii="仿宋_GB2312" w:hAnsi="宋体" w:eastAsia="仿宋_GB2312"/>
                <w:sz w:val="24"/>
              </w:rPr>
            </w:pPr>
            <w:r>
              <w:rPr>
                <w:rFonts w:hint="eastAsia" w:ascii="仿宋_GB2312" w:hAnsi="宋体" w:eastAsia="仿宋_GB2312"/>
                <w:sz w:val="21"/>
                <w:szCs w:val="21"/>
              </w:rPr>
              <w:t>返校测试后，将二级学院在线课程整体实施情况总结，发送至教务处覃会</w:t>
            </w:r>
            <w:r>
              <w:rPr>
                <w:rFonts w:hint="eastAsia" w:ascii="宋体" w:hAnsi="宋体" w:cs="宋体"/>
                <w:sz w:val="21"/>
                <w:szCs w:val="21"/>
              </w:rPr>
              <w:t>喆</w:t>
            </w:r>
            <w:r>
              <w:rPr>
                <w:rFonts w:hint="eastAsia" w:ascii="仿宋_GB2312" w:hAnsi="仿宋_GB2312" w:eastAsia="仿宋_GB2312" w:cs="仿宋_GB2312"/>
                <w:sz w:val="21"/>
                <w:szCs w:val="21"/>
              </w:rPr>
              <w:t>办</w:t>
            </w:r>
            <w:r>
              <w:rPr>
                <w:rFonts w:hint="eastAsia" w:ascii="仿宋_GB2312" w:hAnsi="宋体" w:eastAsia="仿宋_GB2312"/>
                <w:sz w:val="21"/>
                <w:szCs w:val="21"/>
              </w:rPr>
              <w:t>公邮箱。</w:t>
            </w:r>
          </w:p>
        </w:tc>
      </w:tr>
    </w:tbl>
    <w:p>
      <w:pPr>
        <w:pageBreakBefore w:val="0"/>
        <w:kinsoku/>
        <w:wordWrap/>
        <w:overflowPunct/>
        <w:topLinePunct w:val="0"/>
        <w:bidi w:val="0"/>
        <w:outlineLvl w:val="9"/>
        <w:rPr>
          <w:rFonts w:hint="eastAsia"/>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44" w:name="_Toc9215"/>
      <w:bookmarkStart w:id="445" w:name="_Toc25714"/>
      <w:bookmarkStart w:id="446" w:name="_Toc22176"/>
      <w:r>
        <w:rPr>
          <w:rFonts w:hint="eastAsia" w:asciiTheme="minorEastAsia" w:hAnsiTheme="minorEastAsia" w:eastAsiaTheme="minorEastAsia" w:cstheme="minorEastAsia"/>
          <w:b/>
          <w:color w:val="000000"/>
          <w:kern w:val="0"/>
          <w:sz w:val="36"/>
          <w:szCs w:val="36"/>
        </w:rPr>
        <w:t>柳州职业技术学院教学建设项目管理办法</w:t>
      </w:r>
      <w:bookmarkEnd w:id="444"/>
      <w:bookmarkEnd w:id="445"/>
      <w:bookmarkEnd w:id="446"/>
    </w:p>
    <w:p>
      <w:pPr>
        <w:pageBreakBefore w:val="0"/>
        <w:kinsoku/>
        <w:wordWrap/>
        <w:overflowPunct/>
        <w:topLinePunct w:val="0"/>
        <w:bidi w:val="0"/>
        <w:jc w:val="center"/>
        <w:outlineLvl w:val="9"/>
        <w:rPr>
          <w:rFonts w:ascii="仿宋_GB2312" w:eastAsia="仿宋_GB2312"/>
          <w:sz w:val="32"/>
          <w:szCs w:val="32"/>
        </w:rPr>
      </w:pPr>
      <w:r>
        <w:rPr>
          <w:rFonts w:hint="eastAsia" w:ascii="仿宋_GB2312" w:eastAsia="仿宋_GB2312"/>
          <w:sz w:val="32"/>
          <w:szCs w:val="32"/>
        </w:rPr>
        <w:t>柳职院教字〔</w:t>
      </w:r>
      <w:r>
        <w:rPr>
          <w:rFonts w:ascii="仿宋_GB2312" w:eastAsia="仿宋_GB2312"/>
          <w:sz w:val="32"/>
          <w:szCs w:val="32"/>
        </w:rPr>
        <w:t>2020</w:t>
      </w:r>
      <w:r>
        <w:rPr>
          <w:rFonts w:hint="eastAsia" w:ascii="仿宋_GB2312" w:eastAsia="仿宋_GB2312"/>
          <w:sz w:val="32"/>
          <w:szCs w:val="32"/>
        </w:rPr>
        <w:t>〕</w:t>
      </w:r>
      <w:r>
        <w:rPr>
          <w:rFonts w:ascii="仿宋_GB2312" w:eastAsia="仿宋_GB2312"/>
          <w:sz w:val="32"/>
          <w:szCs w:val="32"/>
        </w:rPr>
        <w:t>10</w:t>
      </w:r>
      <w:r>
        <w:rPr>
          <w:rFonts w:hint="eastAsia" w:ascii="仿宋_GB2312" w:eastAsia="仿宋_GB2312"/>
          <w:sz w:val="32"/>
          <w:szCs w:val="32"/>
        </w:rPr>
        <w:t>号</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第一章</w:t>
      </w:r>
      <w:r>
        <w:rPr>
          <w:rFonts w:ascii="黑体" w:hAnsi="黑体" w:eastAsia="黑体" w:cs="宋体"/>
          <w:b/>
          <w:bCs/>
          <w:sz w:val="32"/>
          <w:szCs w:val="32"/>
        </w:rPr>
        <w:t xml:space="preserve">  </w:t>
      </w:r>
      <w:r>
        <w:rPr>
          <w:rFonts w:hint="eastAsia" w:ascii="黑体" w:hAnsi="黑体" w:eastAsia="黑体" w:cs="宋体"/>
          <w:b/>
          <w:bCs/>
          <w:sz w:val="32"/>
          <w:szCs w:val="32"/>
        </w:rPr>
        <w:t>总则</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第一条</w:t>
      </w:r>
      <w:r>
        <w:rPr>
          <w:rFonts w:ascii="仿宋_GB2312" w:hAnsi="宋体" w:eastAsia="仿宋_GB2312" w:cs="宋体"/>
          <w:b/>
          <w:bCs/>
          <w:sz w:val="32"/>
          <w:szCs w:val="32"/>
        </w:rPr>
        <w:t xml:space="preserve">  </w:t>
      </w:r>
      <w:r>
        <w:rPr>
          <w:rFonts w:hint="eastAsia" w:ascii="仿宋_GB2312" w:hAnsi="宋体" w:eastAsia="仿宋_GB2312" w:cs="宋体"/>
          <w:bCs/>
          <w:sz w:val="32"/>
          <w:szCs w:val="32"/>
        </w:rPr>
        <w:t>为了加强我校教学建设项目的管理，激发广大教师积极投身于教学建设与改革，全面提高人才培养质量，根据上级有关规定，结合我校的具体特点，特制定本办法。</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教学建设项目的类别包括专业建设、专业教学资源库建设、课程建设、教材建设、实训基地建设等建设项目。</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教学建设项目的级别按照项目设立部门的级别进行划分，分为国家级项目、自治区（省）级项目、市级项目以及校级项目。国家级、自治区（省）级、市级统称为上级，相应级别项目统称为上级项目。</w:t>
      </w:r>
    </w:p>
    <w:tbl>
      <w:tblPr>
        <w:tblStyle w:val="17"/>
        <w:tblW w:w="7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94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项目级别</w:t>
            </w:r>
          </w:p>
        </w:tc>
        <w:tc>
          <w:tcPr>
            <w:tcW w:w="425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设立部门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94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国家级</w:t>
            </w:r>
          </w:p>
        </w:tc>
        <w:tc>
          <w:tcPr>
            <w:tcW w:w="4253" w:type="dxa"/>
            <w:noWrap w:val="0"/>
            <w:vAlign w:val="center"/>
          </w:tcPr>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国家教育部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294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自治区（省）级</w:t>
            </w:r>
          </w:p>
        </w:tc>
        <w:tc>
          <w:tcPr>
            <w:tcW w:w="4253" w:type="dxa"/>
            <w:noWrap w:val="0"/>
            <w:vAlign w:val="center"/>
          </w:tcPr>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广西教育厅</w:t>
            </w:r>
          </w:p>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国家级行业协会</w:t>
            </w:r>
          </w:p>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全国专业教学指导委员会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5" w:hRule="atLeast"/>
          <w:jc w:val="center"/>
        </w:trPr>
        <w:tc>
          <w:tcPr>
            <w:tcW w:w="294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市级</w:t>
            </w:r>
          </w:p>
        </w:tc>
        <w:tc>
          <w:tcPr>
            <w:tcW w:w="4253" w:type="dxa"/>
            <w:noWrap w:val="0"/>
            <w:vAlign w:val="center"/>
          </w:tcPr>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柳州市教育局</w:t>
            </w:r>
          </w:p>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广西专业教学指导委员会</w:t>
            </w:r>
          </w:p>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国家级行业协会下属分会</w:t>
            </w:r>
          </w:p>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全国专业教学指导委员会下属分会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943" w:type="dxa"/>
            <w:noWrap w:val="0"/>
            <w:vAlign w:val="center"/>
          </w:tcPr>
          <w:p>
            <w:pPr>
              <w:pageBreakBefore w:val="0"/>
              <w:kinsoku/>
              <w:wordWrap/>
              <w:overflowPunct/>
              <w:topLinePunct w:val="0"/>
              <w:bidi w:val="0"/>
              <w:jc w:val="center"/>
              <w:outlineLvl w:val="9"/>
              <w:rPr>
                <w:rFonts w:ascii="仿宋_GB2312" w:hAnsi="仿宋" w:eastAsia="仿宋_GB2312"/>
                <w:sz w:val="24"/>
              </w:rPr>
            </w:pPr>
            <w:r>
              <w:rPr>
                <w:rFonts w:hint="eastAsia" w:ascii="仿宋_GB2312" w:hAnsi="仿宋" w:eastAsia="仿宋_GB2312"/>
                <w:sz w:val="24"/>
              </w:rPr>
              <w:t>校级</w:t>
            </w:r>
          </w:p>
        </w:tc>
        <w:tc>
          <w:tcPr>
            <w:tcW w:w="4253" w:type="dxa"/>
            <w:noWrap w:val="0"/>
            <w:vAlign w:val="center"/>
          </w:tcPr>
          <w:p>
            <w:pPr>
              <w:pageBreakBefore w:val="0"/>
              <w:kinsoku/>
              <w:wordWrap/>
              <w:overflowPunct/>
              <w:topLinePunct w:val="0"/>
              <w:bidi w:val="0"/>
              <w:outlineLvl w:val="9"/>
              <w:rPr>
                <w:rFonts w:ascii="仿宋_GB2312" w:hAnsi="仿宋" w:eastAsia="仿宋_GB2312"/>
                <w:sz w:val="24"/>
              </w:rPr>
            </w:pPr>
            <w:r>
              <w:rPr>
                <w:rFonts w:hint="eastAsia" w:ascii="仿宋_GB2312" w:hAnsi="仿宋" w:eastAsia="仿宋_GB2312"/>
                <w:sz w:val="24"/>
              </w:rPr>
              <w:t>柳州职业技术学院</w:t>
            </w:r>
          </w:p>
        </w:tc>
      </w:tr>
    </w:tbl>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第四条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项目管理是指从项目立项到项目验收通过为止的期间内，为保证项目建设按建设方案及任务书有序执行，并达到预期目标和成果，对项目建设进行的系列化监控、考核、评估和修正等工作。</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第五条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项目承担部门必须在项目申报前，对项目的可行性、必要性、建设方案、设备</w:t>
      </w:r>
      <w:r>
        <w:rPr>
          <w:rFonts w:ascii="仿宋_GB2312" w:hAnsi="宋体" w:eastAsia="仿宋_GB2312" w:cs="宋体"/>
          <w:bCs/>
          <w:sz w:val="32"/>
          <w:szCs w:val="32"/>
        </w:rPr>
        <w:t>/</w:t>
      </w:r>
      <w:r>
        <w:rPr>
          <w:rFonts w:hint="eastAsia" w:ascii="仿宋_GB2312" w:hAnsi="宋体" w:eastAsia="仿宋_GB2312" w:cs="宋体"/>
          <w:bCs/>
          <w:sz w:val="32"/>
          <w:szCs w:val="32"/>
        </w:rPr>
        <w:t>服务采购等进行部门论证。</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单个项目金额为</w:t>
      </w:r>
      <w:r>
        <w:rPr>
          <w:rFonts w:ascii="仿宋_GB2312" w:hAnsi="宋体" w:eastAsia="仿宋_GB2312" w:cs="宋体"/>
          <w:bCs/>
          <w:sz w:val="32"/>
          <w:szCs w:val="32"/>
        </w:rPr>
        <w:t>50</w:t>
      </w:r>
      <w:r>
        <w:rPr>
          <w:rFonts w:hint="eastAsia" w:ascii="仿宋_GB2312" w:hAnsi="宋体" w:eastAsia="仿宋_GB2312" w:cs="宋体"/>
          <w:bCs/>
          <w:sz w:val="32"/>
          <w:szCs w:val="32"/>
        </w:rPr>
        <w:t>万元以下项目，论证专家成员不少于</w:t>
      </w:r>
      <w:r>
        <w:rPr>
          <w:rFonts w:ascii="仿宋_GB2312" w:hAnsi="宋体" w:eastAsia="仿宋_GB2312" w:cs="宋体"/>
          <w:bCs/>
          <w:sz w:val="32"/>
          <w:szCs w:val="32"/>
        </w:rPr>
        <w:t>5</w:t>
      </w:r>
      <w:r>
        <w:rPr>
          <w:rFonts w:hint="eastAsia" w:ascii="仿宋_GB2312" w:hAnsi="宋体" w:eastAsia="仿宋_GB2312" w:cs="宋体"/>
          <w:bCs/>
          <w:sz w:val="32"/>
          <w:szCs w:val="32"/>
        </w:rPr>
        <w:t>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单个项目金额为</w:t>
      </w:r>
      <w:r>
        <w:rPr>
          <w:rFonts w:ascii="仿宋_GB2312" w:hAnsi="宋体" w:eastAsia="仿宋_GB2312" w:cs="宋体"/>
          <w:bCs/>
          <w:sz w:val="32"/>
          <w:szCs w:val="32"/>
        </w:rPr>
        <w:t>50</w:t>
      </w:r>
      <w:r>
        <w:rPr>
          <w:rFonts w:hint="eastAsia" w:ascii="仿宋_GB2312" w:hAnsi="宋体" w:eastAsia="仿宋_GB2312" w:cs="宋体"/>
          <w:bCs/>
          <w:sz w:val="32"/>
          <w:szCs w:val="32"/>
        </w:rPr>
        <w:t>万元或以上项目，论证专家成员不少于</w:t>
      </w:r>
      <w:r>
        <w:rPr>
          <w:rFonts w:ascii="仿宋_GB2312" w:hAnsi="宋体" w:eastAsia="仿宋_GB2312" w:cs="宋体"/>
          <w:bCs/>
          <w:sz w:val="32"/>
          <w:szCs w:val="32"/>
        </w:rPr>
        <w:t>7</w:t>
      </w:r>
      <w:r>
        <w:rPr>
          <w:rFonts w:hint="eastAsia" w:ascii="仿宋_GB2312" w:hAnsi="宋体" w:eastAsia="仿宋_GB2312" w:cs="宋体"/>
          <w:bCs/>
          <w:sz w:val="32"/>
          <w:szCs w:val="32"/>
        </w:rPr>
        <w:t>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部门论证成员由学校专业建设指导委员会成员、学校副高及以上职称相关专业专家、校外（行业企业）专家等组成，其中校外（行业企业）专家不少于论证成员总人数的</w:t>
      </w:r>
      <w:r>
        <w:rPr>
          <w:rFonts w:ascii="仿宋_GB2312" w:hAnsi="宋体" w:eastAsia="仿宋_GB2312" w:cs="宋体"/>
          <w:bCs/>
          <w:sz w:val="32"/>
          <w:szCs w:val="32"/>
        </w:rPr>
        <w:t>1/3</w:t>
      </w:r>
      <w:r>
        <w:rPr>
          <w:rFonts w:hint="eastAsia" w:ascii="仿宋_GB2312" w:hAnsi="宋体" w:eastAsia="仿宋_GB2312" w:cs="宋体"/>
          <w:bCs/>
          <w:sz w:val="32"/>
          <w:szCs w:val="32"/>
        </w:rPr>
        <w:t>。必要时，应增加学校相关领域专家（教学、财务、资产管理、基建、信息技术等）参加。</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第六条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单个项目金额为</w:t>
      </w:r>
      <w:r>
        <w:rPr>
          <w:rFonts w:ascii="仿宋_GB2312" w:hAnsi="宋体" w:eastAsia="仿宋_GB2312" w:cs="宋体"/>
          <w:bCs/>
          <w:sz w:val="32"/>
          <w:szCs w:val="32"/>
        </w:rPr>
        <w:t>10</w:t>
      </w:r>
      <w:r>
        <w:rPr>
          <w:rFonts w:hint="eastAsia" w:ascii="仿宋_GB2312" w:hAnsi="宋体" w:eastAsia="仿宋_GB2312" w:cs="宋体"/>
          <w:bCs/>
          <w:sz w:val="32"/>
          <w:szCs w:val="32"/>
        </w:rPr>
        <w:t>万元或以上项目，通过部门论证后，必须再组织学校论证，即由教务与实训管理处负责组织学校专家组对项目进行的论证。</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单个项目金额为</w:t>
      </w:r>
      <w:r>
        <w:rPr>
          <w:rFonts w:ascii="仿宋_GB2312" w:hAnsi="宋体" w:eastAsia="仿宋_GB2312" w:cs="宋体"/>
          <w:bCs/>
          <w:sz w:val="32"/>
          <w:szCs w:val="32"/>
        </w:rPr>
        <w:t>50</w:t>
      </w:r>
      <w:r>
        <w:rPr>
          <w:rFonts w:hint="eastAsia" w:ascii="仿宋_GB2312" w:hAnsi="宋体" w:eastAsia="仿宋_GB2312" w:cs="宋体"/>
          <w:bCs/>
          <w:sz w:val="32"/>
          <w:szCs w:val="32"/>
        </w:rPr>
        <w:t>万元以下项目，论证专家成员不少于</w:t>
      </w:r>
      <w:r>
        <w:rPr>
          <w:rFonts w:ascii="仿宋_GB2312" w:hAnsi="宋体" w:eastAsia="仿宋_GB2312" w:cs="宋体"/>
          <w:bCs/>
          <w:sz w:val="32"/>
          <w:szCs w:val="32"/>
        </w:rPr>
        <w:t>5</w:t>
      </w:r>
      <w:r>
        <w:rPr>
          <w:rFonts w:hint="eastAsia" w:ascii="仿宋_GB2312" w:hAnsi="宋体" w:eastAsia="仿宋_GB2312" w:cs="宋体"/>
          <w:bCs/>
          <w:sz w:val="32"/>
          <w:szCs w:val="32"/>
        </w:rPr>
        <w:t>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单个项目金额为</w:t>
      </w:r>
      <w:r>
        <w:rPr>
          <w:rFonts w:ascii="仿宋_GB2312" w:hAnsi="宋体" w:eastAsia="仿宋_GB2312" w:cs="宋体"/>
          <w:bCs/>
          <w:sz w:val="32"/>
          <w:szCs w:val="32"/>
        </w:rPr>
        <w:t>50</w:t>
      </w:r>
      <w:r>
        <w:rPr>
          <w:rFonts w:hint="eastAsia" w:ascii="仿宋_GB2312" w:hAnsi="宋体" w:eastAsia="仿宋_GB2312" w:cs="宋体"/>
          <w:bCs/>
          <w:sz w:val="32"/>
          <w:szCs w:val="32"/>
        </w:rPr>
        <w:t>万元或以上项目，论证专家成员不少于</w:t>
      </w:r>
      <w:r>
        <w:rPr>
          <w:rFonts w:ascii="仿宋_GB2312" w:hAnsi="宋体" w:eastAsia="仿宋_GB2312" w:cs="宋体"/>
          <w:bCs/>
          <w:sz w:val="32"/>
          <w:szCs w:val="32"/>
        </w:rPr>
        <w:t>7</w:t>
      </w:r>
      <w:r>
        <w:rPr>
          <w:rFonts w:hint="eastAsia" w:ascii="仿宋_GB2312" w:hAnsi="宋体" w:eastAsia="仿宋_GB2312" w:cs="宋体"/>
          <w:bCs/>
          <w:sz w:val="32"/>
          <w:szCs w:val="32"/>
        </w:rPr>
        <w:t>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学校论证专家成员由学校教学工作委员会成员、学校学术委员会成员、学校相关领域专家（教学、财务、资产管理、基建、信息技术等）等组成。必要时，应增加校外（行业企业）专家等参加。</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第七条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国家级、自治区（省）级、市级的教学建设项目，需组织上级专家对项目论证的，按有关上级主管部门要求遵照执行。</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第二章</w:t>
      </w:r>
      <w:r>
        <w:rPr>
          <w:rFonts w:ascii="黑体" w:hAnsi="黑体" w:eastAsia="黑体" w:cs="宋体"/>
          <w:b/>
          <w:bCs/>
          <w:sz w:val="32"/>
          <w:szCs w:val="32"/>
        </w:rPr>
        <w:t xml:space="preserve">  </w:t>
      </w:r>
      <w:r>
        <w:rPr>
          <w:rFonts w:hint="eastAsia" w:ascii="黑体" w:hAnsi="黑体" w:eastAsia="黑体" w:cs="宋体"/>
          <w:b/>
          <w:bCs/>
          <w:sz w:val="32"/>
          <w:szCs w:val="32"/>
        </w:rPr>
        <w:t>管理机构与职责</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第八条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教务与实训管理处是教学建设项目的业务归口管理部门，负责组织项目申报、学校论证，负责督促项目实施、监控项目建设质量、统筹协调全校教学资源支持项目建设，负责组织项目验收等。</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第九条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财务处是教学建设项目的资金管理部门，负责项目资金的财务管理和会计核算，指导项目资金的预算编制，牵头组织建立学校项目库，落实项目资金并分解下达，监督、指导项目承担部门按项目预算和项目进度使用项目资金，审核项目资金的调整统筹事项，会同内审部门开展项目资金的监督检查。</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后勤与资产管理处是负责设备采购和场地建设部门，负责组织设备、物资、服务等的采购论证；负责组织政府采购审批、采购招标、到货验收等工作；负责实训室场地安排、场地基建、装饰装修等工作。</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第十一条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内部审计室是项目审计管理部门，对项目采购资金进行询价审计；对项目承担部门的项目资金进行内部审计监督。</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第十二条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二级学院是项目的承担部门，负责规划设计项目，组织制定及优化项目建设方案及任务书，组织项目申报。项目获得立项后，按照建设方案开展项目建设实施，在项目实施过程中统筹协调二级学院资源对项目提供人力、财力、技术等方面的支持。确保按时、按质完善项目建设。</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第三章</w:t>
      </w:r>
      <w:r>
        <w:rPr>
          <w:rFonts w:ascii="黑体" w:hAnsi="黑体" w:eastAsia="黑体" w:cs="宋体"/>
          <w:b/>
          <w:bCs/>
          <w:sz w:val="32"/>
          <w:szCs w:val="32"/>
        </w:rPr>
        <w:t xml:space="preserve">  </w:t>
      </w:r>
      <w:r>
        <w:rPr>
          <w:rFonts w:hint="eastAsia" w:ascii="黑体" w:hAnsi="黑体" w:eastAsia="黑体" w:cs="宋体"/>
          <w:b/>
          <w:bCs/>
          <w:sz w:val="32"/>
          <w:szCs w:val="32"/>
        </w:rPr>
        <w:t>项目入库</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第十三条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学校建立中期项目储备库，实行中期财政规划管理。项目入库是指教学建设项目纳入学校项目储备库，作为申报各级财政资金或学校资金支持的备选项目。对于没有纳入项目储备库的项目原则上不得推荐参加学校以及上级部门的项目申报，不得安排项目资金预算。</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第十四条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教学建设项目入库的程序为：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（一）项目设定。二级学院根据发展需要设立建设项目，制定项目建设方案，撰写项目入库申报书等申报材料。</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（二）部门论证及申报。二级学院组织项目部门论证，将项目入库申报材料上报教务与实训管理处。</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（三）学校论证。教务与实训管理处汇总入库申报项目，组织学校论证评审，通过的项目报分管校领导审批。</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（四）项目入库。教务与实训管理处将审批通过的项目纳入学校项目储备库，并报校财务处备案，作为申报各级财政或学校资金支持的备选项目。</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第十五条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学校项目储备库实行动态管理，每年</w:t>
      </w:r>
      <w:r>
        <w:rPr>
          <w:rFonts w:ascii="仿宋_GB2312" w:hAnsi="宋体" w:eastAsia="仿宋_GB2312" w:cs="宋体"/>
          <w:bCs/>
          <w:sz w:val="32"/>
          <w:szCs w:val="32"/>
        </w:rPr>
        <w:t xml:space="preserve"> 5</w:t>
      </w:r>
      <w:r>
        <w:rPr>
          <w:rFonts w:hint="eastAsia" w:ascii="仿宋_GB2312" w:hAnsi="宋体" w:eastAsia="仿宋_GB2312" w:cs="宋体"/>
          <w:bCs/>
          <w:sz w:val="32"/>
          <w:szCs w:val="32"/>
        </w:rPr>
        <w:t>月，教务与实训管理处组织教学建设项目入库的学校论证。如遇政策上的变化或确因特殊原因（如校企合作、上级要求等），项目承担部门可适时提出项目入库申请。</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第十六条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项目储备库中的项目如果后期在建设内容、资金等方面有较大变更的，需重新申报及论证、审批通过后，在学校项目储备库中按变更后的建设方案更新项目。</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第四章</w:t>
      </w:r>
      <w:r>
        <w:rPr>
          <w:rFonts w:ascii="黑体" w:hAnsi="黑体" w:eastAsia="黑体" w:cs="宋体"/>
          <w:b/>
          <w:bCs/>
          <w:sz w:val="32"/>
          <w:szCs w:val="32"/>
        </w:rPr>
        <w:t xml:space="preserve">  </w:t>
      </w:r>
      <w:r>
        <w:rPr>
          <w:rFonts w:hint="eastAsia" w:ascii="黑体" w:hAnsi="黑体" w:eastAsia="黑体" w:cs="宋体"/>
          <w:b/>
          <w:bCs/>
          <w:sz w:val="32"/>
          <w:szCs w:val="32"/>
        </w:rPr>
        <w:t>项目立项</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第十七条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国家级、自治区（省）级、市级教学建设项目的立项由教务与实训管理处根据有关上级主管部门文件要求组织申报。项目承担部门从学校项目储备库中遴选项目，按照文件要求撰写项目申报材料，由教务与实训管理处组织学校论证及报送项目申报材料。申报上级立项的项目根据上级审核论证反馈意见调整建设方案，再次上报直至获得立项及项目资金。</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第十八条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校级项目立项分为专项教学建设项目立项和常规教学建设项目立项。</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第十九条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专项教学建设项目是指由教务与实训管理处向学校申请专项资金设立的专项项目，立项程序为：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（一）立项申报文件发布。教务与实训管理处发布校级专项项目立项申报文件。</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（二）部门论证及申报。二级学院按文件要求，根据本学院和各专业发展需求等情况，撰写项目申报材料，并组织部门论证，将申报材料上报教务与实训管理处。</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（三）学校论证。教务与实训管理处汇总申报项目，组织学校论证评审。</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（四）校长办公会及党委会审核。学校论证通过的项目，上报分管校领导审批，提交校长办公会及校党委会审核。</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（五）立项公布。教务与实训管理处将审核通过的项目报校财务处落实项目资金，并发文公布立项项目名单。</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常规教学建设项目立项程序为：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（一）项目遴选。二级学院根据项目建设的轻重缓急，从学校项目储备库中遴选出下一年需要建设的项目，做好项目建设前期准备，完善项目建设方案，撰写项目立项申报书等申报材料。</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（二）部门论证及申报。二级学院对项目建设方案及采购等进行内部论证。</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学校论证。教务与实训管理处汇总申报项目，组织学校论证，从学校办学定位、现有条件、专业发展规划及目标、建设内容、资金使用、设备（资源）配置、预期效益等方面，论证各项目的必要性和可行性。论证通过的项目上报分管校领导审批。</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（四）资金预算。教务与实训管理处对论证审批通过的拟立项项目做项目资金预算，报校财务处核算。</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推荐建设期长、较大资金的项目申报上级项目，争取获得上级财政支持。必要且急需建设、较小资金的项目，由学校资金支持。</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申报但未获得上级财政立项的项目，可调整建设方案和申请资金，重新组织学校论证后，转为学校资金项目。</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获得上级立项或获得学校立项，但获得资金与原申请资金不一致的项目，需按获得资金调整建设方案，报教务与实训管理处审核，必要时需重新组织学校论证。</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（五）校长办公会及党委会审核。财务处汇总核算后所有项目资金预算（包括政策规定需要由学校资金配套列支的项目资金），报校长办公会及校党委会审核通过后发文，下达落实项目资金。</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（六）立项公布。教务与实训管理处对落实项目资金的项目发文公布立项项目名单。</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第五章</w:t>
      </w:r>
      <w:r>
        <w:rPr>
          <w:rFonts w:ascii="黑体" w:hAnsi="黑体" w:eastAsia="黑体" w:cs="宋体"/>
          <w:b/>
          <w:bCs/>
          <w:sz w:val="32"/>
          <w:szCs w:val="32"/>
        </w:rPr>
        <w:t xml:space="preserve">  </w:t>
      </w:r>
      <w:r>
        <w:rPr>
          <w:rFonts w:hint="eastAsia" w:ascii="黑体" w:hAnsi="黑体" w:eastAsia="黑体" w:cs="宋体"/>
          <w:b/>
          <w:bCs/>
          <w:sz w:val="32"/>
          <w:szCs w:val="32"/>
        </w:rPr>
        <w:t>项目方案变更</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第二十一条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获得上级部门或学校项目立项批准后，项目承担部门对项目的建设实施必须按审定的项目建设方案进行，包括项目建设内容、采购设备（服务）配置（规格、参数、数量等）、资金使用等，不得擅自变更。项目建设过程中若需要变更建设方案的，项目承担部门必须上报教务与实训管理处审核，提交学校或上级部门审批通过后，方可按变更后的建设方案实施。变更程序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（一）部门论证及申请。项目承担部门对项目建设方案的变更原因、变更方案、变更部分前后对比等撰写详细变更说明，组织部门论证，撰写项目变更申请上报教务与实训管理处。</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（二）学校论证及审批。教务与实训管理处根据项目变更情况进行审核，项目变更内容资金达</w:t>
      </w:r>
      <w:r>
        <w:rPr>
          <w:rFonts w:ascii="仿宋_GB2312" w:hAnsi="宋体" w:eastAsia="仿宋_GB2312" w:cs="宋体"/>
          <w:bCs/>
          <w:sz w:val="32"/>
          <w:szCs w:val="32"/>
        </w:rPr>
        <w:t>10</w:t>
      </w:r>
      <w:r>
        <w:rPr>
          <w:rFonts w:hint="eastAsia" w:ascii="仿宋_GB2312" w:hAnsi="宋体" w:eastAsia="仿宋_GB2312" w:cs="宋体"/>
          <w:bCs/>
          <w:sz w:val="32"/>
          <w:szCs w:val="32"/>
        </w:rPr>
        <w:t>万元或以上的，须组织学校论证，并上报主管校领导审批。项目变更内容资金达</w:t>
      </w:r>
      <w:r>
        <w:rPr>
          <w:rFonts w:ascii="仿宋_GB2312" w:hAnsi="宋体" w:eastAsia="仿宋_GB2312" w:cs="宋体"/>
          <w:bCs/>
          <w:sz w:val="32"/>
          <w:szCs w:val="32"/>
        </w:rPr>
        <w:t>20</w:t>
      </w:r>
      <w:r>
        <w:rPr>
          <w:rFonts w:hint="eastAsia" w:ascii="仿宋_GB2312" w:hAnsi="宋体" w:eastAsia="仿宋_GB2312" w:cs="宋体"/>
          <w:bCs/>
          <w:sz w:val="32"/>
          <w:szCs w:val="32"/>
        </w:rPr>
        <w:t>万元或以上的，须上报校长办公会和校党委会审批。</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第六章</w:t>
      </w:r>
      <w:r>
        <w:rPr>
          <w:rFonts w:ascii="黑体" w:hAnsi="黑体" w:eastAsia="黑体" w:cs="宋体"/>
          <w:b/>
          <w:bCs/>
          <w:sz w:val="32"/>
          <w:szCs w:val="32"/>
        </w:rPr>
        <w:t xml:space="preserve">  </w:t>
      </w:r>
      <w:r>
        <w:rPr>
          <w:rFonts w:hint="eastAsia" w:ascii="黑体" w:hAnsi="黑体" w:eastAsia="黑体" w:cs="宋体"/>
          <w:b/>
          <w:bCs/>
          <w:sz w:val="32"/>
          <w:szCs w:val="32"/>
        </w:rPr>
        <w:t>项目实施过程管控</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第二十二条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国家级、自治区（省）级或市级项目实施过程管理、项目验收等工作，按照上级主管部门下发的相关管理文件的要求执行。若上级主管部门没有项目管理文件，则参照校级项目进行实施过程管理和项目验收。</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第二十三条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项目获得国家级、自治区（省）级或市级立项，教务与实训管理处接到上级项目立项文件及相关管理文件后，在</w:t>
      </w:r>
      <w:r>
        <w:rPr>
          <w:rFonts w:ascii="仿宋_GB2312" w:hAnsi="宋体" w:eastAsia="仿宋_GB2312" w:cs="宋体"/>
          <w:bCs/>
          <w:sz w:val="32"/>
          <w:szCs w:val="32"/>
        </w:rPr>
        <w:t>5</w:t>
      </w:r>
      <w:r>
        <w:rPr>
          <w:rFonts w:hint="eastAsia" w:ascii="仿宋_GB2312" w:hAnsi="宋体" w:eastAsia="仿宋_GB2312" w:cs="宋体"/>
          <w:bCs/>
          <w:sz w:val="32"/>
          <w:szCs w:val="32"/>
        </w:rPr>
        <w:t>个工作日内通知到项目承担部门，并将项目申请材料、立项及管理文件等报财务处、后勤与资产管理处备案，作为对项目建设管理及专项资金管理的依据。上级项目资金下达后，财务处接到资金下达文件后</w:t>
      </w:r>
      <w:r>
        <w:rPr>
          <w:rFonts w:ascii="仿宋_GB2312" w:hAnsi="宋体" w:eastAsia="仿宋_GB2312" w:cs="宋体"/>
          <w:bCs/>
          <w:sz w:val="32"/>
          <w:szCs w:val="32"/>
        </w:rPr>
        <w:t>5</w:t>
      </w:r>
      <w:r>
        <w:rPr>
          <w:rFonts w:hint="eastAsia" w:ascii="仿宋_GB2312" w:hAnsi="宋体" w:eastAsia="仿宋_GB2312" w:cs="宋体"/>
          <w:bCs/>
          <w:sz w:val="32"/>
          <w:szCs w:val="32"/>
        </w:rPr>
        <w:t>个工作日内通知及项目承担部门、教务与实训管理处及其他相关部门。</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第二十四条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项目涉及采购的，由项目承担部门向后勤与资产管理处提交采购申请和相关采购材料，按照学校采购管理办法的规定执行。采购完成后，由后勤与资产管理处按照有关规定组织进行采购验收。</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第二十五条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实行项目中期检查制度。项目承担部门撰写项目中期报告，对照中期验收要点进行检查，及时总结建设经验，查找问题，明确对策，确保项目按期按质完成。</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第二十六条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实行项目月报信息汇报及发布制度。项目承担部门每月定期汇报项目建设进度等情况，教务与实训管理处复核后，每月发布项目建设情况的动态信息、阶段性成果、整改要求等，全面监控、推进项目建设进展。</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第二十七条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实行项目督查制度。项目建设接受学校内部审计室、财务处的检查、监督与审计，并主动接受上级项目建设管理部门的检查和监督。</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第七章</w:t>
      </w:r>
      <w:r>
        <w:rPr>
          <w:rFonts w:ascii="黑体" w:hAnsi="黑体" w:eastAsia="黑体" w:cs="宋体"/>
          <w:b/>
          <w:bCs/>
          <w:sz w:val="32"/>
          <w:szCs w:val="32"/>
        </w:rPr>
        <w:t xml:space="preserve">  </w:t>
      </w:r>
      <w:r>
        <w:rPr>
          <w:rFonts w:hint="eastAsia" w:ascii="黑体" w:hAnsi="黑体" w:eastAsia="黑体" w:cs="宋体"/>
          <w:b/>
          <w:bCs/>
          <w:sz w:val="32"/>
          <w:szCs w:val="32"/>
        </w:rPr>
        <w:t>项目资金管理</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第二十八条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的资金来源包括上级部门下达的专项资金和学校资金。上级部门下达的专项资金包括中央财政、自治区财政、市财政下达的各类教学建设项目专项资金。上级项目除上级部门下达专项资金外，如上级文件另有学校配套资金要求，则根据要求给予相应的学校资金支持；如无上级文件要求，则按项目具体情况由学校研究决定是否给予配套资金。</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已获得学校立项及资金建设的项目，项目实施过程中，又申报上级项目获得立项及专项资金的，则按申报上级项目时的建设方案及使用专项资金建设，原学校资金按项目具体情况由学校研究决定再做安排。</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第二十九条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教学建设项目资金的开支范围，主要包括项目建设资金和人员工作量资金。</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（一）项目建设资金指根据项目建设方案，完成各项建设任务所需经费。项目建设资金的使用按照《柳州职业技术学院项目资金管理暂行办法》进行管理。</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（二）人员工作量资金包括立项工作量、验收工作量等。由二级学院自行规定及制定工作量计算办法，自主进行绩效考核分配，资金从二级学院二次分配总绩效中支出。</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第八章</w:t>
      </w:r>
      <w:r>
        <w:rPr>
          <w:rFonts w:ascii="黑体" w:hAnsi="黑体" w:eastAsia="黑体" w:cs="宋体"/>
          <w:b/>
          <w:bCs/>
          <w:sz w:val="32"/>
          <w:szCs w:val="32"/>
        </w:rPr>
        <w:t xml:space="preserve">  </w:t>
      </w:r>
      <w:r>
        <w:rPr>
          <w:rFonts w:hint="eastAsia" w:ascii="黑体" w:hAnsi="黑体" w:eastAsia="黑体" w:cs="宋体"/>
          <w:b/>
          <w:bCs/>
          <w:sz w:val="32"/>
          <w:szCs w:val="32"/>
        </w:rPr>
        <w:t>项目验收</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第三十条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项目建设期满后开展项目验收，项目建设部门对照项目建设方案、验收要点进行自查，撰写项目建设总结报告，提交验收申请和验收材料。项目验收程序为：</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（一）部门验收</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由项目承担部门组织，验收成员不少于</w:t>
      </w:r>
      <w:r>
        <w:rPr>
          <w:rFonts w:ascii="仿宋_GB2312" w:hAnsi="宋体" w:eastAsia="仿宋_GB2312" w:cs="宋体"/>
          <w:bCs/>
          <w:sz w:val="32"/>
          <w:szCs w:val="32"/>
        </w:rPr>
        <w:t>5</w:t>
      </w:r>
      <w:r>
        <w:rPr>
          <w:rFonts w:hint="eastAsia" w:ascii="仿宋_GB2312" w:hAnsi="宋体" w:eastAsia="仿宋_GB2312" w:cs="宋体"/>
          <w:bCs/>
          <w:sz w:val="32"/>
          <w:szCs w:val="32"/>
        </w:rPr>
        <w:t>人，由部门领导、专业建设指导委员会成员、教学团队负责人或专业骨干教师、校外（行业企业）专家等组成。部门验收后形成部门验收报告，提交教务与实训管理处。</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（二）学校验收</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由教务与实训管理处组织，验收成员不少于</w:t>
      </w:r>
      <w:r>
        <w:rPr>
          <w:rFonts w:ascii="仿宋_GB2312" w:hAnsi="宋体" w:eastAsia="仿宋_GB2312" w:cs="宋体"/>
          <w:bCs/>
          <w:sz w:val="32"/>
          <w:szCs w:val="32"/>
        </w:rPr>
        <w:t>5</w:t>
      </w:r>
      <w:r>
        <w:rPr>
          <w:rFonts w:hint="eastAsia" w:ascii="仿宋_GB2312" w:hAnsi="宋体" w:eastAsia="仿宋_GB2312" w:cs="宋体"/>
          <w:bCs/>
          <w:sz w:val="32"/>
          <w:szCs w:val="32"/>
        </w:rPr>
        <w:t>人，成员由教务与实训处、后勤与资产管理处、财务处等相关负责人、专业建设指导委员会成员、校外（行业企业）专家等组成。学校验收组根据项目建设方案，通过听取汇报、审阅项目总结报告和验收材料、实地考察等方式，对项目建设任务完成情况进行验收。学校验收后形成学校验收报告。</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（三）上级验收</w:t>
      </w:r>
    </w:p>
    <w:p>
      <w:pPr>
        <w:pageBreakBefore w:val="0"/>
        <w:kinsoku/>
        <w:wordWrap/>
        <w:overflowPunct/>
        <w:topLinePunct w:val="0"/>
        <w:bidi w:val="0"/>
        <w:spacing w:line="570" w:lineRule="exact"/>
        <w:ind w:firstLine="640" w:firstLineChars="200"/>
        <w:outlineLvl w:val="9"/>
        <w:rPr>
          <w:rFonts w:ascii="仿宋_GB2312" w:hAnsi="宋体" w:eastAsia="仿宋_GB2312" w:cs="宋体"/>
          <w:bCs/>
          <w:sz w:val="32"/>
          <w:szCs w:val="32"/>
        </w:rPr>
      </w:pPr>
      <w:r>
        <w:rPr>
          <w:rFonts w:hint="eastAsia" w:ascii="仿宋_GB2312" w:hAnsi="宋体" w:eastAsia="仿宋_GB2312" w:cs="宋体"/>
          <w:bCs/>
          <w:sz w:val="32"/>
          <w:szCs w:val="32"/>
        </w:rPr>
        <w:t>需要接受上级部门验收的项目，按有关上级主管部门的项目验收要求遵照执行。</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第三十一条</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对于验收未获得通过的项目，责令限期整改，整改后再次组织验收。对于第二次验收仍未通过的项目，追究项目负责人及相关人员的责任。</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第三十二条</w:t>
      </w:r>
      <w:r>
        <w:rPr>
          <w:rFonts w:ascii="仿宋_GB2312" w:hAnsi="宋体" w:eastAsia="仿宋_GB2312" w:cs="宋体"/>
          <w:b/>
          <w:bCs/>
          <w:sz w:val="32"/>
          <w:szCs w:val="32"/>
        </w:rPr>
        <w:t xml:space="preserve">  </w:t>
      </w:r>
      <w:r>
        <w:rPr>
          <w:rFonts w:hint="eastAsia" w:ascii="仿宋_GB2312" w:hAnsi="宋体" w:eastAsia="仿宋_GB2312" w:cs="宋体"/>
          <w:bCs/>
          <w:sz w:val="32"/>
          <w:szCs w:val="32"/>
        </w:rPr>
        <w:t>项目验收通过后一年内，由教务与实训管理处根据项目原定的预期目标对项目的效益、使用率等进行核查。若未达预期目标的，责令整改并追究相关人员的责任。</w:t>
      </w:r>
    </w:p>
    <w:p>
      <w:pPr>
        <w:pageBreakBefore w:val="0"/>
        <w:kinsoku/>
        <w:wordWrap/>
        <w:overflowPunct/>
        <w:topLinePunct w:val="0"/>
        <w:bidi w:val="0"/>
        <w:spacing w:line="570" w:lineRule="exact"/>
        <w:jc w:val="center"/>
        <w:outlineLvl w:val="9"/>
        <w:rPr>
          <w:rFonts w:ascii="黑体" w:hAnsi="黑体" w:eastAsia="黑体" w:cs="宋体"/>
          <w:b/>
          <w:bCs/>
          <w:sz w:val="32"/>
          <w:szCs w:val="32"/>
        </w:rPr>
      </w:pPr>
      <w:r>
        <w:rPr>
          <w:rFonts w:hint="eastAsia" w:ascii="黑体" w:hAnsi="黑体" w:eastAsia="黑体" w:cs="宋体"/>
          <w:b/>
          <w:bCs/>
          <w:sz w:val="32"/>
          <w:szCs w:val="32"/>
        </w:rPr>
        <w:t>第九章</w:t>
      </w:r>
      <w:r>
        <w:rPr>
          <w:rFonts w:ascii="黑体" w:hAnsi="黑体" w:eastAsia="黑体" w:cs="宋体"/>
          <w:b/>
          <w:bCs/>
          <w:sz w:val="32"/>
          <w:szCs w:val="32"/>
        </w:rPr>
        <w:t xml:space="preserve">  </w:t>
      </w:r>
      <w:r>
        <w:rPr>
          <w:rFonts w:hint="eastAsia" w:ascii="黑体" w:hAnsi="黑体" w:eastAsia="黑体" w:cs="宋体"/>
          <w:b/>
          <w:bCs/>
          <w:sz w:val="32"/>
          <w:szCs w:val="32"/>
        </w:rPr>
        <w:t>附则</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第三十三条</w:t>
      </w:r>
      <w:r>
        <w:rPr>
          <w:rFonts w:ascii="仿宋_GB2312" w:hAnsi="宋体" w:eastAsia="仿宋_GB2312" w:cs="宋体"/>
          <w:b/>
          <w:bCs/>
          <w:sz w:val="32"/>
          <w:szCs w:val="32"/>
        </w:rPr>
        <w:t xml:space="preserve">  </w:t>
      </w:r>
      <w:r>
        <w:rPr>
          <w:rFonts w:hint="eastAsia" w:ascii="仿宋_GB2312" w:hAnsi="宋体" w:eastAsia="仿宋_GB2312" w:cs="宋体"/>
          <w:bCs/>
          <w:sz w:val="32"/>
          <w:szCs w:val="32"/>
        </w:rPr>
        <w:t>本办法自发布之日起实施，废止《柳州职业技术学院教学建设项目管理办法》（柳职院教字〔</w:t>
      </w:r>
      <w:r>
        <w:rPr>
          <w:rFonts w:ascii="仿宋_GB2312" w:hAnsi="宋体" w:eastAsia="仿宋_GB2312" w:cs="宋体"/>
          <w:bCs/>
          <w:sz w:val="32"/>
          <w:szCs w:val="32"/>
        </w:rPr>
        <w:t>2017</w:t>
      </w:r>
      <w:r>
        <w:rPr>
          <w:rFonts w:hint="eastAsia" w:ascii="仿宋_GB2312" w:hAnsi="宋体" w:eastAsia="仿宋_GB2312" w:cs="宋体"/>
          <w:bCs/>
          <w:sz w:val="32"/>
          <w:szCs w:val="32"/>
        </w:rPr>
        <w:t>〕</w:t>
      </w:r>
      <w:r>
        <w:rPr>
          <w:rFonts w:ascii="仿宋_GB2312" w:hAnsi="宋体" w:eastAsia="仿宋_GB2312" w:cs="宋体"/>
          <w:bCs/>
          <w:sz w:val="32"/>
          <w:szCs w:val="32"/>
        </w:rPr>
        <w:t>41</w:t>
      </w:r>
      <w:r>
        <w:rPr>
          <w:rFonts w:hint="eastAsia" w:ascii="仿宋_GB2312" w:hAnsi="宋体" w:eastAsia="仿宋_GB2312" w:cs="宋体"/>
          <w:bCs/>
          <w:sz w:val="32"/>
          <w:szCs w:val="32"/>
        </w:rPr>
        <w:t>号）。</w:t>
      </w:r>
    </w:p>
    <w:p>
      <w:pPr>
        <w:pageBreakBefore w:val="0"/>
        <w:kinsoku/>
        <w:wordWrap/>
        <w:overflowPunct/>
        <w:topLinePunct w:val="0"/>
        <w:bidi w:val="0"/>
        <w:spacing w:line="570" w:lineRule="exact"/>
        <w:ind w:firstLine="643" w:firstLineChars="200"/>
        <w:outlineLvl w:val="9"/>
        <w:rPr>
          <w:rFonts w:ascii="仿宋_GB2312" w:hAnsi="宋体" w:eastAsia="仿宋_GB2312" w:cs="宋体"/>
          <w:bCs/>
          <w:sz w:val="32"/>
          <w:szCs w:val="32"/>
        </w:rPr>
      </w:pPr>
      <w:r>
        <w:rPr>
          <w:rFonts w:hint="eastAsia" w:ascii="仿宋_GB2312" w:hAnsi="宋体" w:eastAsia="仿宋_GB2312" w:cs="宋体"/>
          <w:b/>
          <w:bCs/>
          <w:sz w:val="32"/>
          <w:szCs w:val="32"/>
        </w:rPr>
        <w:t>第三十四条</w:t>
      </w:r>
      <w:r>
        <w:rPr>
          <w:rFonts w:ascii="仿宋_GB2312" w:hAnsi="宋体" w:eastAsia="仿宋_GB2312" w:cs="宋体"/>
          <w:b/>
          <w:bCs/>
          <w:sz w:val="32"/>
          <w:szCs w:val="32"/>
        </w:rPr>
        <w:t xml:space="preserve"> </w:t>
      </w:r>
      <w:r>
        <w:rPr>
          <w:rFonts w:ascii="仿宋_GB2312" w:hAnsi="宋体" w:eastAsia="仿宋_GB2312" w:cs="宋体"/>
          <w:bCs/>
          <w:sz w:val="32"/>
          <w:szCs w:val="32"/>
        </w:rPr>
        <w:t xml:space="preserve"> </w:t>
      </w:r>
      <w:r>
        <w:rPr>
          <w:rFonts w:hint="eastAsia" w:ascii="仿宋_GB2312" w:hAnsi="宋体" w:eastAsia="仿宋_GB2312" w:cs="宋体"/>
          <w:bCs/>
          <w:sz w:val="32"/>
          <w:szCs w:val="32"/>
        </w:rPr>
        <w:t>本办法由学院教务与实训管理处负责解释。</w:t>
      </w:r>
    </w:p>
    <w:p>
      <w:pPr>
        <w:pageBreakBefore w:val="0"/>
        <w:kinsoku/>
        <w:wordWrap/>
        <w:overflowPunct/>
        <w:topLinePunct w:val="0"/>
        <w:bidi w:val="0"/>
        <w:outlineLvl w:val="9"/>
        <w:rPr>
          <w:rFonts w:hint="eastAsia"/>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47" w:name="_Toc11084"/>
      <w:bookmarkStart w:id="448" w:name="_Toc13268"/>
      <w:bookmarkStart w:id="449" w:name="_Toc534377784"/>
      <w:bookmarkStart w:id="450" w:name="_Toc654"/>
      <w:r>
        <w:rPr>
          <w:rFonts w:hint="eastAsia" w:asciiTheme="minorEastAsia" w:hAnsiTheme="minorEastAsia" w:eastAsiaTheme="minorEastAsia" w:cstheme="minorEastAsia"/>
          <w:b/>
          <w:color w:val="000000"/>
          <w:kern w:val="0"/>
          <w:sz w:val="36"/>
          <w:szCs w:val="36"/>
        </w:rPr>
        <w:t>柳州职业技术学院教学团队管理办法（修订）</w:t>
      </w:r>
      <w:bookmarkEnd w:id="447"/>
      <w:bookmarkEnd w:id="448"/>
      <w:bookmarkEnd w:id="449"/>
      <w:bookmarkEnd w:id="450"/>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9"/>
        <w:rPr>
          <w:rFonts w:hint="eastAsia" w:asciiTheme="minorEastAsia" w:hAnsiTheme="minorEastAsia" w:eastAsiaTheme="minorEastAsia" w:cstheme="minorEastAsia"/>
          <w:b/>
          <w:color w:val="000000"/>
          <w:kern w:val="0"/>
          <w:sz w:val="36"/>
          <w:szCs w:val="36"/>
        </w:rPr>
      </w:pPr>
      <w:r>
        <w:rPr>
          <w:rFonts w:hint="eastAsia" w:asciiTheme="minorEastAsia" w:hAnsiTheme="minorEastAsia" w:eastAsiaTheme="minorEastAsia" w:cstheme="minorEastAsia"/>
          <w:b/>
          <w:color w:val="000000"/>
          <w:kern w:val="0"/>
          <w:sz w:val="36"/>
          <w:szCs w:val="36"/>
        </w:rPr>
        <w:t>（柳职院字〔2017〕55号）</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为进一步加强我校教学团队管理，建设高水平师资队伍，推动我校教育教学改革和教育事业发展，提高人才培养、科学研究和社会服务工作水平，修订本办法。</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一、教学团队组建和调整</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教学团队是学校各二级学院（部）以专业（专业群）或课程（系列课程）为平台，由专兼职教师组成的，以专业建设、课程及教学资源建设、教学条件建设、开展教改科研和社会服务等为主要任务的教学工作团队。</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各二级学院（部）应按照有利于专业（课程）建设的原则组建和调整教学团队，教学团队的组建和调整应由各二级学院（部）向学校人事处提出申请，人事处会同教务与实训管理处组织论证，报分管教学、人事校领导批示。</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教学团队组建和调整的基本原则：</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有利于专业（课程）建设，促进人才培养工作；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 一个专业及以上，或一个系列课程及以上；</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 团队的专任教师原则上应在5人及以上。</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二、教学团队负责人、专业负责人、骨干教师的配备</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专业（系列课程）教学团队成员主要由二级学院（部）相应专业（系列课程）的教师组成。每个团队应按下列原则配备相应的团队负责人、专业负责人、骨干教师。</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（一）专业教学团队</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每个教学团队应配备教学团队负责人1名，各二级学院根据专业建设工作需要选配专业负责人、骨干教师若干名（一般控制在团队成员的30~40%左右）；</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 一个团队下辖一个专业，团队负责人兼任专业负责人；</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 一个团队下辖多个专业，团队负责人兼任其中一个或以上专业的负责人，其他专业根据需要配备专业负责人。一个专业下含多个专业方向的原则上不再按专业方向设负责人。</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（二）系列课程（课程）教学团队</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每个教学团队应配备教学团队负责人1名、骨干教师若干名（一般控制在团队成员的30-40%左右）。</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三、教学团队的职能</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（一）团队建设。</w:t>
      </w:r>
      <w:r>
        <w:rPr>
          <w:rFonts w:hint="eastAsia" w:ascii="仿宋_GB2312" w:eastAsia="仿宋_GB2312"/>
          <w:sz w:val="32"/>
          <w:szCs w:val="32"/>
        </w:rPr>
        <w:t>建立有利于提高团队整体水平的制度和机制，不断优化团队的专兼结构、专业结构、学历结构、职称结构、双师结构、年龄结构。</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（二）专业建设。</w:t>
      </w:r>
      <w:r>
        <w:rPr>
          <w:rFonts w:hint="eastAsia" w:ascii="仿宋_GB2312" w:eastAsia="仿宋_GB2312"/>
          <w:sz w:val="32"/>
          <w:szCs w:val="32"/>
        </w:rPr>
        <w:t>根据高职教育发展规律，结合区域经济、行业和社会发展要求，进行专业开发或专业调整，规划专业建设，推动专业发展。</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（三）课程及教学资源建设。</w:t>
      </w:r>
      <w:r>
        <w:rPr>
          <w:rFonts w:hint="eastAsia" w:ascii="仿宋_GB2312" w:eastAsia="仿宋_GB2312"/>
          <w:sz w:val="32"/>
          <w:szCs w:val="32"/>
        </w:rPr>
        <w:t>开展课程建设、教材建设和专业（课程）资源库的开发与建设。</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（四）实验实训条件建设。</w:t>
      </w:r>
      <w:r>
        <w:rPr>
          <w:rFonts w:hint="eastAsia" w:ascii="仿宋_GB2312" w:eastAsia="仿宋_GB2312"/>
          <w:sz w:val="32"/>
          <w:szCs w:val="32"/>
        </w:rPr>
        <w:t>依托行业企业，建设融“教、学、做”于一体，多功能、综合性校内外实训基地，满足学生实训和顶岗实习需要。</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（五）教育教学改革和科研工作。</w:t>
      </w:r>
      <w:r>
        <w:rPr>
          <w:rFonts w:hint="eastAsia" w:ascii="仿宋_GB2312" w:eastAsia="仿宋_GB2312"/>
          <w:sz w:val="32"/>
          <w:szCs w:val="32"/>
        </w:rPr>
        <w:t>开展教育教学改革与创新，积极申报、实施各级教学研究项目和科研项目，组织各种教育教学活动，把研究成果运用到教育教学和专业或课程建设中。</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仿宋_GB2312" w:eastAsia="仿宋_GB2312"/>
          <w:b/>
          <w:sz w:val="32"/>
          <w:szCs w:val="32"/>
        </w:rPr>
        <w:t>（六）社会服务。</w:t>
      </w:r>
      <w:r>
        <w:rPr>
          <w:rFonts w:hint="eastAsia" w:ascii="仿宋_GB2312" w:eastAsia="仿宋_GB2312"/>
          <w:sz w:val="32"/>
          <w:szCs w:val="32"/>
        </w:rPr>
        <w:t>依托团队人力资源和技术优势，面向区域经济发展的实际需要，服务行业企业发展，开展技能鉴定、技术服务、社会培训等社会服务工作。</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四、教学团队成员职责</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（一）成员的基本职责</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履行教师岗位基本职责，完成二级学院和学校布置的教学、科研、社会服务等教书育人工作任务，遵守团队规章制度，参加团队各项活动，服从团队管理。</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（二）骨干教师</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在履行好团队成员的基本职责基础上，做好如下工作。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主动承担专业核心或主要课程的主讲工作，教学效果好，并对课程改革起骨干作用。</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 积极主动配合专业负责人做好专业建设的调研、人才培养方案制订、实验实训条件建设等专业建设工作。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 积极开展科研和社会服务工作，根据需要承担青年教师指导工作。</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（三）专业负责人</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在履行好团队成员的基本职责基础上，做好如下工作。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组织调研本专业发展需求，把握专业发展方向。</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 主持修订本专业人才培养方案、课程标准、学生职业能力标准。</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 协助团队负责人组织课程建设、实验实训条件建设的项目申报和实施工作。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 协助团队负责人组织专业教师开展教改、科研和社会服务工作。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 组织开展本专业青年教师的培养工作。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6．组织开展本专业入门教育、专业技能竞赛、就业指导及其他学生素质教育活动。</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（四）团队负责人</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在履行好团队成员的基本职责基础上，做好如下工作。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指导团队各专业负责人开展工作，统筹、规划团队所辖专业发展。</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2. 协助二级学院（部）领导保障所辖专业人才培养的教学运行，参与教学质量监控和督导。协调团队专业教师调配，做好日常教学安排和团队成员的日常管理。 </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 协助二级学院（部）领导做好本团队专兼职教师队伍建设，优化团队结构，提升团队成员素质和能力，提高团队教学、科研和社会服务水平。</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 组织团队教师开展本团队所辖专业（课程）的专业建设、课程建设和教材建设等工作。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 组织本团队教师开展所辖专业（课程）的校内外实训基地建设、顶岗实习等工作。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6. 组织本团队教师开展教改、科研和技术服务工作。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7. 统筹团队所辖专业的入门教育、专业技能竞赛、就业指导及其他学生素质教育活动。</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（五）校内兼课教师和校外兼职教师</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对校内兼课和校外兼职教师，可根据所属专业或承担的课程教学任务，纳入到相应的教学团队中。凡纳入教学团队的兼课和兼职教师，应接受团队对其在教学科研方面工作的管理和考核，履行相应的团队成员的职责。</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五、教学团队骨干教师、专业负责人、团队负责人的推选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骨干教师、专业负责人、团队负责人是教学团队建设的核心力量，是教学团队开展教学活动、教科研工作、社会服务等工作的骨干和带头人。骨干教师、专业负责人、团队负责人的推选按下列方式进行。</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（一）骨干教师、专业负责人的推选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团队骨干教师、专业负责人的选拔，由各二级学院（部）根据工作实际设置条件，按照德才兼备、择优遴选、利于专业和课程建设发展的原则，在相应教学团队成员中进行公开选拔，并进行公示后报学校人事处备案。专业负责人的任期一般应在2年以上。</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（二）教学团队负责人的推选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 基本条件</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（1）教学团队负责人应为所在团队专任教师，原则上应具有中级及以上专业技术职务。</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（2）思想品德好，具有较强的事业心和责任感，踏实肯干，乐于奉献。</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（3）有先进的职业教育理念，专业理论基础扎实、知识面广，熟悉本团队各专业（课程）发展状况，能准确把握专业（课程发展方向），有一定的专业建设和课程建设工作经验。</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（4）有一定的组织和策划能力、沟通协调能力，能带领团队成员开展工作。</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 教学团队负责人的推选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（1）各二级学院（部）通过民主集中的方式组织推选，产生拟任人选，在本部门公示后，报人事处备案，并由人事处在校内公布。</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（2）教学团队负责人一般每4年调整一次，期间因各种原因需要变更的，按上述办法推选任用。</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六、教学团队的考核</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教学团队和教学团队负责人、专业负责人的日常管理坚持学校主导，二级学院（部）为主的原则，主要由各二级学院（部）组织进行日常管理和考核。</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（一）各教学团队应根据学校相关管理制度并结合实际制订一定的团队管理规定，对团队成员进行日常管理和考核。</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二）各二级学院（部）应根据学校相关管理制度并结合实际制订相应的团队管理办法，对本单位的教学团队进行管理和考核。组织开展团队的调整、负责人和骨干教师的选拔、团队工作考核、负责人团队管理工作量的发放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三）各二级学院（部）每年应对教学团队进行考核，考核指标体系可参考《教学团队考核关键要素》（见附件），并结合自身特点制订。考核结果可用于团队负责人、专业负责人的工作量发放和评先评优、表彰奖励，以及推荐参加学校及以上等级教学团队评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四）学校每年组织开展校级优秀教学团队评选，各二级学院（部）在本单位教学团队考核的基础上向学校推荐参评团队，按要求报送参评材料。对评选出的校级优秀教学团队，由学校给予表彰，并推荐参加校级以上优秀团队的评选。</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原则上，校级优秀教学团队的比例控制在学校教学团队总数的20%。对校级优秀教学团队，学校给予每个教学团队10000元的奖励，奖励的分配由各二级学院（部）会同获奖教学团队确定。</w:t>
      </w:r>
    </w:p>
    <w:p>
      <w:pPr>
        <w:pageBreakBefore w:val="0"/>
        <w:kinsoku/>
        <w:wordWrap/>
        <w:overflowPunct/>
        <w:topLinePunct w:val="0"/>
        <w:bidi w:val="0"/>
        <w:spacing w:line="590" w:lineRule="exact"/>
        <w:ind w:firstLine="643" w:firstLineChars="200"/>
        <w:outlineLvl w:val="9"/>
        <w:rPr>
          <w:rFonts w:ascii="黑体" w:eastAsia="黑体"/>
          <w:b/>
          <w:sz w:val="32"/>
          <w:szCs w:val="32"/>
        </w:rPr>
      </w:pPr>
      <w:r>
        <w:rPr>
          <w:rFonts w:hint="eastAsia" w:ascii="黑体" w:eastAsia="黑体"/>
          <w:b/>
          <w:sz w:val="32"/>
          <w:szCs w:val="32"/>
        </w:rPr>
        <w:t>七、教学团队的管理经费</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（一）管理经费的使用范围</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教学团队管理经费由学校专项核拨给各二级学院（部）管理使用，经费主要用于各教学团队负责人、专业负责人的工作量，以及本单位的教学团队考核奖励，也可根据需要用于团队教研活动。各二级学院（部）对经费的使用应进行统筹安排，分配方案报人事处备案。负责人工作量每年按10个月发放。</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（二）管理经费核算标准</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教学团队管理经费主要根据各二级学院专业数（含专业方向）、专业学生数、课程系数和基数进行核算。</w:t>
      </w:r>
    </w:p>
    <w:p>
      <w:pPr>
        <w:pageBreakBefore w:val="0"/>
        <w:kinsoku/>
        <w:wordWrap/>
        <w:overflowPunct/>
        <w:topLinePunct w:val="0"/>
        <w:bidi w:val="0"/>
        <w:spacing w:line="590" w:lineRule="exact"/>
        <w:ind w:firstLine="643" w:firstLineChars="200"/>
        <w:outlineLvl w:val="9"/>
        <w:rPr>
          <w:rFonts w:ascii="仿宋_GB2312" w:eastAsia="仿宋_GB2312"/>
          <w:b/>
          <w:sz w:val="32"/>
          <w:szCs w:val="32"/>
        </w:rPr>
      </w:pPr>
      <w:r>
        <w:rPr>
          <w:rFonts w:hint="eastAsia" w:ascii="仿宋_GB2312" w:eastAsia="仿宋_GB2312"/>
          <w:b/>
          <w:sz w:val="32"/>
          <w:szCs w:val="32"/>
        </w:rPr>
        <w:t>教学团队管理经费=∑各专业（含专业方向）管理经费或各系列课程（含课程）管理经费。</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1.每个专业（含专业方向，目前已经停招但仍有在校生的专业）、每个系列课程（含课程）教学团队</w:t>
      </w:r>
      <w:r>
        <w:rPr>
          <w:rFonts w:hint="eastAsia" w:ascii="仿宋_GB2312" w:eastAsia="仿宋_GB2312"/>
          <w:b/>
          <w:sz w:val="32"/>
          <w:szCs w:val="32"/>
        </w:rPr>
        <w:t>管理经费=K﹡基数</w:t>
      </w:r>
      <w:r>
        <w:rPr>
          <w:rFonts w:hint="eastAsia" w:ascii="仿宋_GB2312" w:eastAsia="仿宋_GB2312"/>
          <w:sz w:val="32"/>
          <w:szCs w:val="32"/>
        </w:rPr>
        <w:t>。</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2.基数=8000元/年。</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3.每个专业（含专业方向，目前已经停招但仍有在校生的专业）、每个系列课程（含课程）教学团队管理经费系数K按下列标准。（注：一个专业下设多个专业方向的，学生数累加，不重复按多个专业计算）</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(1)学生数小于等于100，K=1；（如该专业只剩下一届学生，且学生数小于50人的K=0.5）</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(2)学生数101-300，K=1.5；</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(3)学生数301-500，K=2；</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(4)学生数500以上，K=3；</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(5)每个系列课程（课程）教学团队管理经费系数K=1.8。</w:t>
      </w:r>
    </w:p>
    <w:p>
      <w:pPr>
        <w:pageBreakBefore w:val="0"/>
        <w:kinsoku/>
        <w:wordWrap/>
        <w:overflowPunct/>
        <w:topLinePunct w:val="0"/>
        <w:bidi w:val="0"/>
        <w:spacing w:line="590" w:lineRule="exact"/>
        <w:ind w:firstLine="643" w:firstLineChars="200"/>
        <w:outlineLvl w:val="9"/>
        <w:rPr>
          <w:rFonts w:ascii="仿宋_GB2312" w:eastAsia="仿宋_GB2312"/>
          <w:sz w:val="32"/>
          <w:szCs w:val="32"/>
        </w:rPr>
      </w:pPr>
      <w:r>
        <w:rPr>
          <w:rFonts w:hint="eastAsia" w:ascii="黑体" w:eastAsia="黑体"/>
          <w:b/>
          <w:sz w:val="32"/>
          <w:szCs w:val="32"/>
        </w:rPr>
        <w:t>八、</w:t>
      </w:r>
      <w:r>
        <w:rPr>
          <w:rFonts w:hint="eastAsia" w:ascii="仿宋_GB2312" w:eastAsia="仿宋_GB2312"/>
          <w:sz w:val="32"/>
          <w:szCs w:val="32"/>
        </w:rPr>
        <w:t>本办法自发布之日实施，原《柳州职业技术学院教学团队管理办法》（柳职院字〔2012〕45号）停止使用。本办法由学校人事处负责解释。</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r>
        <w:rPr>
          <w:rFonts w:hint="eastAsia" w:ascii="仿宋_GB2312" w:eastAsia="仿宋_GB2312"/>
          <w:sz w:val="32"/>
          <w:szCs w:val="32"/>
        </w:rPr>
        <w:t>附件：《教学团队考核关键要素》</w:t>
      </w:r>
    </w:p>
    <w:p>
      <w:pPr>
        <w:pageBreakBefore w:val="0"/>
        <w:kinsoku/>
        <w:wordWrap/>
        <w:overflowPunct/>
        <w:topLinePunct w:val="0"/>
        <w:bidi w:val="0"/>
        <w:spacing w:line="590" w:lineRule="exact"/>
        <w:ind w:firstLine="640" w:firstLineChars="200"/>
        <w:outlineLvl w:val="9"/>
        <w:rPr>
          <w:rFonts w:ascii="仿宋_GB2312" w:eastAsia="仿宋_GB2312"/>
          <w:sz w:val="32"/>
          <w:szCs w:val="32"/>
        </w:rPr>
      </w:pPr>
    </w:p>
    <w:p>
      <w:pPr>
        <w:pageBreakBefore w:val="0"/>
        <w:kinsoku/>
        <w:wordWrap/>
        <w:overflowPunct/>
        <w:topLinePunct w:val="0"/>
        <w:bidi w:val="0"/>
        <w:spacing w:line="380" w:lineRule="exact"/>
        <w:jc w:val="left"/>
        <w:outlineLvl w:val="9"/>
        <w:rPr>
          <w:rFonts w:ascii="黑体" w:eastAsia="黑体"/>
          <w:sz w:val="32"/>
          <w:szCs w:val="32"/>
        </w:rPr>
      </w:pPr>
      <w:r>
        <w:rPr>
          <w:rFonts w:ascii="仿宋_GB2312" w:eastAsia="仿宋_GB2312"/>
          <w:sz w:val="32"/>
          <w:szCs w:val="32"/>
        </w:rPr>
        <w:br w:type="page"/>
      </w:r>
      <w:r>
        <w:rPr>
          <w:rFonts w:hint="eastAsia" w:ascii="黑体" w:eastAsia="黑体"/>
          <w:sz w:val="32"/>
          <w:szCs w:val="32"/>
        </w:rPr>
        <w:t>附件：</w:t>
      </w:r>
    </w:p>
    <w:p>
      <w:pPr>
        <w:pageBreakBefore w:val="0"/>
        <w:kinsoku/>
        <w:wordWrap/>
        <w:overflowPunct/>
        <w:topLinePunct w:val="0"/>
        <w:bidi w:val="0"/>
        <w:spacing w:line="590" w:lineRule="exact"/>
        <w:jc w:val="center"/>
        <w:outlineLvl w:val="9"/>
        <w:rPr>
          <w:b/>
          <w:color w:val="000000"/>
          <w:sz w:val="32"/>
          <w:szCs w:val="32"/>
        </w:rPr>
      </w:pPr>
      <w:r>
        <w:rPr>
          <w:rFonts w:hint="eastAsia"/>
          <w:b/>
          <w:color w:val="000000"/>
          <w:sz w:val="32"/>
          <w:szCs w:val="32"/>
        </w:rPr>
        <w:t>教学团队考核关键要素</w:t>
      </w:r>
      <w:r>
        <w:rPr>
          <w:b/>
          <w:color w:val="000000"/>
          <w:sz w:val="32"/>
          <w:szCs w:val="32"/>
        </w:rPr>
        <w:t>(</w:t>
      </w:r>
      <w:r>
        <w:rPr>
          <w:rFonts w:hint="eastAsia"/>
          <w:b/>
          <w:color w:val="000000"/>
          <w:sz w:val="32"/>
          <w:szCs w:val="32"/>
        </w:rPr>
        <w:t>供各二级学院（部）参考</w:t>
      </w:r>
      <w:r>
        <w:rPr>
          <w:b/>
          <w:color w:val="000000"/>
          <w:sz w:val="32"/>
          <w:szCs w:val="32"/>
        </w:rPr>
        <w:t>)</w:t>
      </w:r>
    </w:p>
    <w:tbl>
      <w:tblPr>
        <w:tblStyle w:val="17"/>
        <w:tblW w:w="8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9"/>
        <w:gridCol w:w="6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b/>
                <w:bCs/>
                <w:color w:val="000000"/>
                <w:sz w:val="24"/>
              </w:rPr>
            </w:pPr>
            <w:r>
              <w:rPr>
                <w:rFonts w:hint="eastAsia" w:ascii="华文仿宋" w:hAnsi="华文仿宋" w:eastAsia="华文仿宋" w:cs="宋体"/>
                <w:b/>
                <w:bCs/>
                <w:color w:val="000000"/>
                <w:sz w:val="24"/>
              </w:rPr>
              <w:t>考核模块</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b/>
                <w:bCs/>
                <w:color w:val="000000"/>
                <w:sz w:val="24"/>
              </w:rPr>
            </w:pPr>
            <w:r>
              <w:rPr>
                <w:rFonts w:hint="eastAsia" w:ascii="华文仿宋" w:hAnsi="华文仿宋" w:eastAsia="华文仿宋"/>
                <w:b/>
                <w:bCs/>
                <w:sz w:val="24"/>
              </w:rPr>
              <w:t>关键要素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left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团队结构情况</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教师学历、学位结构状况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教师职称结构状况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教师“双师”结构状况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团队日常管理</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工作计划和总结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团队管理制度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团队教研活动开展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sz w:val="24"/>
              </w:rPr>
              <w:t>团队培训（教育教学或专业技能培训）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人才培养方案的制定和学生职业能力标准制定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教师挂职锻炼状况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团队荣誉、</w:t>
            </w:r>
          </w:p>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教师获奖情况</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教师参加教育教学技术、专业技能竞赛获奖状况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团队荣誉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教科研情况</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教师发表论文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团队教改项目立项和结题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团队科研立项和结题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建立工作室情况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教学资源库建设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实验实训基地</w:t>
            </w:r>
          </w:p>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r>
              <w:rPr>
                <w:rFonts w:hint="eastAsia" w:ascii="华文仿宋" w:hAnsi="华文仿宋" w:eastAsia="华文仿宋" w:cs="宋体"/>
                <w:color w:val="000000"/>
                <w:sz w:val="24"/>
              </w:rPr>
              <w:t>建设情况</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基地建设计划、立项和建设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left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基地管理和使用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center"/>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社会服务情况</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sz w:val="24"/>
              </w:rPr>
            </w:pPr>
            <w:r>
              <w:rPr>
                <w:rFonts w:hint="eastAsia" w:ascii="华文仿宋" w:hAnsi="华文仿宋" w:eastAsia="华文仿宋" w:cs="宋体"/>
                <w:color w:val="000000"/>
                <w:kern w:val="0"/>
                <w:sz w:val="24"/>
              </w:rPr>
              <w:t>团队完成社会服务收入情况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团队对外举办培训班情况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jc w:val="center"/>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学生素质能力</w:t>
            </w:r>
          </w:p>
          <w:p>
            <w:pPr>
              <w:pageBreakBefore w:val="0"/>
              <w:kinsoku/>
              <w:wordWrap/>
              <w:overflowPunct/>
              <w:topLinePunct w:val="0"/>
              <w:bidi w:val="0"/>
              <w:spacing w:line="300" w:lineRule="exact"/>
              <w:jc w:val="center"/>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和专业影响力</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kinsoku/>
              <w:wordWrap/>
              <w:overflowPunct/>
              <w:topLinePunct w:val="0"/>
              <w:bidi w:val="0"/>
              <w:spacing w:line="300" w:lineRule="exact"/>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新生报到率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kern w:val="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毕业生就业率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kern w:val="0"/>
                <w:sz w:val="24"/>
              </w:rPr>
            </w:pP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学生参加专业技能竞赛获奖情况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19"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00" w:lineRule="exact"/>
              <w:jc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特色创新工作</w:t>
            </w:r>
          </w:p>
        </w:tc>
        <w:tc>
          <w:tcPr>
            <w:tcW w:w="638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ageBreakBefore w:val="0"/>
              <w:widowControl/>
              <w:kinsoku/>
              <w:wordWrap/>
              <w:overflowPunct/>
              <w:topLinePunct w:val="0"/>
              <w:bidi w:val="0"/>
              <w:spacing w:line="300" w:lineRule="exact"/>
              <w:jc w:val="left"/>
              <w:textAlignment w:val="center"/>
              <w:outlineLvl w:val="9"/>
              <w:rPr>
                <w:rFonts w:ascii="华文仿宋" w:hAnsi="华文仿宋" w:eastAsia="华文仿宋" w:cs="宋体"/>
                <w:color w:val="000000"/>
                <w:kern w:val="0"/>
                <w:sz w:val="24"/>
              </w:rPr>
            </w:pPr>
            <w:r>
              <w:rPr>
                <w:rFonts w:hint="eastAsia" w:ascii="华文仿宋" w:hAnsi="华文仿宋" w:eastAsia="华文仿宋" w:cs="宋体"/>
                <w:color w:val="000000"/>
                <w:kern w:val="0"/>
                <w:sz w:val="24"/>
              </w:rPr>
              <w:t>专项工作具有突出亮点，在一定范围内具有示范性和影响力</w:t>
            </w:r>
          </w:p>
        </w:tc>
      </w:tr>
    </w:tbl>
    <w:p>
      <w:pPr>
        <w:pageBreakBefore w:val="0"/>
        <w:kinsoku/>
        <w:wordWrap/>
        <w:overflowPunct/>
        <w:topLinePunct w:val="0"/>
        <w:bidi w:val="0"/>
        <w:outlineLvl w:val="9"/>
        <w:rPr>
          <w:rFonts w:hint="eastAsia"/>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51" w:name="_Toc534377795"/>
      <w:bookmarkStart w:id="452" w:name="_Toc16525"/>
      <w:bookmarkStart w:id="453" w:name="_Toc191"/>
      <w:bookmarkStart w:id="454" w:name="_Toc15499"/>
      <w:r>
        <w:rPr>
          <w:rFonts w:hint="eastAsia" w:asciiTheme="minorEastAsia" w:hAnsiTheme="minorEastAsia" w:eastAsiaTheme="minorEastAsia" w:cstheme="minorEastAsia"/>
          <w:b/>
          <w:color w:val="000000"/>
          <w:kern w:val="0"/>
          <w:sz w:val="36"/>
          <w:szCs w:val="36"/>
        </w:rPr>
        <w:t>柳州职业技术学院教师课堂教学</w:t>
      </w:r>
      <w:bookmarkEnd w:id="451"/>
      <w:bookmarkStart w:id="455" w:name="_Toc534377796"/>
      <w:r>
        <w:rPr>
          <w:rFonts w:hint="eastAsia" w:asciiTheme="minorEastAsia" w:hAnsiTheme="minorEastAsia" w:eastAsiaTheme="minorEastAsia" w:cstheme="minorEastAsia"/>
          <w:b/>
          <w:color w:val="000000"/>
          <w:kern w:val="0"/>
          <w:sz w:val="36"/>
          <w:szCs w:val="36"/>
        </w:rPr>
        <w:t>规范督导检查暂行规定</w:t>
      </w:r>
      <w:bookmarkEnd w:id="452"/>
      <w:bookmarkEnd w:id="453"/>
      <w:bookmarkEnd w:id="454"/>
      <w:bookmarkEnd w:id="455"/>
    </w:p>
    <w:p>
      <w:pPr>
        <w:pStyle w:val="14"/>
        <w:pageBreakBefore w:val="0"/>
        <w:kinsoku/>
        <w:wordWrap/>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（柳职院教字〔2017〕18号）</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为了进一步规范教师的课堂教学行为，提高教师教育教学水平，促进我院教育教学质量的稳步提高及教风学风的根本好转，特制定本规定。</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一、实施课堂教学规范督导检查的部门及人员</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我院课堂教学规范督导检查工作由督导室负责，由专兼职教师督导员及学生督导员具体实施。</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二、课堂教学规范督导检查要点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检查在教学过程中，教师是否存在违背党和国家大政方针、违背宪法、危害国家安全、破坏民族团结等言行；是否存在传播对社会安全稳定造成不良影响的言论；是否存在歪曲党的历史、丑化党和国家领导人情况；是否存在妄议现行党和国家的路线、方针、政策的情况。</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2.检查教师在课堂上是否存在引用未经考证的资料和各种谣传情况;课件内容中，是否存在引用、播放格调低俗的图片、音视频等情况。</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3.检查教师是否携带教学必备的教学进度表、教案、课程平时成绩及考勤登记表等纸质文件；检查教师是否按教学安排</w:t>
      </w:r>
      <w:r>
        <w:rPr>
          <w:rFonts w:ascii="仿宋_GB2312" w:eastAsia="仿宋_GB2312"/>
          <w:sz w:val="32"/>
          <w:szCs w:val="32"/>
        </w:rPr>
        <w:t>授课</w:t>
      </w:r>
      <w:r>
        <w:rPr>
          <w:rFonts w:hint="eastAsia" w:ascii="仿宋_GB2312" w:eastAsia="仿宋_GB2312"/>
          <w:sz w:val="32"/>
          <w:szCs w:val="32"/>
        </w:rPr>
        <w:t>；</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检查学生到课</w:t>
      </w:r>
      <w:r>
        <w:rPr>
          <w:rFonts w:hint="eastAsia" w:ascii="仿宋_GB2312" w:eastAsia="仿宋_GB2312"/>
          <w:sz w:val="32"/>
          <w:szCs w:val="32"/>
        </w:rPr>
        <w:t>及教师</w:t>
      </w:r>
      <w:r>
        <w:rPr>
          <w:rFonts w:ascii="仿宋_GB2312" w:eastAsia="仿宋_GB2312"/>
          <w:sz w:val="32"/>
          <w:szCs w:val="32"/>
        </w:rPr>
        <w:t>考勤</w:t>
      </w:r>
      <w:r>
        <w:rPr>
          <w:rFonts w:hint="eastAsia" w:ascii="仿宋_GB2312" w:eastAsia="仿宋_GB2312"/>
          <w:sz w:val="32"/>
          <w:szCs w:val="32"/>
        </w:rPr>
        <w:t xml:space="preserve">情况； </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5.检查实践教学的设施、设备、工具及装备等准备情况以及课后教学设施设备归位情况；检查实践教学场所是否存在安全隐患；检查教师是否结合课程内容开展安全教育及是否及时制止学生违规操作行为；</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6.检查教师示范教学、分组教学等过程中，是否</w:t>
      </w:r>
      <w:r>
        <w:rPr>
          <w:rFonts w:ascii="仿宋_GB2312" w:eastAsia="仿宋_GB2312"/>
          <w:sz w:val="32"/>
          <w:szCs w:val="32"/>
        </w:rPr>
        <w:t>做好组织、巡视、答疑等工作</w:t>
      </w:r>
      <w:r>
        <w:rPr>
          <w:rFonts w:hint="eastAsia" w:ascii="仿宋_GB2312" w:eastAsia="仿宋_GB2312"/>
          <w:sz w:val="32"/>
          <w:szCs w:val="32"/>
        </w:rPr>
        <w:t>；</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7.检查教师</w:t>
      </w:r>
      <w:r>
        <w:rPr>
          <w:rFonts w:ascii="仿宋_GB2312" w:eastAsia="仿宋_GB2312"/>
          <w:sz w:val="32"/>
          <w:szCs w:val="32"/>
        </w:rPr>
        <w:t>播放</w:t>
      </w:r>
      <w:r>
        <w:rPr>
          <w:rFonts w:hint="eastAsia" w:ascii="仿宋_GB2312" w:eastAsia="仿宋_GB2312"/>
          <w:sz w:val="32"/>
          <w:szCs w:val="32"/>
        </w:rPr>
        <w:t>的</w:t>
      </w:r>
      <w:r>
        <w:rPr>
          <w:rFonts w:ascii="仿宋_GB2312" w:eastAsia="仿宋_GB2312"/>
          <w:sz w:val="32"/>
          <w:szCs w:val="32"/>
        </w:rPr>
        <w:t>视频等影音资料</w:t>
      </w:r>
      <w:r>
        <w:rPr>
          <w:rFonts w:hint="eastAsia" w:ascii="仿宋_GB2312" w:eastAsia="仿宋_GB2312"/>
          <w:sz w:val="32"/>
          <w:szCs w:val="32"/>
        </w:rPr>
        <w:t>是否</w:t>
      </w:r>
      <w:r>
        <w:rPr>
          <w:rFonts w:ascii="仿宋_GB2312" w:eastAsia="仿宋_GB2312"/>
          <w:sz w:val="32"/>
          <w:szCs w:val="32"/>
        </w:rPr>
        <w:t>与教学</w:t>
      </w:r>
      <w:r>
        <w:rPr>
          <w:rFonts w:hint="eastAsia" w:ascii="仿宋_GB2312" w:eastAsia="仿宋_GB2312"/>
          <w:sz w:val="32"/>
          <w:szCs w:val="32"/>
        </w:rPr>
        <w:t>内容</w:t>
      </w:r>
      <w:r>
        <w:rPr>
          <w:rFonts w:ascii="仿宋_GB2312" w:eastAsia="仿宋_GB2312"/>
          <w:sz w:val="32"/>
          <w:szCs w:val="32"/>
        </w:rPr>
        <w:t>紧密</w:t>
      </w:r>
      <w:r>
        <w:rPr>
          <w:rFonts w:hint="eastAsia" w:ascii="仿宋_GB2312" w:eastAsia="仿宋_GB2312"/>
          <w:sz w:val="32"/>
          <w:szCs w:val="32"/>
        </w:rPr>
        <w:t>关联</w:t>
      </w:r>
      <w:r>
        <w:rPr>
          <w:rFonts w:ascii="仿宋_GB2312" w:eastAsia="仿宋_GB2312"/>
          <w:sz w:val="32"/>
          <w:szCs w:val="32"/>
        </w:rPr>
        <w:t>，教师</w:t>
      </w:r>
      <w:r>
        <w:rPr>
          <w:rFonts w:hint="eastAsia" w:ascii="仿宋_GB2312" w:eastAsia="仿宋_GB2312"/>
          <w:sz w:val="32"/>
          <w:szCs w:val="32"/>
        </w:rPr>
        <w:t>是否</w:t>
      </w:r>
      <w:r>
        <w:rPr>
          <w:rFonts w:ascii="仿宋_GB2312" w:eastAsia="仿宋_GB2312"/>
          <w:sz w:val="32"/>
          <w:szCs w:val="32"/>
        </w:rPr>
        <w:t>配合</w:t>
      </w:r>
      <w:r>
        <w:rPr>
          <w:rFonts w:hint="eastAsia" w:ascii="仿宋_GB2312" w:eastAsia="仿宋_GB2312"/>
          <w:sz w:val="32"/>
          <w:szCs w:val="32"/>
        </w:rPr>
        <w:t>教学内容进行适当</w:t>
      </w:r>
      <w:r>
        <w:rPr>
          <w:rFonts w:ascii="仿宋_GB2312" w:eastAsia="仿宋_GB2312"/>
          <w:sz w:val="32"/>
          <w:szCs w:val="32"/>
        </w:rPr>
        <w:t>讲解</w:t>
      </w:r>
      <w:r>
        <w:rPr>
          <w:rFonts w:hint="eastAsia" w:ascii="仿宋_GB2312" w:eastAsia="仿宋_GB2312"/>
          <w:sz w:val="32"/>
          <w:szCs w:val="32"/>
        </w:rPr>
        <w:t>；</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8.检查教师维护课堂纪律情况（教师是否</w:t>
      </w:r>
      <w:r>
        <w:rPr>
          <w:rFonts w:ascii="仿宋_GB2312" w:eastAsia="仿宋_GB2312"/>
          <w:sz w:val="32"/>
          <w:szCs w:val="32"/>
        </w:rPr>
        <w:t>及时制止学生</w:t>
      </w:r>
      <w:r>
        <w:rPr>
          <w:rFonts w:hint="eastAsia" w:ascii="仿宋_GB2312" w:eastAsia="仿宋_GB2312"/>
          <w:sz w:val="32"/>
          <w:szCs w:val="32"/>
        </w:rPr>
        <w:t>上课玩</w:t>
      </w:r>
      <w:r>
        <w:rPr>
          <w:rFonts w:ascii="仿宋_GB2312" w:eastAsia="仿宋_GB2312"/>
          <w:sz w:val="32"/>
          <w:szCs w:val="32"/>
        </w:rPr>
        <w:t>手机、打瞌睡、</w:t>
      </w:r>
      <w:r>
        <w:rPr>
          <w:rFonts w:hint="eastAsia" w:ascii="仿宋_GB2312" w:eastAsia="仿宋_GB2312"/>
          <w:sz w:val="32"/>
          <w:szCs w:val="32"/>
        </w:rPr>
        <w:t>嬉戏打闹、吃早餐、吸烟、不规范着装</w:t>
      </w:r>
      <w:r>
        <w:rPr>
          <w:rFonts w:ascii="仿宋_GB2312" w:eastAsia="仿宋_GB2312"/>
          <w:sz w:val="32"/>
          <w:szCs w:val="32"/>
        </w:rPr>
        <w:t>等行为</w:t>
      </w:r>
      <w:r>
        <w:rPr>
          <w:rFonts w:hint="eastAsia" w:ascii="仿宋_GB2312" w:eastAsia="仿宋_GB2312"/>
          <w:sz w:val="32"/>
          <w:szCs w:val="32"/>
        </w:rPr>
        <w:t>）；</w:t>
      </w:r>
      <w:r>
        <w:rPr>
          <w:rFonts w:ascii="仿宋_GB2312" w:eastAsia="仿宋_GB2312"/>
          <w:sz w:val="32"/>
          <w:szCs w:val="32"/>
        </w:rPr>
        <w:t xml:space="preserve"> </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9.检查教师遵守教学纪律规范情况（是否</w:t>
      </w:r>
      <w:r>
        <w:rPr>
          <w:rFonts w:ascii="仿宋_GB2312" w:eastAsia="仿宋_GB2312"/>
          <w:sz w:val="32"/>
          <w:szCs w:val="32"/>
        </w:rPr>
        <w:t>上课迟到</w:t>
      </w:r>
      <w:r>
        <w:rPr>
          <w:rFonts w:hint="eastAsia" w:ascii="仿宋_GB2312" w:eastAsia="仿宋_GB2312"/>
          <w:sz w:val="32"/>
          <w:szCs w:val="32"/>
        </w:rPr>
        <w:t>、</w:t>
      </w:r>
      <w:r>
        <w:rPr>
          <w:rFonts w:ascii="仿宋_GB2312" w:eastAsia="仿宋_GB2312"/>
          <w:sz w:val="32"/>
          <w:szCs w:val="32"/>
        </w:rPr>
        <w:t>提前下课</w:t>
      </w:r>
      <w:r>
        <w:rPr>
          <w:rFonts w:hint="eastAsia" w:ascii="仿宋_GB2312" w:eastAsia="仿宋_GB2312"/>
          <w:sz w:val="32"/>
          <w:szCs w:val="32"/>
        </w:rPr>
        <w:t>、无故缺课、</w:t>
      </w:r>
      <w:r>
        <w:rPr>
          <w:rFonts w:ascii="仿宋_GB2312" w:eastAsia="仿宋_GB2312"/>
          <w:sz w:val="32"/>
          <w:szCs w:val="32"/>
        </w:rPr>
        <w:t>随意调课</w:t>
      </w:r>
      <w:r>
        <w:rPr>
          <w:rFonts w:hint="eastAsia" w:ascii="仿宋_GB2312" w:eastAsia="仿宋_GB2312"/>
          <w:sz w:val="32"/>
          <w:szCs w:val="32"/>
        </w:rPr>
        <w:t>、</w:t>
      </w:r>
      <w:r>
        <w:rPr>
          <w:rFonts w:ascii="仿宋_GB2312" w:eastAsia="仿宋_GB2312"/>
          <w:sz w:val="32"/>
          <w:szCs w:val="32"/>
        </w:rPr>
        <w:t>接打电话</w:t>
      </w:r>
      <w:r>
        <w:rPr>
          <w:rFonts w:hint="eastAsia" w:ascii="仿宋_GB2312" w:eastAsia="仿宋_GB2312"/>
          <w:sz w:val="32"/>
          <w:szCs w:val="32"/>
        </w:rPr>
        <w:t>、擅自</w:t>
      </w:r>
      <w:r>
        <w:rPr>
          <w:rFonts w:ascii="仿宋_GB2312" w:eastAsia="仿宋_GB2312"/>
          <w:sz w:val="32"/>
          <w:szCs w:val="32"/>
        </w:rPr>
        <w:t>离开</w:t>
      </w:r>
      <w:r>
        <w:rPr>
          <w:rFonts w:hint="eastAsia" w:ascii="仿宋_GB2312" w:eastAsia="仿宋_GB2312"/>
          <w:sz w:val="32"/>
          <w:szCs w:val="32"/>
        </w:rPr>
        <w:t>教学场所等）；</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10.检查教师言行举止情况（是否</w:t>
      </w:r>
      <w:r>
        <w:rPr>
          <w:rFonts w:ascii="仿宋_GB2312" w:eastAsia="仿宋_GB2312"/>
          <w:sz w:val="32"/>
          <w:szCs w:val="32"/>
        </w:rPr>
        <w:t>衣着</w:t>
      </w:r>
      <w:r>
        <w:rPr>
          <w:rFonts w:hint="eastAsia" w:ascii="仿宋_GB2312" w:eastAsia="仿宋_GB2312"/>
          <w:sz w:val="32"/>
          <w:szCs w:val="32"/>
        </w:rPr>
        <w:t>规范、</w:t>
      </w:r>
      <w:r>
        <w:rPr>
          <w:rFonts w:ascii="仿宋_GB2312" w:eastAsia="仿宋_GB2312"/>
          <w:sz w:val="32"/>
          <w:szCs w:val="32"/>
        </w:rPr>
        <w:t>举止端庄</w:t>
      </w:r>
      <w:r>
        <w:rPr>
          <w:rFonts w:hint="eastAsia" w:ascii="仿宋_GB2312" w:eastAsia="仿宋_GB2312"/>
          <w:sz w:val="32"/>
          <w:szCs w:val="32"/>
        </w:rPr>
        <w:t>、</w:t>
      </w:r>
      <w:r>
        <w:rPr>
          <w:rFonts w:ascii="仿宋_GB2312" w:eastAsia="仿宋_GB2312"/>
          <w:sz w:val="32"/>
          <w:szCs w:val="32"/>
        </w:rPr>
        <w:t>语言文明</w:t>
      </w:r>
      <w:r>
        <w:rPr>
          <w:rFonts w:hint="eastAsia" w:ascii="仿宋_GB2312" w:eastAsia="仿宋_GB2312"/>
          <w:sz w:val="32"/>
          <w:szCs w:val="32"/>
        </w:rPr>
        <w:t>；除课程教学需要及身体原因外，原则上不能坐着上课。）</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三、课堂教学规范督导检查相关要求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1.各任课教师应积极配合专兼职教师督导员开展督导检查工作，主动出示各类教学文件，认真回答督导人员的询问；</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2.各教学场所的前后门均应保持不锁闭状态，以方便督导人员进行检查。</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四、教师违反课堂教学规范行为的处理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1.对于构成工作责任事故的，按《柳州职业技术学院工作事故认定及处理办法》处理；</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2.对不构成工作责任事故的其它违反教师课堂教学规范行为，视情节轻重，除在每周的《教学、行政工作督导通报》上通报批评外，由督导室对当事教师进行约谈或责成所在二级学院（部）进行批评教育；</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3.教学管理部门应将教师课堂教学规范督导检查结果作为优质课、精品课等教学质量等级评定的重要依据。</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本规定由学校授权督导室负责解释，自颁布之日起执行。</w:t>
      </w:r>
    </w:p>
    <w:p>
      <w:pPr>
        <w:pageBreakBefore w:val="0"/>
        <w:widowControl/>
        <w:kinsoku/>
        <w:wordWrap/>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56" w:name="_Toc534377797"/>
      <w:bookmarkStart w:id="457" w:name="_Toc1106"/>
      <w:bookmarkStart w:id="458" w:name="_Toc31126"/>
      <w:bookmarkStart w:id="459" w:name="_Toc21279"/>
      <w:r>
        <w:rPr>
          <w:rFonts w:hint="eastAsia" w:asciiTheme="minorEastAsia" w:hAnsiTheme="minorEastAsia" w:eastAsiaTheme="minorEastAsia" w:cstheme="minorEastAsia"/>
          <w:b/>
          <w:color w:val="000000"/>
          <w:kern w:val="0"/>
          <w:sz w:val="36"/>
          <w:szCs w:val="36"/>
        </w:rPr>
        <w:t>柳州职业技术学院</w:t>
      </w:r>
      <w:bookmarkEnd w:id="456"/>
      <w:bookmarkStart w:id="460" w:name="_Toc534377798"/>
      <w:r>
        <w:rPr>
          <w:rFonts w:hint="eastAsia" w:asciiTheme="minorEastAsia" w:hAnsiTheme="minorEastAsia" w:eastAsiaTheme="minorEastAsia" w:cstheme="minorEastAsia"/>
          <w:b/>
          <w:color w:val="000000"/>
          <w:kern w:val="0"/>
          <w:sz w:val="36"/>
          <w:szCs w:val="36"/>
        </w:rPr>
        <w:t>教师课堂教学行为规范及扣分清单</w:t>
      </w:r>
      <w:bookmarkEnd w:id="457"/>
      <w:bookmarkEnd w:id="458"/>
      <w:bookmarkEnd w:id="459"/>
      <w:bookmarkEnd w:id="460"/>
    </w:p>
    <w:p>
      <w:pPr>
        <w:pStyle w:val="14"/>
        <w:pageBreakBefore w:val="0"/>
        <w:kinsoku/>
        <w:wordWrap/>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（柳职院教字〔2017〕19号）</w:t>
      </w:r>
    </w:p>
    <w:p>
      <w:pPr>
        <w:pageBreakBefore w:val="0"/>
        <w:widowControl/>
        <w:kinsoku/>
        <w:wordWrap/>
        <w:overflowPunct/>
        <w:topLinePunct w:val="0"/>
        <w:bidi w:val="0"/>
        <w:spacing w:line="600" w:lineRule="exact"/>
        <w:ind w:firstLine="420" w:firstLineChars="200"/>
        <w:jc w:val="left"/>
        <w:outlineLvl w:val="9"/>
        <w:rPr>
          <w:rFonts w:cs="宋体"/>
          <w:kern w:val="0"/>
          <w:szCs w:val="36"/>
        </w:rPr>
      </w:pP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一、教师课堂教学行为规范</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为进一步规范教师的课堂教学行为，特制定本规范。</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教师在教学过程中，应当贯彻落实党的教育方针，坚持四项基本原则，积极弘扬和践行社会主义核心价值观，注重教书育人。</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 教师上课时必须携带教学必备的教学进度表、教案、课程平时成绩及考勤登记表等教学文件，按照教学安排上课。</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3. </w:t>
      </w:r>
      <w:r>
        <w:rPr>
          <w:rFonts w:ascii="仿宋_GB2312" w:eastAsia="仿宋_GB2312"/>
          <w:sz w:val="32"/>
          <w:szCs w:val="32"/>
        </w:rPr>
        <w:t>检查学生到课</w:t>
      </w:r>
      <w:r>
        <w:rPr>
          <w:rFonts w:hint="eastAsia" w:ascii="仿宋_GB2312" w:eastAsia="仿宋_GB2312"/>
          <w:sz w:val="32"/>
          <w:szCs w:val="32"/>
        </w:rPr>
        <w:t>情况，认真做好学生上课考勤，如实填写“教师日志”。</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 实践教学课前须认真检查教学设施、设备、工具及装备等准备情况，课后教学设施设备应按照实训室管理要求归位；教学中应注重对学生职业素养、操作规范、安全等方面的教育，及时制止学生违规操作行为。</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5. 在进行示范教学、分组教学等过程中，须</w:t>
      </w:r>
      <w:r>
        <w:rPr>
          <w:rFonts w:ascii="仿宋_GB2312" w:eastAsia="仿宋_GB2312"/>
          <w:sz w:val="32"/>
          <w:szCs w:val="32"/>
        </w:rPr>
        <w:t>做好组织、巡视、答疑等工作</w:t>
      </w:r>
      <w:r>
        <w:rPr>
          <w:rFonts w:hint="eastAsia" w:ascii="仿宋_GB2312" w:eastAsia="仿宋_GB2312"/>
          <w:sz w:val="32"/>
          <w:szCs w:val="32"/>
        </w:rPr>
        <w:t>。</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6. 教师上课时</w:t>
      </w:r>
      <w:r>
        <w:rPr>
          <w:rFonts w:ascii="仿宋_GB2312" w:eastAsia="仿宋_GB2312"/>
          <w:sz w:val="32"/>
          <w:szCs w:val="32"/>
        </w:rPr>
        <w:t>播放</w:t>
      </w:r>
      <w:r>
        <w:rPr>
          <w:rFonts w:hint="eastAsia" w:ascii="仿宋_GB2312" w:eastAsia="仿宋_GB2312"/>
          <w:sz w:val="32"/>
          <w:szCs w:val="32"/>
        </w:rPr>
        <w:t>的</w:t>
      </w:r>
      <w:r>
        <w:rPr>
          <w:rFonts w:ascii="仿宋_GB2312" w:eastAsia="仿宋_GB2312"/>
          <w:sz w:val="32"/>
          <w:szCs w:val="32"/>
        </w:rPr>
        <w:t>视频等影音资料</w:t>
      </w:r>
      <w:r>
        <w:rPr>
          <w:rFonts w:hint="eastAsia" w:ascii="仿宋_GB2312" w:eastAsia="仿宋_GB2312"/>
          <w:sz w:val="32"/>
          <w:szCs w:val="32"/>
        </w:rPr>
        <w:t>应注意</w:t>
      </w:r>
      <w:r>
        <w:rPr>
          <w:rFonts w:ascii="仿宋_GB2312" w:eastAsia="仿宋_GB2312"/>
          <w:sz w:val="32"/>
          <w:szCs w:val="32"/>
        </w:rPr>
        <w:t>与教学</w:t>
      </w:r>
      <w:r>
        <w:rPr>
          <w:rFonts w:hint="eastAsia" w:ascii="仿宋_GB2312" w:eastAsia="仿宋_GB2312"/>
          <w:sz w:val="32"/>
          <w:szCs w:val="32"/>
        </w:rPr>
        <w:t>内容</w:t>
      </w:r>
      <w:r>
        <w:rPr>
          <w:rFonts w:ascii="仿宋_GB2312" w:eastAsia="仿宋_GB2312"/>
          <w:sz w:val="32"/>
          <w:szCs w:val="32"/>
        </w:rPr>
        <w:t>紧密</w:t>
      </w:r>
      <w:r>
        <w:rPr>
          <w:rFonts w:hint="eastAsia" w:ascii="仿宋_GB2312" w:eastAsia="仿宋_GB2312"/>
          <w:sz w:val="32"/>
          <w:szCs w:val="32"/>
        </w:rPr>
        <w:t>关联</w:t>
      </w:r>
      <w:r>
        <w:rPr>
          <w:rFonts w:ascii="仿宋_GB2312" w:eastAsia="仿宋_GB2312"/>
          <w:sz w:val="32"/>
          <w:szCs w:val="32"/>
        </w:rPr>
        <w:t>，</w:t>
      </w:r>
      <w:r>
        <w:rPr>
          <w:rFonts w:hint="eastAsia" w:ascii="仿宋_GB2312" w:eastAsia="仿宋_GB2312"/>
          <w:sz w:val="32"/>
          <w:szCs w:val="32"/>
        </w:rPr>
        <w:t>并</w:t>
      </w:r>
      <w:r>
        <w:rPr>
          <w:rFonts w:ascii="仿宋_GB2312" w:eastAsia="仿宋_GB2312"/>
          <w:sz w:val="32"/>
          <w:szCs w:val="32"/>
        </w:rPr>
        <w:t>配合</w:t>
      </w:r>
      <w:r>
        <w:rPr>
          <w:rFonts w:hint="eastAsia" w:ascii="仿宋_GB2312" w:eastAsia="仿宋_GB2312"/>
          <w:sz w:val="32"/>
          <w:szCs w:val="32"/>
        </w:rPr>
        <w:t>教学内容进行适当</w:t>
      </w:r>
      <w:r>
        <w:rPr>
          <w:rFonts w:ascii="仿宋_GB2312" w:eastAsia="仿宋_GB2312"/>
          <w:sz w:val="32"/>
          <w:szCs w:val="32"/>
        </w:rPr>
        <w:t>讲解</w:t>
      </w:r>
      <w:r>
        <w:rPr>
          <w:rFonts w:hint="eastAsia" w:ascii="仿宋_GB2312" w:eastAsia="仿宋_GB2312"/>
          <w:sz w:val="32"/>
          <w:szCs w:val="32"/>
        </w:rPr>
        <w:t>；在课堂上不得引用未经考证的资料和各种谣传; 课件内容中，不得引用格调低俗的图片、音视频。</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7. 密切关注学生上课情况，注意维护课堂纪律，</w:t>
      </w:r>
      <w:r>
        <w:rPr>
          <w:rFonts w:ascii="仿宋_GB2312" w:eastAsia="仿宋_GB2312"/>
          <w:sz w:val="32"/>
          <w:szCs w:val="32"/>
        </w:rPr>
        <w:t>及时制止学生</w:t>
      </w:r>
      <w:r>
        <w:rPr>
          <w:rFonts w:hint="eastAsia" w:ascii="仿宋_GB2312" w:eastAsia="仿宋_GB2312"/>
          <w:sz w:val="32"/>
          <w:szCs w:val="32"/>
        </w:rPr>
        <w:t>上课玩</w:t>
      </w:r>
      <w:r>
        <w:rPr>
          <w:rFonts w:ascii="仿宋_GB2312" w:eastAsia="仿宋_GB2312"/>
          <w:sz w:val="32"/>
          <w:szCs w:val="32"/>
        </w:rPr>
        <w:t>手机、打瞌睡、</w:t>
      </w:r>
      <w:r>
        <w:rPr>
          <w:rFonts w:hint="eastAsia" w:ascii="仿宋_GB2312" w:eastAsia="仿宋_GB2312"/>
          <w:sz w:val="32"/>
          <w:szCs w:val="32"/>
        </w:rPr>
        <w:t>嬉戏打闹、吃早餐、吸烟、不规范着装</w:t>
      </w:r>
      <w:r>
        <w:rPr>
          <w:rFonts w:ascii="仿宋_GB2312" w:eastAsia="仿宋_GB2312"/>
          <w:sz w:val="32"/>
          <w:szCs w:val="32"/>
        </w:rPr>
        <w:t>等</w:t>
      </w:r>
      <w:r>
        <w:rPr>
          <w:rFonts w:hint="eastAsia" w:ascii="仿宋_GB2312" w:eastAsia="仿宋_GB2312"/>
          <w:sz w:val="32"/>
          <w:szCs w:val="32"/>
        </w:rPr>
        <w:t>违纪</w:t>
      </w:r>
      <w:r>
        <w:rPr>
          <w:rFonts w:ascii="仿宋_GB2312" w:eastAsia="仿宋_GB2312"/>
          <w:sz w:val="32"/>
          <w:szCs w:val="32"/>
        </w:rPr>
        <w:t>行为</w:t>
      </w:r>
      <w:r>
        <w:rPr>
          <w:rFonts w:hint="eastAsia" w:ascii="仿宋_GB2312" w:eastAsia="仿宋_GB2312"/>
          <w:sz w:val="32"/>
          <w:szCs w:val="32"/>
        </w:rPr>
        <w:t>。</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8. 严格遵守教学纪律，不</w:t>
      </w:r>
      <w:r>
        <w:rPr>
          <w:rFonts w:ascii="仿宋_GB2312" w:eastAsia="仿宋_GB2312"/>
          <w:sz w:val="32"/>
          <w:szCs w:val="32"/>
        </w:rPr>
        <w:t>迟到</w:t>
      </w:r>
      <w:r>
        <w:rPr>
          <w:rFonts w:hint="eastAsia" w:ascii="仿宋_GB2312" w:eastAsia="仿宋_GB2312"/>
          <w:sz w:val="32"/>
          <w:szCs w:val="32"/>
        </w:rPr>
        <w:t>、不</w:t>
      </w:r>
      <w:r>
        <w:rPr>
          <w:rFonts w:ascii="仿宋_GB2312" w:eastAsia="仿宋_GB2312"/>
          <w:sz w:val="32"/>
          <w:szCs w:val="32"/>
        </w:rPr>
        <w:t>提前下课</w:t>
      </w:r>
      <w:r>
        <w:rPr>
          <w:rFonts w:hint="eastAsia" w:ascii="仿宋_GB2312" w:eastAsia="仿宋_GB2312"/>
          <w:sz w:val="32"/>
          <w:szCs w:val="32"/>
        </w:rPr>
        <w:t>、不无故缺课和</w:t>
      </w:r>
      <w:r>
        <w:rPr>
          <w:rFonts w:ascii="仿宋_GB2312" w:eastAsia="仿宋_GB2312"/>
          <w:sz w:val="32"/>
          <w:szCs w:val="32"/>
        </w:rPr>
        <w:t>随意调课</w:t>
      </w:r>
      <w:r>
        <w:rPr>
          <w:rFonts w:hint="eastAsia" w:ascii="仿宋_GB2312" w:eastAsia="仿宋_GB2312"/>
          <w:sz w:val="32"/>
          <w:szCs w:val="32"/>
        </w:rPr>
        <w:t>、上课时不</w:t>
      </w:r>
      <w:r>
        <w:rPr>
          <w:rFonts w:ascii="仿宋_GB2312" w:eastAsia="仿宋_GB2312"/>
          <w:sz w:val="32"/>
          <w:szCs w:val="32"/>
        </w:rPr>
        <w:t>接打电话</w:t>
      </w:r>
      <w:r>
        <w:rPr>
          <w:rFonts w:hint="eastAsia" w:ascii="仿宋_GB2312" w:eastAsia="仿宋_GB2312"/>
          <w:sz w:val="32"/>
          <w:szCs w:val="32"/>
        </w:rPr>
        <w:t>和擅自</w:t>
      </w:r>
      <w:r>
        <w:rPr>
          <w:rFonts w:ascii="仿宋_GB2312" w:eastAsia="仿宋_GB2312"/>
          <w:sz w:val="32"/>
          <w:szCs w:val="32"/>
        </w:rPr>
        <w:t>离开</w:t>
      </w:r>
      <w:r>
        <w:rPr>
          <w:rFonts w:hint="eastAsia" w:ascii="仿宋_GB2312" w:eastAsia="仿宋_GB2312"/>
          <w:sz w:val="32"/>
          <w:szCs w:val="32"/>
        </w:rPr>
        <w:t>教学场所。</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9. 注意言行举止，</w:t>
      </w:r>
      <w:r>
        <w:rPr>
          <w:rFonts w:ascii="仿宋_GB2312" w:eastAsia="仿宋_GB2312"/>
          <w:sz w:val="32"/>
          <w:szCs w:val="32"/>
        </w:rPr>
        <w:t>衣着</w:t>
      </w:r>
      <w:r>
        <w:rPr>
          <w:rFonts w:hint="eastAsia" w:ascii="仿宋_GB2312" w:eastAsia="仿宋_GB2312"/>
          <w:sz w:val="32"/>
          <w:szCs w:val="32"/>
        </w:rPr>
        <w:t>规范、</w:t>
      </w:r>
      <w:r>
        <w:rPr>
          <w:rFonts w:ascii="仿宋_GB2312" w:eastAsia="仿宋_GB2312"/>
          <w:sz w:val="32"/>
          <w:szCs w:val="32"/>
        </w:rPr>
        <w:t>举止端庄</w:t>
      </w:r>
      <w:r>
        <w:rPr>
          <w:rFonts w:hint="eastAsia" w:ascii="仿宋_GB2312" w:eastAsia="仿宋_GB2312"/>
          <w:sz w:val="32"/>
          <w:szCs w:val="32"/>
        </w:rPr>
        <w:t>、</w:t>
      </w:r>
      <w:r>
        <w:rPr>
          <w:rFonts w:ascii="仿宋_GB2312" w:eastAsia="仿宋_GB2312"/>
          <w:sz w:val="32"/>
          <w:szCs w:val="32"/>
        </w:rPr>
        <w:t>语言文明</w:t>
      </w:r>
      <w:r>
        <w:rPr>
          <w:rFonts w:hint="eastAsia"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黑体" w:hAnsi="黑体" w:eastAsia="黑体"/>
          <w:b/>
          <w:sz w:val="32"/>
          <w:szCs w:val="32"/>
        </w:rPr>
      </w:pPr>
      <w:r>
        <w:rPr>
          <w:rFonts w:hint="eastAsia" w:ascii="黑体" w:hAnsi="黑体" w:eastAsia="黑体"/>
          <w:b/>
          <w:sz w:val="32"/>
          <w:szCs w:val="32"/>
        </w:rPr>
        <w:t>二、扣分清单</w:t>
      </w:r>
    </w:p>
    <w:tbl>
      <w:tblPr>
        <w:tblStyle w:val="17"/>
        <w:tblW w:w="8686" w:type="dxa"/>
        <w:jc w:val="center"/>
        <w:tblInd w:w="0" w:type="dxa"/>
        <w:tblLayout w:type="fixed"/>
        <w:tblCellMar>
          <w:top w:w="57" w:type="dxa"/>
          <w:left w:w="108" w:type="dxa"/>
          <w:bottom w:w="57" w:type="dxa"/>
          <w:right w:w="108" w:type="dxa"/>
        </w:tblCellMar>
      </w:tblPr>
      <w:tblGrid>
        <w:gridCol w:w="734"/>
        <w:gridCol w:w="912"/>
        <w:gridCol w:w="6266"/>
        <w:gridCol w:w="774"/>
      </w:tblGrid>
      <w:tr>
        <w:tblPrEx>
          <w:tblLayout w:type="fixed"/>
          <w:tblCellMar>
            <w:top w:w="57" w:type="dxa"/>
            <w:left w:w="108" w:type="dxa"/>
            <w:bottom w:w="57" w:type="dxa"/>
            <w:right w:w="108" w:type="dxa"/>
          </w:tblCellMar>
        </w:tblPrEx>
        <w:trPr>
          <w:trHeight w:val="43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szCs w:val="28"/>
              </w:rPr>
              <w:br w:type="page"/>
            </w:r>
            <w:r>
              <w:rPr>
                <w:rFonts w:hint="eastAsia" w:ascii="仿宋_GB2312" w:eastAsia="仿宋_GB2312"/>
                <w:szCs w:val="28"/>
              </w:rPr>
              <w:br w:type="page"/>
            </w:r>
            <w:r>
              <w:rPr>
                <w:rFonts w:hint="eastAsia" w:ascii="仿宋_GB2312" w:eastAsia="仿宋_GB2312"/>
                <w:kern w:val="0"/>
                <w:sz w:val="24"/>
              </w:rPr>
              <w:t>序号</w:t>
            </w:r>
          </w:p>
        </w:tc>
        <w:tc>
          <w:tcPr>
            <w:tcW w:w="912"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　</w:t>
            </w: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教师课堂教学违规情况</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分值</w:t>
            </w:r>
          </w:p>
        </w:tc>
      </w:tr>
      <w:tr>
        <w:tblPrEx>
          <w:tblLayout w:type="fixed"/>
          <w:tblCellMar>
            <w:top w:w="57" w:type="dxa"/>
            <w:left w:w="108" w:type="dxa"/>
            <w:bottom w:w="57" w:type="dxa"/>
            <w:right w:w="108" w:type="dxa"/>
          </w:tblCellMar>
        </w:tblPrEx>
        <w:trPr>
          <w:trHeight w:val="43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szCs w:val="28"/>
              </w:rPr>
            </w:pPr>
            <w:r>
              <w:rPr>
                <w:rFonts w:hint="eastAsia" w:ascii="仿宋_GB2312" w:eastAsia="仿宋_GB2312"/>
                <w:szCs w:val="28"/>
              </w:rPr>
              <w:t>1</w:t>
            </w:r>
          </w:p>
        </w:tc>
        <w:tc>
          <w:tcPr>
            <w:tcW w:w="912" w:type="dxa"/>
            <w:vMerge w:val="restart"/>
            <w:tcBorders>
              <w:top w:val="single" w:color="auto" w:sz="4" w:space="0"/>
              <w:left w:val="nil"/>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hAnsi="宋体" w:eastAsia="仿宋_GB2312" w:cs="宋体"/>
                <w:kern w:val="0"/>
                <w:sz w:val="24"/>
              </w:rPr>
              <w:t>言行举止</w:t>
            </w: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eastAsia="仿宋_GB2312"/>
                <w:kern w:val="0"/>
                <w:sz w:val="24"/>
              </w:rPr>
            </w:pPr>
            <w:r>
              <w:rPr>
                <w:rFonts w:hint="eastAsia" w:ascii="仿宋_GB2312" w:hAnsi="宋体" w:eastAsia="仿宋_GB2312" w:cs="宋体"/>
                <w:kern w:val="0"/>
                <w:sz w:val="24"/>
              </w:rPr>
              <w:t>歪曲党的历史，丑化党和国家领导人，妄议党和国家的路线、方针、政策，传播邪教</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一票否决</w:t>
            </w:r>
          </w:p>
        </w:tc>
      </w:tr>
      <w:tr>
        <w:tblPrEx>
          <w:tblLayout w:type="fixed"/>
          <w:tblCellMar>
            <w:top w:w="57" w:type="dxa"/>
            <w:left w:w="108" w:type="dxa"/>
            <w:bottom w:w="57" w:type="dxa"/>
            <w:right w:w="108" w:type="dxa"/>
          </w:tblCellMar>
        </w:tblPrEx>
        <w:trPr>
          <w:trHeight w:val="54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szCs w:val="28"/>
              </w:rPr>
            </w:pPr>
            <w:r>
              <w:rPr>
                <w:rFonts w:hint="eastAsia" w:ascii="仿宋_GB2312" w:eastAsia="仿宋_GB2312"/>
                <w:szCs w:val="28"/>
              </w:rPr>
              <w:t>2</w:t>
            </w:r>
          </w:p>
        </w:tc>
        <w:tc>
          <w:tcPr>
            <w:tcW w:w="912" w:type="dxa"/>
            <w:vMerge w:val="continue"/>
            <w:tcBorders>
              <w:left w:val="nil"/>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eastAsia="仿宋_GB2312"/>
                <w:kern w:val="0"/>
                <w:sz w:val="24"/>
              </w:rPr>
            </w:pPr>
            <w:r>
              <w:rPr>
                <w:rFonts w:hint="eastAsia" w:ascii="仿宋_GB2312" w:hAnsi="宋体" w:eastAsia="仿宋_GB2312" w:cs="宋体"/>
                <w:kern w:val="0"/>
                <w:sz w:val="24"/>
              </w:rPr>
              <w:t>语言不文明，说粗言秽语</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479"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szCs w:val="28"/>
              </w:rPr>
            </w:pPr>
            <w:r>
              <w:rPr>
                <w:rFonts w:hint="eastAsia" w:ascii="仿宋_GB2312" w:eastAsia="仿宋_GB2312"/>
                <w:szCs w:val="28"/>
              </w:rPr>
              <w:t>3</w:t>
            </w:r>
          </w:p>
        </w:tc>
        <w:tc>
          <w:tcPr>
            <w:tcW w:w="912" w:type="dxa"/>
            <w:vMerge w:val="continue"/>
            <w:tcBorders>
              <w:left w:val="nil"/>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上课辱骂学生</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43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szCs w:val="28"/>
              </w:rPr>
            </w:pPr>
            <w:r>
              <w:rPr>
                <w:rFonts w:hint="eastAsia" w:ascii="仿宋_GB2312" w:eastAsia="仿宋_GB2312"/>
                <w:szCs w:val="28"/>
              </w:rPr>
              <w:t>4</w:t>
            </w:r>
          </w:p>
        </w:tc>
        <w:tc>
          <w:tcPr>
            <w:tcW w:w="912" w:type="dxa"/>
            <w:vMerge w:val="continue"/>
            <w:tcBorders>
              <w:left w:val="nil"/>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衣着不规范</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35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szCs w:val="28"/>
              </w:rPr>
            </w:pPr>
            <w:r>
              <w:rPr>
                <w:rFonts w:hint="eastAsia" w:ascii="仿宋_GB2312" w:eastAsia="仿宋_GB2312"/>
                <w:szCs w:val="28"/>
              </w:rPr>
              <w:t>5</w:t>
            </w:r>
          </w:p>
        </w:tc>
        <w:tc>
          <w:tcPr>
            <w:tcW w:w="912" w:type="dxa"/>
            <w:vMerge w:val="continue"/>
            <w:tcBorders>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举止不文明</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675"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6</w:t>
            </w:r>
          </w:p>
        </w:tc>
        <w:tc>
          <w:tcPr>
            <w:tcW w:w="912"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hAnsi="宋体" w:eastAsia="仿宋_GB2312" w:cs="宋体"/>
                <w:kern w:val="0"/>
                <w:sz w:val="24"/>
              </w:rPr>
            </w:pPr>
            <w:r>
              <w:rPr>
                <w:rFonts w:hint="eastAsia" w:ascii="仿宋_GB2312" w:hAnsi="宋体" w:eastAsia="仿宋_GB2312" w:cs="宋体"/>
                <w:kern w:val="0"/>
                <w:sz w:val="24"/>
              </w:rPr>
              <w:t>教学文件</w:t>
            </w: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没有携带教学必备的教学进度表、教案、课程平时成绩及考勤登记表等教学文件</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405"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7</w:t>
            </w:r>
          </w:p>
        </w:tc>
        <w:tc>
          <w:tcPr>
            <w:tcW w:w="912" w:type="dxa"/>
            <w:vMerge w:val="restart"/>
            <w:tcBorders>
              <w:top w:val="nil"/>
              <w:left w:val="single" w:color="auto" w:sz="4" w:space="0"/>
              <w:bottom w:val="single" w:color="000000"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hAnsi="宋体" w:eastAsia="仿宋_GB2312" w:cs="宋体"/>
                <w:kern w:val="0"/>
                <w:sz w:val="24"/>
              </w:rPr>
            </w:pPr>
            <w:r>
              <w:rPr>
                <w:rFonts w:hint="eastAsia" w:ascii="仿宋_GB2312" w:hAnsi="宋体" w:eastAsia="仿宋_GB2312" w:cs="宋体"/>
                <w:kern w:val="0"/>
                <w:sz w:val="24"/>
              </w:rPr>
              <w:t>实践教学情况</w:t>
            </w: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课前准备不充分，导致课堂教学进程混乱</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645"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8</w:t>
            </w:r>
          </w:p>
        </w:tc>
        <w:tc>
          <w:tcPr>
            <w:tcW w:w="912" w:type="dxa"/>
            <w:vMerge w:val="continue"/>
            <w:tcBorders>
              <w:top w:val="nil"/>
              <w:left w:val="single" w:color="auto" w:sz="4" w:space="0"/>
              <w:bottom w:val="single" w:color="000000"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课后没有按照要求归位，导致实训设备、工具、耗材等摆放凌乱</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705"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9</w:t>
            </w:r>
          </w:p>
        </w:tc>
        <w:tc>
          <w:tcPr>
            <w:tcW w:w="912" w:type="dxa"/>
            <w:vMerge w:val="continue"/>
            <w:tcBorders>
              <w:top w:val="nil"/>
              <w:left w:val="single" w:color="auto" w:sz="4" w:space="0"/>
              <w:bottom w:val="single" w:color="000000"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没有及时制止学生违规操作行为，导致出现设备损坏或学生人身伤害</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660"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10</w:t>
            </w:r>
          </w:p>
        </w:tc>
        <w:tc>
          <w:tcPr>
            <w:tcW w:w="912" w:type="dxa"/>
            <w:vMerge w:val="restart"/>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hAnsi="宋体" w:eastAsia="仿宋_GB2312" w:cs="宋体"/>
                <w:kern w:val="0"/>
                <w:sz w:val="24"/>
              </w:rPr>
            </w:pPr>
            <w:r>
              <w:rPr>
                <w:rFonts w:hint="eastAsia" w:ascii="仿宋_GB2312" w:hAnsi="宋体" w:eastAsia="仿宋_GB2312" w:cs="宋体"/>
                <w:kern w:val="0"/>
                <w:sz w:val="24"/>
              </w:rPr>
              <w:t>课堂组织情况</w:t>
            </w: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教师在组织示范教学、分组教学情况时没有做好组织、巡视、答疑等工作，致使课堂纪律混乱</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64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11</w:t>
            </w:r>
          </w:p>
        </w:tc>
        <w:tc>
          <w:tcPr>
            <w:tcW w:w="912"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教师上课播放视频等影音资料与教学内容无关；没有配合教学内容进行适当讲解；在课堂上引用未经考证的资料和各种谣传；课件内容中引用格调低俗的图片、音视频。</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3</w:t>
            </w:r>
          </w:p>
        </w:tc>
      </w:tr>
      <w:tr>
        <w:tblPrEx>
          <w:tblLayout w:type="fixed"/>
          <w:tblCellMar>
            <w:top w:w="57" w:type="dxa"/>
            <w:left w:w="108" w:type="dxa"/>
            <w:bottom w:w="57" w:type="dxa"/>
            <w:right w:w="108" w:type="dxa"/>
          </w:tblCellMar>
        </w:tblPrEx>
        <w:trPr>
          <w:trHeight w:val="855"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12</w:t>
            </w:r>
          </w:p>
        </w:tc>
        <w:tc>
          <w:tcPr>
            <w:tcW w:w="912" w:type="dxa"/>
            <w:vMerge w:val="continue"/>
            <w:tcBorders>
              <w:top w:val="single" w:color="auto" w:sz="4" w:space="0"/>
              <w:left w:val="single" w:color="auto" w:sz="4" w:space="0"/>
              <w:bottom w:val="single" w:color="000000"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没有及时制止学生上课玩手机、打瞌睡、嬉戏打闹、吃早餐、吸烟、等违纪行为,导致学生违纪比率达25%以上（含25%）</w:t>
            </w:r>
          </w:p>
        </w:tc>
        <w:tc>
          <w:tcPr>
            <w:tcW w:w="774" w:type="dxa"/>
            <w:tcBorders>
              <w:top w:val="single" w:color="auto" w:sz="4" w:space="0"/>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390"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13</w:t>
            </w:r>
          </w:p>
        </w:tc>
        <w:tc>
          <w:tcPr>
            <w:tcW w:w="912" w:type="dxa"/>
            <w:vMerge w:val="restart"/>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hAnsi="宋体" w:eastAsia="仿宋_GB2312" w:cs="宋体"/>
                <w:kern w:val="0"/>
                <w:sz w:val="24"/>
              </w:rPr>
            </w:pPr>
            <w:r>
              <w:rPr>
                <w:rFonts w:hint="eastAsia" w:ascii="仿宋_GB2312" w:hAnsi="宋体" w:eastAsia="仿宋_GB2312" w:cs="宋体"/>
                <w:kern w:val="0"/>
                <w:sz w:val="24"/>
              </w:rPr>
              <w:t>教学纪律遵守情况</w:t>
            </w: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上课迟到或提前下课</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390"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14</w:t>
            </w:r>
          </w:p>
        </w:tc>
        <w:tc>
          <w:tcPr>
            <w:tcW w:w="912"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上课时接打电话</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390" w:hRule="atLeast"/>
          <w:jc w:val="center"/>
        </w:trPr>
        <w:tc>
          <w:tcPr>
            <w:tcW w:w="734" w:type="dxa"/>
            <w:tcBorders>
              <w:top w:val="nil"/>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15</w:t>
            </w:r>
          </w:p>
        </w:tc>
        <w:tc>
          <w:tcPr>
            <w:tcW w:w="912" w:type="dxa"/>
            <w:vMerge w:val="continue"/>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p>
        </w:tc>
        <w:tc>
          <w:tcPr>
            <w:tcW w:w="6266"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outlineLvl w:val="9"/>
              <w:rPr>
                <w:rFonts w:ascii="仿宋_GB2312" w:hAnsi="宋体" w:eastAsia="仿宋_GB2312" w:cs="宋体"/>
                <w:kern w:val="0"/>
                <w:sz w:val="24"/>
              </w:rPr>
            </w:pPr>
            <w:r>
              <w:rPr>
                <w:rFonts w:hint="eastAsia" w:ascii="仿宋_GB2312" w:hAnsi="宋体" w:eastAsia="仿宋_GB2312" w:cs="宋体"/>
                <w:kern w:val="0"/>
                <w:sz w:val="24"/>
              </w:rPr>
              <w:t>上课时擅自离开教学场所</w:t>
            </w:r>
          </w:p>
        </w:tc>
        <w:tc>
          <w:tcPr>
            <w:tcW w:w="774" w:type="dxa"/>
            <w:tcBorders>
              <w:top w:val="nil"/>
              <w:left w:val="nil"/>
              <w:bottom w:val="single" w:color="auto" w:sz="4" w:space="0"/>
              <w:right w:val="single" w:color="auto" w:sz="4" w:space="0"/>
            </w:tcBorders>
            <w:shd w:val="clear" w:color="auto" w:fill="auto"/>
            <w:vAlign w:val="center"/>
          </w:tcPr>
          <w:p>
            <w:pPr>
              <w:pageBreakBefore w:val="0"/>
              <w:widowControl/>
              <w:kinsoku/>
              <w:wordWrap/>
              <w:overflowPunct/>
              <w:topLinePunct w:val="0"/>
              <w:bidi w:val="0"/>
              <w:spacing w:line="360" w:lineRule="exact"/>
              <w:jc w:val="center"/>
              <w:outlineLvl w:val="9"/>
              <w:rPr>
                <w:rFonts w:ascii="仿宋_GB2312" w:eastAsia="仿宋_GB2312"/>
                <w:kern w:val="0"/>
                <w:sz w:val="24"/>
              </w:rPr>
            </w:pPr>
            <w:r>
              <w:rPr>
                <w:rFonts w:hint="eastAsia" w:ascii="仿宋_GB2312" w:eastAsia="仿宋_GB2312"/>
                <w:kern w:val="0"/>
                <w:sz w:val="24"/>
              </w:rPr>
              <w:t>1</w:t>
            </w:r>
          </w:p>
        </w:tc>
      </w:tr>
      <w:tr>
        <w:tblPrEx>
          <w:tblLayout w:type="fixed"/>
          <w:tblCellMar>
            <w:top w:w="57" w:type="dxa"/>
            <w:left w:w="108" w:type="dxa"/>
            <w:bottom w:w="57" w:type="dxa"/>
            <w:right w:w="108" w:type="dxa"/>
          </w:tblCellMar>
        </w:tblPrEx>
        <w:trPr>
          <w:trHeight w:val="558" w:hRule="atLeast"/>
          <w:jc w:val="center"/>
        </w:trPr>
        <w:tc>
          <w:tcPr>
            <w:tcW w:w="8686"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r>
              <w:rPr>
                <w:rFonts w:hint="eastAsia" w:ascii="仿宋_GB2312" w:hAnsi="宋体" w:eastAsia="仿宋_GB2312" w:cs="宋体"/>
                <w:kern w:val="0"/>
                <w:sz w:val="24"/>
              </w:rPr>
              <w:t>备注：</w:t>
            </w:r>
          </w:p>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r>
              <w:rPr>
                <w:rFonts w:hint="eastAsia" w:ascii="仿宋_GB2312" w:hAnsi="宋体" w:eastAsia="仿宋_GB2312" w:cs="宋体"/>
                <w:kern w:val="0"/>
                <w:sz w:val="24"/>
              </w:rPr>
              <w:t xml:space="preserve">    1. 对于违反扣分清单第1条的教师，实行一票否决制，取消该教师任教资格，并按照《柳州职业技术学院工作事故认定及处理办法》进行相应的处罚。</w:t>
            </w:r>
          </w:p>
          <w:p>
            <w:pPr>
              <w:pageBreakBefore w:val="0"/>
              <w:widowControl/>
              <w:kinsoku/>
              <w:wordWrap/>
              <w:overflowPunct/>
              <w:topLinePunct w:val="0"/>
              <w:bidi w:val="0"/>
              <w:spacing w:line="360" w:lineRule="exact"/>
              <w:ind w:firstLine="480" w:firstLineChars="200"/>
              <w:jc w:val="left"/>
              <w:outlineLvl w:val="9"/>
              <w:rPr>
                <w:rFonts w:ascii="仿宋_GB2312" w:hAnsi="宋体" w:eastAsia="仿宋_GB2312" w:cs="宋体"/>
                <w:kern w:val="0"/>
                <w:sz w:val="24"/>
              </w:rPr>
            </w:pPr>
            <w:r>
              <w:rPr>
                <w:rFonts w:hint="eastAsia" w:ascii="仿宋_GB2312" w:hAnsi="宋体" w:eastAsia="仿宋_GB2312" w:cs="宋体"/>
                <w:kern w:val="0"/>
                <w:sz w:val="24"/>
              </w:rPr>
              <w:t>2.一学期内扣分分值超过3分，取消优质课、精品课推荐资格；</w:t>
            </w:r>
          </w:p>
          <w:p>
            <w:pPr>
              <w:pageBreakBefore w:val="0"/>
              <w:widowControl/>
              <w:kinsoku/>
              <w:wordWrap/>
              <w:overflowPunct/>
              <w:topLinePunct w:val="0"/>
              <w:bidi w:val="0"/>
              <w:spacing w:line="360" w:lineRule="exact"/>
              <w:ind w:firstLine="480" w:firstLineChars="200"/>
              <w:jc w:val="left"/>
              <w:outlineLvl w:val="9"/>
              <w:rPr>
                <w:rFonts w:ascii="仿宋_GB2312" w:hAnsi="宋体" w:eastAsia="仿宋_GB2312" w:cs="宋体"/>
                <w:kern w:val="0"/>
                <w:sz w:val="24"/>
              </w:rPr>
            </w:pPr>
            <w:r>
              <w:rPr>
                <w:rFonts w:hint="eastAsia" w:ascii="仿宋_GB2312" w:hAnsi="宋体" w:eastAsia="仿宋_GB2312" w:cs="宋体"/>
                <w:kern w:val="0"/>
                <w:sz w:val="24"/>
              </w:rPr>
              <w:t>3.一学期内扣分分值超过5分，由合格课降为不合格课，课酬按照相应的规定执行；</w:t>
            </w:r>
          </w:p>
          <w:p>
            <w:pPr>
              <w:pageBreakBefore w:val="0"/>
              <w:widowControl/>
              <w:kinsoku/>
              <w:wordWrap/>
              <w:overflowPunct/>
              <w:topLinePunct w:val="0"/>
              <w:bidi w:val="0"/>
              <w:spacing w:line="360" w:lineRule="exact"/>
              <w:ind w:firstLine="480" w:firstLineChars="200"/>
              <w:jc w:val="left"/>
              <w:outlineLvl w:val="9"/>
              <w:rPr>
                <w:rFonts w:ascii="仿宋_GB2312" w:hAnsi="宋体" w:eastAsia="仿宋_GB2312" w:cs="宋体"/>
                <w:kern w:val="0"/>
                <w:sz w:val="24"/>
              </w:rPr>
            </w:pPr>
            <w:r>
              <w:rPr>
                <w:rFonts w:hint="eastAsia" w:ascii="仿宋_GB2312" w:hAnsi="宋体" w:eastAsia="仿宋_GB2312" w:cs="宋体"/>
                <w:kern w:val="0"/>
                <w:sz w:val="24"/>
              </w:rPr>
              <w:t>4.对构成教学事故的同时按《柳州职业技术学院工作事故认定及处理办法》处理。</w:t>
            </w:r>
          </w:p>
        </w:tc>
      </w:tr>
      <w:tr>
        <w:tblPrEx>
          <w:tblLayout w:type="fixed"/>
          <w:tblCellMar>
            <w:top w:w="57" w:type="dxa"/>
            <w:left w:w="108" w:type="dxa"/>
            <w:bottom w:w="57" w:type="dxa"/>
            <w:right w:w="108" w:type="dxa"/>
          </w:tblCellMar>
        </w:tblPrEx>
        <w:trPr>
          <w:trHeight w:val="795" w:hRule="atLeast"/>
          <w:jc w:val="center"/>
        </w:trPr>
        <w:tc>
          <w:tcPr>
            <w:tcW w:w="8686"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r>
              <w:rPr>
                <w:rFonts w:hint="eastAsia" w:ascii="仿宋_GB2312" w:hAnsi="宋体" w:eastAsia="仿宋_GB2312" w:cs="宋体"/>
                <w:kern w:val="0"/>
                <w:sz w:val="24"/>
              </w:rPr>
              <w:t>实施扣分的主体为：教学督导、二级学院（部）教学质量监控小组成员、听课教师、学校教学质量监控小组成员和学生。</w:t>
            </w:r>
          </w:p>
        </w:tc>
      </w:tr>
      <w:tr>
        <w:tblPrEx>
          <w:tblLayout w:type="fixed"/>
          <w:tblCellMar>
            <w:top w:w="57" w:type="dxa"/>
            <w:left w:w="108" w:type="dxa"/>
            <w:bottom w:w="57" w:type="dxa"/>
            <w:right w:w="108" w:type="dxa"/>
          </w:tblCellMar>
        </w:tblPrEx>
        <w:trPr>
          <w:trHeight w:val="975" w:hRule="atLeast"/>
          <w:jc w:val="center"/>
        </w:trPr>
        <w:tc>
          <w:tcPr>
            <w:tcW w:w="8686"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pageBreakBefore w:val="0"/>
              <w:widowControl/>
              <w:kinsoku/>
              <w:wordWrap/>
              <w:overflowPunct/>
              <w:topLinePunct w:val="0"/>
              <w:bidi w:val="0"/>
              <w:spacing w:line="360" w:lineRule="exact"/>
              <w:jc w:val="left"/>
              <w:outlineLvl w:val="9"/>
              <w:rPr>
                <w:rFonts w:ascii="仿宋_GB2312" w:hAnsi="宋体" w:eastAsia="仿宋_GB2312" w:cs="宋体"/>
                <w:kern w:val="0"/>
                <w:sz w:val="24"/>
              </w:rPr>
            </w:pPr>
            <w:r>
              <w:rPr>
                <w:rFonts w:hint="eastAsia" w:ascii="仿宋_GB2312" w:hAnsi="宋体" w:eastAsia="仿宋_GB2312" w:cs="宋体"/>
                <w:kern w:val="0"/>
                <w:sz w:val="24"/>
              </w:rPr>
              <w:t>扣分操作流程：教学督导、听课教师或学生发现教师违规行为-反映到督导室-督导室及二级学院（部）核查事实—属实，则扣除相应的分值，由教学督导记录在案，并通知到教师本人；在接受到扣分罚单的5个工作日内，教师本人可以提出书面申诉，申诉成功则不扣分。</w:t>
            </w:r>
          </w:p>
        </w:tc>
      </w:tr>
    </w:tbl>
    <w:p>
      <w:pPr>
        <w:pageBreakBefore w:val="0"/>
        <w:kinsoku/>
        <w:wordWrap/>
        <w:overflowPunct/>
        <w:topLinePunct w:val="0"/>
        <w:bidi w:val="0"/>
        <w:ind w:firstLine="420" w:firstLineChars="200"/>
        <w:outlineLvl w:val="9"/>
        <w:rPr>
          <w:szCs w:val="28"/>
        </w:rPr>
      </w:pP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p>
    <w:p>
      <w:pPr>
        <w:pageBreakBefore w:val="0"/>
        <w:widowControl/>
        <w:kinsoku/>
        <w:wordWrap/>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61" w:name="_Toc534377799"/>
      <w:bookmarkStart w:id="462" w:name="_Toc14433"/>
      <w:bookmarkStart w:id="463" w:name="_Toc26575"/>
      <w:bookmarkStart w:id="464" w:name="_Toc23129"/>
      <w:r>
        <w:rPr>
          <w:rFonts w:hint="eastAsia" w:asciiTheme="minorEastAsia" w:hAnsiTheme="minorEastAsia" w:eastAsiaTheme="minorEastAsia" w:cstheme="minorEastAsia"/>
          <w:b/>
          <w:color w:val="000000"/>
          <w:kern w:val="0"/>
          <w:sz w:val="36"/>
          <w:szCs w:val="36"/>
        </w:rPr>
        <w:t>柳州职业技术学院</w:t>
      </w:r>
      <w:bookmarkEnd w:id="461"/>
      <w:bookmarkStart w:id="465" w:name="_Toc534377800"/>
      <w:r>
        <w:rPr>
          <w:rFonts w:hint="eastAsia" w:asciiTheme="minorEastAsia" w:hAnsiTheme="minorEastAsia" w:eastAsiaTheme="minorEastAsia" w:cstheme="minorEastAsia"/>
          <w:b/>
          <w:color w:val="000000"/>
          <w:kern w:val="0"/>
          <w:sz w:val="36"/>
          <w:szCs w:val="36"/>
        </w:rPr>
        <w:t>教师课堂教学工作规范(试行)</w:t>
      </w:r>
      <w:bookmarkEnd w:id="462"/>
      <w:bookmarkEnd w:id="463"/>
      <w:bookmarkEnd w:id="464"/>
      <w:bookmarkEnd w:id="465"/>
    </w:p>
    <w:p>
      <w:pPr>
        <w:pStyle w:val="14"/>
        <w:pageBreakBefore w:val="0"/>
        <w:kinsoku/>
        <w:wordWrap/>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（柳职院教字〔2017〕20号）</w:t>
      </w:r>
    </w:p>
    <w:p>
      <w:pPr>
        <w:pageBreakBefore w:val="0"/>
        <w:kinsoku/>
        <w:wordWrap/>
        <w:overflowPunct/>
        <w:topLinePunct w:val="0"/>
        <w:bidi w:val="0"/>
        <w:spacing w:line="580" w:lineRule="exact"/>
        <w:jc w:val="center"/>
        <w:outlineLvl w:val="9"/>
        <w:rPr>
          <w:rFonts w:ascii="仿宋_GB2312" w:eastAsia="仿宋_GB2312"/>
          <w:sz w:val="32"/>
          <w:szCs w:val="32"/>
        </w:rPr>
      </w:pPr>
    </w:p>
    <w:p>
      <w:pPr>
        <w:pageBreakBefore w:val="0"/>
        <w:kinsoku/>
        <w:wordWrap/>
        <w:overflowPunct/>
        <w:topLinePunct w:val="0"/>
        <w:bidi w:val="0"/>
        <w:spacing w:line="580" w:lineRule="exact"/>
        <w:jc w:val="center"/>
        <w:outlineLvl w:val="9"/>
        <w:rPr>
          <w:rFonts w:ascii="黑体" w:hAnsi="黑体" w:eastAsia="黑体"/>
          <w:b/>
          <w:sz w:val="36"/>
          <w:szCs w:val="36"/>
        </w:rPr>
      </w:pPr>
      <w:r>
        <w:rPr>
          <w:rFonts w:ascii="黑体" w:hAnsi="黑体" w:eastAsia="黑体"/>
          <w:b/>
          <w:sz w:val="32"/>
          <w:szCs w:val="32"/>
        </w:rPr>
        <w:t xml:space="preserve">第一章 </w:t>
      </w:r>
      <w:r>
        <w:rPr>
          <w:rFonts w:hint="eastAsia" w:ascii="黑体" w:hAnsi="黑体" w:eastAsia="黑体"/>
          <w:b/>
          <w:sz w:val="32"/>
          <w:szCs w:val="32"/>
        </w:rPr>
        <w:t xml:space="preserve"> </w:t>
      </w:r>
      <w:r>
        <w:rPr>
          <w:rFonts w:ascii="黑体" w:hAnsi="黑体" w:eastAsia="黑体"/>
          <w:b/>
          <w:sz w:val="32"/>
          <w:szCs w:val="32"/>
        </w:rPr>
        <w:t>总 则</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第一条</w:t>
      </w:r>
      <w:r>
        <w:rPr>
          <w:rFonts w:hint="eastAsia" w:ascii="仿宋_GB2312" w:eastAsia="仿宋_GB2312"/>
          <w:sz w:val="32"/>
          <w:szCs w:val="32"/>
        </w:rPr>
        <w:t xml:space="preserve">  </w:t>
      </w:r>
      <w:r>
        <w:rPr>
          <w:rFonts w:ascii="仿宋_GB2312" w:eastAsia="仿宋_GB2312"/>
          <w:sz w:val="32"/>
          <w:szCs w:val="32"/>
        </w:rPr>
        <w:t>为适应高等教育改革与发展的需要，深化教学改革，加强教风建设，认真做好教书育人工作，确保正常的教学秩序，提高教学质量，依据《中华人民共和国教育法》、《中华人民共和国教师法》和《中华人民共和国高等教育法》以及其他现行教学规章制度，特制订本规范。</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第二条</w:t>
      </w:r>
      <w:r>
        <w:rPr>
          <w:rFonts w:hint="eastAsia" w:ascii="仿宋_GB2312" w:eastAsia="仿宋_GB2312"/>
          <w:sz w:val="32"/>
          <w:szCs w:val="32"/>
        </w:rPr>
        <w:t xml:space="preserve">  本规范适用于学校所有任课教师（包含行政兼课教师、外聘教师）的课堂教学行为。</w:t>
      </w:r>
    </w:p>
    <w:p>
      <w:pPr>
        <w:pageBreakBefore w:val="0"/>
        <w:kinsoku/>
        <w:wordWrap/>
        <w:overflowPunct/>
        <w:topLinePunct w:val="0"/>
        <w:bidi w:val="0"/>
        <w:spacing w:line="580" w:lineRule="exact"/>
        <w:jc w:val="center"/>
        <w:outlineLvl w:val="9"/>
        <w:rPr>
          <w:rFonts w:ascii="黑体" w:hAnsi="黑体" w:eastAsia="黑体"/>
          <w:b/>
          <w:sz w:val="32"/>
          <w:szCs w:val="32"/>
        </w:rPr>
      </w:pPr>
      <w:r>
        <w:rPr>
          <w:rFonts w:ascii="黑体" w:hAnsi="黑体" w:eastAsia="黑体"/>
          <w:b/>
          <w:sz w:val="32"/>
          <w:szCs w:val="32"/>
        </w:rPr>
        <w:t>第二章 教学工作基本要求</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第三条</w:t>
      </w:r>
      <w:r>
        <w:rPr>
          <w:rFonts w:ascii="仿宋_GB2312" w:eastAsia="仿宋_GB2312"/>
          <w:sz w:val="32"/>
          <w:szCs w:val="32"/>
        </w:rPr>
        <w:t xml:space="preserve"> </w:t>
      </w:r>
      <w:r>
        <w:rPr>
          <w:rFonts w:hint="eastAsia" w:ascii="仿宋_GB2312" w:eastAsia="仿宋_GB2312"/>
          <w:sz w:val="32"/>
          <w:szCs w:val="32"/>
        </w:rPr>
        <w:t xml:space="preserve"> </w:t>
      </w:r>
      <w:r>
        <w:rPr>
          <w:rFonts w:ascii="仿宋_GB2312" w:eastAsia="仿宋_GB2312"/>
          <w:sz w:val="32"/>
          <w:szCs w:val="32"/>
        </w:rPr>
        <w:t>教师应履行教书育人的职责，坚持四项基本原则，贯彻党的教育方针，以对社会、学生高度负责的精神履行教师职责，对学生的思想道德素质、科学文化素质、身体心理素质等方面进行全面培养，寓教育于教学活动之中。</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第四条</w:t>
      </w:r>
      <w:r>
        <w:rPr>
          <w:rFonts w:ascii="仿宋_GB2312" w:eastAsia="仿宋_GB2312"/>
          <w:sz w:val="32"/>
          <w:szCs w:val="32"/>
        </w:rPr>
        <w:t xml:space="preserve"> </w:t>
      </w:r>
      <w:r>
        <w:rPr>
          <w:rFonts w:hint="eastAsia" w:ascii="仿宋_GB2312" w:eastAsia="仿宋_GB2312"/>
          <w:sz w:val="32"/>
          <w:szCs w:val="32"/>
        </w:rPr>
        <w:t xml:space="preserve"> </w:t>
      </w:r>
      <w:r>
        <w:rPr>
          <w:rFonts w:ascii="仿宋_GB2312" w:eastAsia="仿宋_GB2312"/>
          <w:sz w:val="32"/>
          <w:szCs w:val="32"/>
        </w:rPr>
        <w:t>教师应遵循教育教学规律，系统掌握本</w:t>
      </w:r>
      <w:r>
        <w:rPr>
          <w:rFonts w:hint="eastAsia" w:ascii="仿宋_GB2312" w:eastAsia="仿宋_GB2312"/>
          <w:sz w:val="32"/>
          <w:szCs w:val="32"/>
        </w:rPr>
        <w:t>专业</w:t>
      </w:r>
      <w:r>
        <w:rPr>
          <w:rFonts w:ascii="仿宋_GB2312" w:eastAsia="仿宋_GB2312"/>
          <w:sz w:val="32"/>
          <w:szCs w:val="32"/>
        </w:rPr>
        <w:t>的基本理论、基本知识和基本技能和相关</w:t>
      </w:r>
      <w:r>
        <w:rPr>
          <w:rFonts w:hint="eastAsia" w:ascii="仿宋_GB2312" w:eastAsia="仿宋_GB2312"/>
          <w:sz w:val="32"/>
          <w:szCs w:val="32"/>
        </w:rPr>
        <w:t>专业</w:t>
      </w:r>
      <w:r>
        <w:rPr>
          <w:rFonts w:ascii="仿宋_GB2312" w:eastAsia="仿宋_GB2312"/>
          <w:sz w:val="32"/>
          <w:szCs w:val="32"/>
        </w:rPr>
        <w:t>知识，不断积累和总结教学经验，结合教学工作实际，积极开展教育教学研究与改革，改进教学方法和手段，不断创新，努力提高</w:t>
      </w:r>
      <w:r>
        <w:rPr>
          <w:rFonts w:hint="eastAsia" w:ascii="仿宋_GB2312" w:eastAsia="仿宋_GB2312"/>
          <w:sz w:val="32"/>
          <w:szCs w:val="32"/>
        </w:rPr>
        <w:t>教学</w:t>
      </w:r>
      <w:r>
        <w:rPr>
          <w:rFonts w:ascii="仿宋_GB2312" w:eastAsia="仿宋_GB2312"/>
          <w:sz w:val="32"/>
          <w:szCs w:val="32"/>
        </w:rPr>
        <w:t>水平和教学质量。</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第五条</w:t>
      </w:r>
      <w:r>
        <w:rPr>
          <w:rFonts w:ascii="仿宋_GB2312" w:eastAsia="仿宋_GB2312"/>
          <w:sz w:val="32"/>
          <w:szCs w:val="32"/>
        </w:rPr>
        <w:t xml:space="preserve"> </w:t>
      </w:r>
      <w:r>
        <w:rPr>
          <w:rFonts w:hint="eastAsia" w:ascii="仿宋_GB2312" w:eastAsia="仿宋_GB2312"/>
          <w:sz w:val="32"/>
          <w:szCs w:val="32"/>
        </w:rPr>
        <w:t xml:space="preserve"> </w:t>
      </w:r>
      <w:r>
        <w:rPr>
          <w:rFonts w:ascii="仿宋_GB2312" w:eastAsia="仿宋_GB2312"/>
          <w:sz w:val="32"/>
          <w:szCs w:val="32"/>
        </w:rPr>
        <w:t>教师</w:t>
      </w:r>
      <w:r>
        <w:rPr>
          <w:rFonts w:hint="eastAsia" w:ascii="仿宋_GB2312" w:eastAsia="仿宋_GB2312"/>
          <w:sz w:val="32"/>
          <w:szCs w:val="32"/>
        </w:rPr>
        <w:t>应按照《教师课堂教学行为规范及扣分清单》管理办法中的教学行为规范开展教学，</w:t>
      </w:r>
      <w:r>
        <w:rPr>
          <w:rFonts w:ascii="仿宋_GB2312" w:eastAsia="仿宋_GB2312"/>
          <w:sz w:val="32"/>
          <w:szCs w:val="32"/>
        </w:rPr>
        <w:t>要严格维护课堂教学秩序</w:t>
      </w:r>
      <w:r>
        <w:rPr>
          <w:rFonts w:hint="eastAsia" w:ascii="仿宋_GB2312" w:eastAsia="仿宋_GB2312"/>
          <w:sz w:val="32"/>
          <w:szCs w:val="32"/>
        </w:rPr>
        <w:t>，所有教育教学活动都不得出现违背党和国家大政方针、违背宪法法律、危害国家安全、破坏民族团结等言行，尤其不得在课堂传播对社会安全稳定造成不良影响的言论，做到“身正为师,行为示范”</w:t>
      </w:r>
      <w:r>
        <w:rPr>
          <w:rFonts w:ascii="仿宋_GB2312" w:eastAsia="仿宋_GB2312"/>
          <w:sz w:val="32"/>
          <w:szCs w:val="32"/>
        </w:rPr>
        <w:t>。</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第六条</w:t>
      </w:r>
      <w:r>
        <w:rPr>
          <w:rFonts w:hint="eastAsia" w:ascii="仿宋_GB2312" w:eastAsia="仿宋_GB2312"/>
          <w:sz w:val="32"/>
          <w:szCs w:val="32"/>
        </w:rPr>
        <w:t xml:space="preserve">  </w:t>
      </w:r>
      <w:r>
        <w:rPr>
          <w:rFonts w:ascii="仿宋_GB2312" w:eastAsia="仿宋_GB2312"/>
          <w:sz w:val="32"/>
          <w:szCs w:val="32"/>
        </w:rPr>
        <w:t>教师应</w:t>
      </w:r>
      <w:r>
        <w:rPr>
          <w:rFonts w:hint="eastAsia" w:ascii="仿宋_GB2312" w:eastAsia="仿宋_GB2312"/>
          <w:sz w:val="32"/>
          <w:szCs w:val="32"/>
        </w:rPr>
        <w:t>牢固树立育人为本的教育理念，关注学生的思想动态，将专业教育与思想政治教育紧密结合，主动与学生管理人员或部门反馈学生学习情况。</w:t>
      </w:r>
    </w:p>
    <w:p>
      <w:pPr>
        <w:pageBreakBefore w:val="0"/>
        <w:kinsoku/>
        <w:wordWrap/>
        <w:overflowPunct/>
        <w:topLinePunct w:val="0"/>
        <w:bidi w:val="0"/>
        <w:spacing w:line="580" w:lineRule="exact"/>
        <w:jc w:val="center"/>
        <w:outlineLvl w:val="9"/>
        <w:rPr>
          <w:rFonts w:ascii="黑体" w:hAnsi="黑体" w:eastAsia="黑体"/>
          <w:b/>
          <w:sz w:val="32"/>
          <w:szCs w:val="32"/>
        </w:rPr>
      </w:pPr>
      <w:r>
        <w:rPr>
          <w:rFonts w:hint="eastAsia" w:ascii="黑体" w:hAnsi="黑体" w:eastAsia="黑体"/>
          <w:b/>
          <w:sz w:val="32"/>
          <w:szCs w:val="32"/>
        </w:rPr>
        <w:t>第三章  教师任教资格</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第七条</w:t>
      </w:r>
      <w:r>
        <w:rPr>
          <w:rFonts w:hint="eastAsia" w:ascii="仿宋_GB2312" w:eastAsia="仿宋_GB2312"/>
          <w:sz w:val="32"/>
          <w:szCs w:val="32"/>
        </w:rPr>
        <w:t xml:space="preserve">   教师基本资格</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1.任教教师应</w:t>
      </w:r>
      <w:r>
        <w:rPr>
          <w:rFonts w:ascii="仿宋_GB2312" w:eastAsia="仿宋_GB2312"/>
          <w:sz w:val="32"/>
          <w:szCs w:val="32"/>
        </w:rPr>
        <w:t>符合《中华人民共和国教师法》和《教师资格条例》有关规定，</w:t>
      </w:r>
      <w:r>
        <w:rPr>
          <w:rFonts w:hint="eastAsia" w:ascii="仿宋_GB2312" w:eastAsia="仿宋_GB2312"/>
          <w:sz w:val="32"/>
          <w:szCs w:val="32"/>
        </w:rPr>
        <w:t>原则上都应</w:t>
      </w:r>
      <w:r>
        <w:rPr>
          <w:rFonts w:ascii="仿宋_GB2312" w:eastAsia="仿宋_GB2312"/>
          <w:sz w:val="32"/>
          <w:szCs w:val="32"/>
        </w:rPr>
        <w:t>具有高校教师资格证书。</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2.实践指导教师应具有执教相应专业或者工种的职业资格证书，具有一定的实践工作能力。</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 xml:space="preserve">3.外聘教师（含校外兼课教师+兼职教师）须经过学校人事处认定。 </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4.新教师（指从高等院校毕业的应届或历届毕业生，从行业企业经招聘进入学校的、无教学或培训经验的教师）须通过人事处、教务与实训管理处、教职工发展中心、二级学院共同组织的思想政治素质考核和教学能力考核后，才能取得课程主讲资格。</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八</w:t>
      </w:r>
      <w:r>
        <w:rPr>
          <w:rFonts w:ascii="仿宋_GB2312" w:eastAsia="仿宋_GB2312"/>
          <w:b/>
          <w:sz w:val="32"/>
          <w:szCs w:val="32"/>
        </w:rPr>
        <w:t>条</w:t>
      </w:r>
      <w:r>
        <w:rPr>
          <w:rFonts w:ascii="仿宋_GB2312" w:eastAsia="仿宋_GB2312"/>
          <w:sz w:val="32"/>
          <w:szCs w:val="32"/>
        </w:rPr>
        <w:t xml:space="preserve">  凡属下列情况之一者，不得担任课程授课教师：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1.违背党和国家方针政策，违反四项基本原则，信奉和传播邪教者；</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2.未经岗前培训或岗前培训考核不合格者；</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3.经教学检查，对已开课程（或实践教学）连续二年以上教学效果差，学生意见大又无切实改进者。</w:t>
      </w:r>
    </w:p>
    <w:p>
      <w:pPr>
        <w:pageBreakBefore w:val="0"/>
        <w:kinsoku/>
        <w:wordWrap/>
        <w:overflowPunct/>
        <w:topLinePunct w:val="0"/>
        <w:bidi w:val="0"/>
        <w:spacing w:line="580" w:lineRule="exact"/>
        <w:jc w:val="center"/>
        <w:outlineLvl w:val="9"/>
        <w:rPr>
          <w:rFonts w:ascii="黑体" w:hAnsi="黑体" w:eastAsia="黑体"/>
          <w:b/>
          <w:sz w:val="32"/>
          <w:szCs w:val="32"/>
        </w:rPr>
      </w:pPr>
      <w:r>
        <w:rPr>
          <w:rFonts w:hint="eastAsia" w:ascii="黑体" w:hAnsi="黑体" w:eastAsia="黑体"/>
          <w:b/>
          <w:sz w:val="32"/>
          <w:szCs w:val="32"/>
        </w:rPr>
        <w:t>第四章  课程教学工作</w:t>
      </w:r>
    </w:p>
    <w:p>
      <w:pPr>
        <w:pageBreakBefore w:val="0"/>
        <w:kinsoku/>
        <w:wordWrap/>
        <w:overflowPunct/>
        <w:topLinePunct w:val="0"/>
        <w:bidi w:val="0"/>
        <w:spacing w:line="580" w:lineRule="exact"/>
        <w:jc w:val="center"/>
        <w:outlineLvl w:val="9"/>
        <w:rPr>
          <w:rFonts w:ascii="楷体" w:hAnsi="楷体" w:eastAsia="楷体"/>
          <w:b/>
          <w:sz w:val="32"/>
          <w:szCs w:val="32"/>
        </w:rPr>
      </w:pPr>
      <w:r>
        <w:rPr>
          <w:rFonts w:ascii="楷体" w:hAnsi="楷体" w:eastAsia="楷体"/>
          <w:b/>
          <w:sz w:val="32"/>
          <w:szCs w:val="32"/>
        </w:rPr>
        <w:t xml:space="preserve">第一节 </w:t>
      </w:r>
      <w:r>
        <w:rPr>
          <w:rFonts w:hint="eastAsia" w:ascii="楷体" w:hAnsi="楷体" w:eastAsia="楷体"/>
          <w:b/>
          <w:sz w:val="32"/>
          <w:szCs w:val="32"/>
        </w:rPr>
        <w:t xml:space="preserve"> 教学准备</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九</w:t>
      </w:r>
      <w:r>
        <w:rPr>
          <w:rFonts w:ascii="仿宋_GB2312" w:eastAsia="仿宋_GB2312"/>
          <w:b/>
          <w:sz w:val="32"/>
          <w:szCs w:val="32"/>
        </w:rPr>
        <w:t>条</w:t>
      </w:r>
      <w:r>
        <w:rPr>
          <w:rFonts w:hint="eastAsia" w:ascii="仿宋_GB2312" w:eastAsia="仿宋_GB2312"/>
          <w:sz w:val="32"/>
          <w:szCs w:val="32"/>
        </w:rPr>
        <w:t xml:space="preserve">  任课教师接到教学任务，应按照教学任务书、根据任教专业人才培养方案和课程标准的要求，选择教学内容，安排教学进度，编写教案，做好教学准备。</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第十条</w:t>
      </w:r>
      <w:r>
        <w:rPr>
          <w:rFonts w:hint="eastAsia" w:ascii="仿宋_GB2312" w:eastAsia="仿宋_GB2312"/>
          <w:sz w:val="32"/>
          <w:szCs w:val="32"/>
        </w:rPr>
        <w:t xml:space="preserve">  备课时应熟悉所任教专业的人才培养方案和任教课程的课程标准，应根据学生所学专业的课程设置，已开课程、相关课程等具体情况，处理好本课程在专业课程体系中的位置、作用以及与其他课程的关系。</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第十一条</w:t>
      </w:r>
      <w:r>
        <w:rPr>
          <w:rFonts w:hint="eastAsia" w:ascii="仿宋_GB2312" w:eastAsia="仿宋_GB2312"/>
          <w:sz w:val="32"/>
          <w:szCs w:val="32"/>
        </w:rPr>
        <w:t xml:space="preserve">  教师应当在授课前认真钻研教材和教学参考资料，依据课程标准，选择适宜的教学内容和教学载体，明确教学目标、教学重难点和教学要求，编排整门课程的教学内容，根据专业的特点和行业企业的要求，设计符合学生职业发展的教学项目、任务，合理安排教学时数，编写教学进度表。</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第十二条</w:t>
      </w:r>
      <w:r>
        <w:rPr>
          <w:rFonts w:hint="eastAsia" w:ascii="仿宋_GB2312" w:eastAsia="仿宋_GB2312"/>
          <w:sz w:val="32"/>
          <w:szCs w:val="32"/>
        </w:rPr>
        <w:t xml:space="preserve">  </w:t>
      </w:r>
      <w:r>
        <w:rPr>
          <w:rFonts w:ascii="仿宋_GB2312" w:eastAsia="仿宋_GB2312"/>
          <w:sz w:val="32"/>
          <w:szCs w:val="32"/>
        </w:rPr>
        <w:t>不论何种授课形式，授课教师课前须编写所承担课程</w:t>
      </w:r>
      <w:r>
        <w:rPr>
          <w:rFonts w:hint="eastAsia" w:ascii="仿宋_GB2312" w:eastAsia="仿宋_GB2312"/>
          <w:sz w:val="32"/>
          <w:szCs w:val="32"/>
        </w:rPr>
        <w:t>教学</w:t>
      </w:r>
      <w:r>
        <w:rPr>
          <w:rFonts w:ascii="仿宋_GB2312" w:eastAsia="仿宋_GB2312"/>
          <w:sz w:val="32"/>
          <w:szCs w:val="32"/>
        </w:rPr>
        <w:t>的教案，同一课程的教案应针对不同专业、不同层次授课对象的教学要求有所区别</w:t>
      </w:r>
      <w:r>
        <w:rPr>
          <w:rFonts w:hint="eastAsia" w:ascii="仿宋_GB2312" w:eastAsia="仿宋_GB2312"/>
          <w:sz w:val="32"/>
          <w:szCs w:val="32"/>
        </w:rPr>
        <w:t>。教师在</w:t>
      </w:r>
      <w:r>
        <w:rPr>
          <w:rFonts w:ascii="仿宋_GB2312" w:eastAsia="仿宋_GB2312"/>
          <w:sz w:val="32"/>
          <w:szCs w:val="32"/>
        </w:rPr>
        <w:t>每讲授一次课之后应及时对教案进行修改和补充，做到教案常备常新。</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1.教案编写要根据课程标准的要求，明确每个单元、每次课的教学目标，明确学习内容及能力要求。</w:t>
      </w:r>
      <w:r>
        <w:rPr>
          <w:rFonts w:ascii="仿宋_GB2312" w:eastAsia="仿宋_GB2312"/>
          <w:sz w:val="32"/>
          <w:szCs w:val="32"/>
        </w:rPr>
        <w:t>要处理好应该教什么和学什么（目标），如何教和如何学（策略），教得怎样和学得怎样（评价）的关系。注重学生</w:t>
      </w:r>
      <w:r>
        <w:rPr>
          <w:rFonts w:hint="eastAsia" w:ascii="仿宋_GB2312" w:eastAsia="仿宋_GB2312"/>
          <w:sz w:val="32"/>
          <w:szCs w:val="32"/>
        </w:rPr>
        <w:t>职业素养、</w:t>
      </w:r>
      <w:r>
        <w:rPr>
          <w:rFonts w:ascii="仿宋_GB2312" w:eastAsia="仿宋_GB2312"/>
          <w:sz w:val="32"/>
          <w:szCs w:val="32"/>
        </w:rPr>
        <w:t>创新精神和实践能力的培养</w:t>
      </w:r>
      <w:r>
        <w:rPr>
          <w:rFonts w:hint="eastAsia" w:ascii="仿宋_GB2312" w:eastAsia="仿宋_GB2312"/>
          <w:sz w:val="32"/>
          <w:szCs w:val="32"/>
        </w:rPr>
        <w:t>，教案编写要合理组织教学材料，不断补充专业新成果和新内容。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2.教案要面向不同类型、不同能力层次的学生，设计有不同难度、不同等级的教学任务，注意培养优秀生和促进后进生，使全体学生都得到发展。</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教案编写</w:t>
      </w:r>
      <w:r>
        <w:rPr>
          <w:rFonts w:hint="eastAsia" w:ascii="仿宋_GB2312" w:eastAsia="仿宋_GB2312"/>
          <w:sz w:val="32"/>
          <w:szCs w:val="32"/>
        </w:rPr>
        <w:t>应</w:t>
      </w:r>
      <w:r>
        <w:rPr>
          <w:rFonts w:ascii="仿宋_GB2312" w:eastAsia="仿宋_GB2312"/>
          <w:sz w:val="32"/>
          <w:szCs w:val="32"/>
        </w:rPr>
        <w:t>以课程</w:t>
      </w:r>
      <w:r>
        <w:rPr>
          <w:rFonts w:hint="eastAsia" w:ascii="仿宋_GB2312" w:eastAsia="仿宋_GB2312"/>
          <w:sz w:val="32"/>
          <w:szCs w:val="32"/>
        </w:rPr>
        <w:t>标准</w:t>
      </w:r>
      <w:r>
        <w:rPr>
          <w:rFonts w:ascii="仿宋_GB2312" w:eastAsia="仿宋_GB2312"/>
          <w:sz w:val="32"/>
          <w:szCs w:val="32"/>
        </w:rPr>
        <w:t>的学时分配为基础，在</w:t>
      </w:r>
      <w:r>
        <w:rPr>
          <w:rFonts w:hint="eastAsia" w:ascii="仿宋_GB2312" w:eastAsia="仿宋_GB2312"/>
          <w:sz w:val="32"/>
          <w:szCs w:val="32"/>
        </w:rPr>
        <w:t>课题</w:t>
      </w:r>
      <w:r>
        <w:rPr>
          <w:rFonts w:ascii="仿宋_GB2312" w:eastAsia="仿宋_GB2312"/>
          <w:sz w:val="32"/>
          <w:szCs w:val="32"/>
        </w:rPr>
        <w:t>表述、学时安排、授课内容等方面应与《教学进度表》一致。</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第十三条</w:t>
      </w:r>
      <w:r>
        <w:rPr>
          <w:rFonts w:hint="eastAsia" w:ascii="仿宋_GB2312" w:eastAsia="仿宋_GB2312"/>
          <w:sz w:val="32"/>
          <w:szCs w:val="32"/>
        </w:rPr>
        <w:t xml:space="preserve">  教师在授课前，应提前熟悉多媒体教室、机房、实训室等教学场所及相关教学设备的使用。并根据教学的需要布置好适合学生学习的环境，提前准备好教学所需的多媒体课件、虚拟仿真软件、模型、实物等。</w:t>
      </w:r>
    </w:p>
    <w:p>
      <w:pPr>
        <w:pageBreakBefore w:val="0"/>
        <w:kinsoku/>
        <w:wordWrap/>
        <w:overflowPunct/>
        <w:topLinePunct w:val="0"/>
        <w:bidi w:val="0"/>
        <w:spacing w:line="580" w:lineRule="exact"/>
        <w:jc w:val="center"/>
        <w:outlineLvl w:val="9"/>
        <w:rPr>
          <w:rFonts w:ascii="楷体" w:hAnsi="楷体" w:eastAsia="楷体"/>
          <w:b/>
          <w:sz w:val="32"/>
          <w:szCs w:val="32"/>
        </w:rPr>
      </w:pPr>
      <w:r>
        <w:rPr>
          <w:rFonts w:ascii="楷体" w:hAnsi="楷体" w:eastAsia="楷体"/>
          <w:b/>
          <w:sz w:val="32"/>
          <w:szCs w:val="32"/>
        </w:rPr>
        <w:t>第</w:t>
      </w:r>
      <w:r>
        <w:rPr>
          <w:rFonts w:hint="eastAsia" w:ascii="楷体" w:hAnsi="楷体" w:eastAsia="楷体"/>
          <w:b/>
          <w:sz w:val="32"/>
          <w:szCs w:val="32"/>
        </w:rPr>
        <w:t>二</w:t>
      </w:r>
      <w:r>
        <w:rPr>
          <w:rFonts w:ascii="楷体" w:hAnsi="楷体" w:eastAsia="楷体"/>
          <w:b/>
          <w:sz w:val="32"/>
          <w:szCs w:val="32"/>
        </w:rPr>
        <w:t xml:space="preserve">节 </w:t>
      </w:r>
      <w:r>
        <w:rPr>
          <w:rFonts w:hint="eastAsia" w:ascii="楷体" w:hAnsi="楷体" w:eastAsia="楷体"/>
          <w:b/>
          <w:sz w:val="32"/>
          <w:szCs w:val="32"/>
        </w:rPr>
        <w:t xml:space="preserve"> 课堂教学</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十四</w:t>
      </w:r>
      <w:r>
        <w:rPr>
          <w:rFonts w:ascii="仿宋_GB2312" w:eastAsia="仿宋_GB2312"/>
          <w:b/>
          <w:sz w:val="32"/>
          <w:szCs w:val="32"/>
        </w:rPr>
        <w:t xml:space="preserve">条 </w:t>
      </w:r>
      <w:r>
        <w:rPr>
          <w:rFonts w:hint="eastAsia" w:ascii="仿宋_GB2312" w:eastAsia="仿宋_GB2312"/>
          <w:sz w:val="32"/>
          <w:szCs w:val="32"/>
        </w:rPr>
        <w:t xml:space="preserve"> 授课教师应以高度的责任感，饱满的精神状态，认真对待每一堂课。讲课应富有热情，语言简炼、生动、具有感染力。</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第十五条</w:t>
      </w:r>
      <w:r>
        <w:rPr>
          <w:rFonts w:hint="eastAsia" w:ascii="仿宋_GB2312" w:eastAsia="仿宋_GB2312"/>
          <w:sz w:val="32"/>
          <w:szCs w:val="32"/>
        </w:rPr>
        <w:t xml:space="preserve">  在第一次课的教学中，教师应以适当方式作自我介绍，增进师生了解；扼要介绍课程在专业中的定位和作用、教学进度安排、学习要求，以及考核方式等整体情况，使学生对学习本课程有较全面、准确的了解。</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第十六条 </w:t>
      </w:r>
      <w:r>
        <w:rPr>
          <w:rFonts w:hint="eastAsia" w:ascii="仿宋_GB2312" w:eastAsia="仿宋_GB2312"/>
          <w:sz w:val="32"/>
          <w:szCs w:val="32"/>
        </w:rPr>
        <w:t xml:space="preserve"> 教师上课前应明确教学目标，要做到教学目标具体、明确、可检验，符合课程标准的目标要求，并使学生明确学习目标。</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第十七条</w:t>
      </w:r>
      <w:r>
        <w:rPr>
          <w:rFonts w:hint="eastAsia" w:ascii="仿宋_GB2312" w:eastAsia="仿宋_GB2312"/>
          <w:sz w:val="32"/>
          <w:szCs w:val="32"/>
        </w:rPr>
        <w:t xml:space="preserve">  教师应能够根据教学目标、专业特点、课程性质、学生情况和行业要求，选取教学内容，难易程度适中；能够与实际工作和学生经验紧密联系，科学设计学习任务；注重学生的职业生涯发展。</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第十八条</w:t>
      </w:r>
      <w:r>
        <w:rPr>
          <w:rFonts w:hint="eastAsia" w:ascii="仿宋_GB2312" w:eastAsia="仿宋_GB2312"/>
          <w:sz w:val="32"/>
          <w:szCs w:val="32"/>
        </w:rPr>
        <w:t xml:space="preserve">  教学过程中，教学组织方式灵活，能根据课堂的实际情况作出灵活调整；时间分配合理，各环节的衔接紧凑；能够灵活运用各种教学方法，引导学生积极思考、乐于实践，调动学生主动学习和参与教学的积极性；教学过程中渗透核心能力培养，突出专业技能训练和职业素养养成，注重对学生应用能力的培养，注重对学生分析问题、解决问题的能力及创新能力的培养, 启发学生的创新思维，引导学生融会贯通，切忌照本宣科、罗列堆砌、平铺直叙和满堂灌。</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第十九条 </w:t>
      </w:r>
      <w:r>
        <w:rPr>
          <w:rFonts w:hint="eastAsia" w:ascii="仿宋_GB2312" w:eastAsia="仿宋_GB2312"/>
          <w:sz w:val="32"/>
          <w:szCs w:val="32"/>
        </w:rPr>
        <w:t xml:space="preserve"> 适应现代信息技术发展的要求，灵活选择与运用恰当的教学媒体和学习资源，加强信息技术手段与课程教学的有机结合，提高教学效率。</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第二十条 </w:t>
      </w:r>
      <w:r>
        <w:rPr>
          <w:rFonts w:hint="eastAsia" w:ascii="仿宋_GB2312" w:eastAsia="仿宋_GB2312"/>
          <w:sz w:val="32"/>
          <w:szCs w:val="32"/>
        </w:rPr>
        <w:t xml:space="preserve"> 在课程讲授结束后，教师应针对教学目标以调查问卷、测试、作业、问答等多种形式，对教学效果进行评价，并及时反馈给学生，以进一步改进教学。</w:t>
      </w:r>
    </w:p>
    <w:p>
      <w:pPr>
        <w:pageBreakBefore w:val="0"/>
        <w:kinsoku/>
        <w:wordWrap/>
        <w:overflowPunct/>
        <w:topLinePunct w:val="0"/>
        <w:bidi w:val="0"/>
        <w:spacing w:line="580" w:lineRule="exact"/>
        <w:jc w:val="center"/>
        <w:outlineLvl w:val="9"/>
        <w:rPr>
          <w:rFonts w:ascii="楷体" w:hAnsi="楷体" w:eastAsia="楷体"/>
          <w:b/>
          <w:sz w:val="32"/>
          <w:szCs w:val="32"/>
        </w:rPr>
      </w:pPr>
      <w:r>
        <w:rPr>
          <w:rFonts w:ascii="楷体" w:hAnsi="楷体" w:eastAsia="楷体"/>
          <w:b/>
          <w:sz w:val="32"/>
          <w:szCs w:val="32"/>
        </w:rPr>
        <w:t>第</w:t>
      </w:r>
      <w:r>
        <w:rPr>
          <w:rFonts w:hint="eastAsia" w:ascii="楷体" w:hAnsi="楷体" w:eastAsia="楷体"/>
          <w:b/>
          <w:sz w:val="32"/>
          <w:szCs w:val="32"/>
        </w:rPr>
        <w:t>三</w:t>
      </w:r>
      <w:r>
        <w:rPr>
          <w:rFonts w:ascii="楷体" w:hAnsi="楷体" w:eastAsia="楷体"/>
          <w:b/>
          <w:sz w:val="32"/>
          <w:szCs w:val="32"/>
        </w:rPr>
        <w:t xml:space="preserve">节 </w:t>
      </w:r>
      <w:r>
        <w:rPr>
          <w:rFonts w:hint="eastAsia" w:ascii="楷体" w:hAnsi="楷体" w:eastAsia="楷体"/>
          <w:b/>
          <w:sz w:val="32"/>
          <w:szCs w:val="32"/>
        </w:rPr>
        <w:t xml:space="preserve"> 课程考核与反思</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第二十一条</w:t>
      </w:r>
      <w:r>
        <w:rPr>
          <w:rFonts w:ascii="仿宋_GB2312" w:eastAsia="仿宋_GB2312"/>
          <w:sz w:val="32"/>
          <w:szCs w:val="32"/>
        </w:rPr>
        <w:t xml:space="preserve">  </w:t>
      </w:r>
      <w:r>
        <w:rPr>
          <w:rFonts w:hint="eastAsia" w:ascii="仿宋_GB2312" w:eastAsia="仿宋_GB2312"/>
          <w:sz w:val="32"/>
          <w:szCs w:val="32"/>
        </w:rPr>
        <w:t>课程考核是重要的教学环节，通过考核，促使学生对课程内容进行全面、系统的复习、巩固。同时检查教学效果，了解学生的学习情况，为进一步改善教学工作提供参考。</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第二十二条</w:t>
      </w:r>
      <w:r>
        <w:rPr>
          <w:rFonts w:ascii="仿宋_GB2312" w:eastAsia="仿宋_GB2312"/>
          <w:sz w:val="32"/>
          <w:szCs w:val="32"/>
        </w:rPr>
        <w:t xml:space="preserve">  </w:t>
      </w:r>
      <w:r>
        <w:rPr>
          <w:rFonts w:hint="eastAsia" w:ascii="仿宋_GB2312" w:eastAsia="仿宋_GB2312"/>
          <w:sz w:val="32"/>
          <w:szCs w:val="32"/>
        </w:rPr>
        <w:t>凡人才培养方案中规定的课程，都必须进行考核。考核可采取笔试（闭卷、开卷）、口试、机试、大作业、实践等形式。</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第二十三条</w:t>
      </w:r>
      <w:r>
        <w:rPr>
          <w:rFonts w:ascii="仿宋_GB2312" w:eastAsia="仿宋_GB2312"/>
          <w:sz w:val="32"/>
          <w:szCs w:val="32"/>
        </w:rPr>
        <w:t xml:space="preserve">  </w:t>
      </w:r>
      <w:r>
        <w:rPr>
          <w:rFonts w:hint="eastAsia" w:ascii="仿宋_GB2312" w:eastAsia="仿宋_GB2312"/>
          <w:sz w:val="32"/>
          <w:szCs w:val="32"/>
        </w:rPr>
        <w:t>教师要按照课程标准的要求，制订课程考核方案。考核方案应与课程目标相对应，明确考核内容、考核方式及各种考核方式所占权重。要根据专业及学生情况，有效的进行考核内容和方法的改革与创新，以考核学生的综合素质，提高教学效果。</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第二十四条</w:t>
      </w:r>
      <w:r>
        <w:rPr>
          <w:rFonts w:ascii="仿宋_GB2312" w:eastAsia="仿宋_GB2312"/>
          <w:sz w:val="32"/>
          <w:szCs w:val="32"/>
        </w:rPr>
        <w:t xml:space="preserve">  </w:t>
      </w:r>
      <w:r>
        <w:rPr>
          <w:rFonts w:hint="eastAsia" w:ascii="仿宋_GB2312" w:eastAsia="仿宋_GB2312"/>
          <w:sz w:val="32"/>
          <w:szCs w:val="32"/>
        </w:rPr>
        <w:t>对同一课程、使用同一教材，教学内容和教学要求基本相同的班级原则上要求使用统一的考核方案。</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第二十五条 </w:t>
      </w:r>
      <w:r>
        <w:rPr>
          <w:rFonts w:hint="eastAsia" w:ascii="仿宋_GB2312" w:eastAsia="仿宋_GB2312"/>
          <w:sz w:val="32"/>
          <w:szCs w:val="32"/>
        </w:rPr>
        <w:t xml:space="preserve"> 任课教师按照有关规定，按照课程考核方案，遵循客观、公正的原则开展课程考核，考核结束后应及时在教务系统中录入学生成绩，并对学生的成绩进行分析，结合教学情况，填写课程考核质量分析表。</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第二十六条 </w:t>
      </w:r>
      <w:r>
        <w:rPr>
          <w:rFonts w:hint="eastAsia" w:ascii="仿宋_GB2312" w:eastAsia="仿宋_GB2312"/>
          <w:sz w:val="32"/>
          <w:szCs w:val="32"/>
        </w:rPr>
        <w:t xml:space="preserve"> 课程结束时，教师应认真分析回顾教学情况，撰写教学反思。通过教学情况记载、问卷、访谈等形式，直接了解教学效果和相关信息，及时发现问题，进行分析思考，对教学效果进行自我评价，做出教学总结，以改进下一轮的教学工作。</w:t>
      </w:r>
      <w:r>
        <w:rPr>
          <w:rFonts w:ascii="仿宋_GB2312" w:eastAsia="仿宋_GB2312"/>
          <w:sz w:val="32"/>
          <w:szCs w:val="32"/>
        </w:rPr>
        <w:t xml:space="preserve"> </w:t>
      </w:r>
    </w:p>
    <w:p>
      <w:pPr>
        <w:pageBreakBefore w:val="0"/>
        <w:kinsoku/>
        <w:wordWrap/>
        <w:overflowPunct/>
        <w:topLinePunct w:val="0"/>
        <w:bidi w:val="0"/>
        <w:spacing w:line="580" w:lineRule="exact"/>
        <w:jc w:val="center"/>
        <w:outlineLvl w:val="9"/>
        <w:rPr>
          <w:rFonts w:ascii="黑体" w:hAnsi="黑体" w:eastAsia="黑体"/>
          <w:b/>
          <w:sz w:val="32"/>
          <w:szCs w:val="32"/>
        </w:rPr>
      </w:pPr>
      <w:r>
        <w:rPr>
          <w:rFonts w:ascii="黑体" w:hAnsi="黑体" w:eastAsia="黑体"/>
          <w:b/>
          <w:sz w:val="32"/>
          <w:szCs w:val="32"/>
        </w:rPr>
        <w:t>第</w:t>
      </w:r>
      <w:r>
        <w:rPr>
          <w:rFonts w:hint="eastAsia" w:ascii="黑体" w:hAnsi="黑体" w:eastAsia="黑体"/>
          <w:b/>
          <w:sz w:val="32"/>
          <w:szCs w:val="32"/>
        </w:rPr>
        <w:t>五</w:t>
      </w:r>
      <w:r>
        <w:rPr>
          <w:rFonts w:ascii="黑体" w:hAnsi="黑体" w:eastAsia="黑体"/>
          <w:b/>
          <w:sz w:val="32"/>
          <w:szCs w:val="32"/>
        </w:rPr>
        <w:t xml:space="preserve">章 </w:t>
      </w:r>
      <w:r>
        <w:rPr>
          <w:rFonts w:hint="eastAsia" w:ascii="黑体" w:hAnsi="黑体" w:eastAsia="黑体"/>
          <w:b/>
          <w:sz w:val="32"/>
          <w:szCs w:val="32"/>
        </w:rPr>
        <w:t xml:space="preserve">  </w:t>
      </w:r>
      <w:r>
        <w:rPr>
          <w:rFonts w:ascii="黑体" w:hAnsi="黑体" w:eastAsia="黑体"/>
          <w:b/>
          <w:sz w:val="32"/>
          <w:szCs w:val="32"/>
        </w:rPr>
        <w:t>附 则</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二十七</w:t>
      </w:r>
      <w:r>
        <w:rPr>
          <w:rFonts w:ascii="仿宋_GB2312" w:eastAsia="仿宋_GB2312"/>
          <w:b/>
          <w:sz w:val="32"/>
          <w:szCs w:val="32"/>
        </w:rPr>
        <w:t>条</w:t>
      </w:r>
      <w:r>
        <w:rPr>
          <w:rFonts w:hint="eastAsia" w:ascii="仿宋_GB2312" w:eastAsia="仿宋_GB2312"/>
          <w:b/>
          <w:sz w:val="32"/>
          <w:szCs w:val="32"/>
        </w:rPr>
        <w:t xml:space="preserve">  </w:t>
      </w:r>
      <w:r>
        <w:rPr>
          <w:rFonts w:ascii="仿宋_GB2312" w:eastAsia="仿宋_GB2312"/>
          <w:sz w:val="32"/>
          <w:szCs w:val="32"/>
        </w:rPr>
        <w:t>本《规范》在执行过程中涉及其他未尽事宜，由教务</w:t>
      </w:r>
      <w:r>
        <w:rPr>
          <w:rFonts w:hint="eastAsia" w:ascii="仿宋_GB2312" w:eastAsia="仿宋_GB2312"/>
          <w:sz w:val="32"/>
          <w:szCs w:val="32"/>
        </w:rPr>
        <w:t>与实训管理</w:t>
      </w:r>
      <w:r>
        <w:rPr>
          <w:rFonts w:ascii="仿宋_GB2312" w:eastAsia="仿宋_GB2312"/>
          <w:sz w:val="32"/>
          <w:szCs w:val="32"/>
        </w:rPr>
        <w:t>处研究拟定解决方案，报主管校长批准后执行。</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ascii="仿宋_GB2312" w:eastAsia="仿宋_GB2312"/>
          <w:b/>
          <w:sz w:val="32"/>
          <w:szCs w:val="32"/>
        </w:rPr>
        <w:t>第</w:t>
      </w:r>
      <w:r>
        <w:rPr>
          <w:rFonts w:hint="eastAsia" w:ascii="仿宋_GB2312" w:eastAsia="仿宋_GB2312"/>
          <w:b/>
          <w:sz w:val="32"/>
          <w:szCs w:val="32"/>
        </w:rPr>
        <w:t>二十八</w:t>
      </w:r>
      <w:r>
        <w:rPr>
          <w:rFonts w:ascii="仿宋_GB2312" w:eastAsia="仿宋_GB2312"/>
          <w:b/>
          <w:sz w:val="32"/>
          <w:szCs w:val="32"/>
        </w:rPr>
        <w:t>条</w:t>
      </w:r>
      <w:r>
        <w:rPr>
          <w:rFonts w:hint="eastAsia" w:ascii="仿宋_GB2312" w:eastAsia="仿宋_GB2312"/>
          <w:b/>
          <w:sz w:val="32"/>
          <w:szCs w:val="32"/>
        </w:rPr>
        <w:t xml:space="preserve">  </w:t>
      </w:r>
      <w:r>
        <w:rPr>
          <w:rFonts w:ascii="仿宋_GB2312" w:eastAsia="仿宋_GB2312"/>
          <w:sz w:val="32"/>
          <w:szCs w:val="32"/>
        </w:rPr>
        <w:t>本《规范》自20</w:t>
      </w:r>
      <w:r>
        <w:rPr>
          <w:rFonts w:hint="eastAsia" w:ascii="仿宋_GB2312" w:eastAsia="仿宋_GB2312"/>
          <w:sz w:val="32"/>
          <w:szCs w:val="32"/>
        </w:rPr>
        <w:t>17</w:t>
      </w:r>
      <w:r>
        <w:rPr>
          <w:rFonts w:ascii="仿宋_GB2312" w:eastAsia="仿宋_GB2312"/>
          <w:sz w:val="32"/>
          <w:szCs w:val="32"/>
        </w:rPr>
        <w:t>年9月1日起正式实施，由教务</w:t>
      </w:r>
      <w:r>
        <w:rPr>
          <w:rFonts w:hint="eastAsia" w:ascii="仿宋_GB2312" w:eastAsia="仿宋_GB2312"/>
          <w:sz w:val="32"/>
          <w:szCs w:val="32"/>
        </w:rPr>
        <w:t>与实训管理</w:t>
      </w:r>
      <w:r>
        <w:rPr>
          <w:rFonts w:ascii="仿宋_GB2312" w:eastAsia="仿宋_GB2312"/>
          <w:sz w:val="32"/>
          <w:szCs w:val="32"/>
        </w:rPr>
        <w:t>处负责解释。学校原有文件如与本《规范》冲突，以本规范为准。</w:t>
      </w:r>
    </w:p>
    <w:p>
      <w:pPr>
        <w:pageBreakBefore w:val="0"/>
        <w:widowControl/>
        <w:kinsoku/>
        <w:wordWrap/>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66" w:name="_Toc18415"/>
      <w:bookmarkStart w:id="467" w:name="_Toc13675"/>
      <w:bookmarkStart w:id="468" w:name="_Toc534377801"/>
      <w:bookmarkStart w:id="469" w:name="_Toc9734"/>
      <w:r>
        <w:rPr>
          <w:rFonts w:hint="eastAsia" w:asciiTheme="minorEastAsia" w:hAnsiTheme="minorEastAsia" w:eastAsiaTheme="minorEastAsia" w:cstheme="minorEastAsia"/>
          <w:b/>
          <w:color w:val="000000"/>
          <w:kern w:val="0"/>
          <w:sz w:val="36"/>
          <w:szCs w:val="36"/>
        </w:rPr>
        <w:t>柳州职业技术学院教案管理规定（试行）</w:t>
      </w:r>
      <w:bookmarkEnd w:id="466"/>
      <w:bookmarkEnd w:id="467"/>
      <w:bookmarkEnd w:id="468"/>
      <w:bookmarkEnd w:id="469"/>
    </w:p>
    <w:p>
      <w:pPr>
        <w:pStyle w:val="14"/>
        <w:pageBreakBefore w:val="0"/>
        <w:kinsoku/>
        <w:wordWrap/>
        <w:overflowPunct/>
        <w:topLinePunct w:val="0"/>
        <w:bidi w:val="0"/>
        <w:spacing w:before="0" w:beforeAutospacing="0" w:after="0" w:afterAutospacing="0" w:line="580" w:lineRule="exact"/>
        <w:jc w:val="center"/>
        <w:outlineLvl w:val="9"/>
        <w:rPr>
          <w:rFonts w:ascii="仿宋_GB2312" w:hAnsi="黑体" w:eastAsia="仿宋_GB2312" w:cs="黑体"/>
          <w:sz w:val="32"/>
          <w:szCs w:val="32"/>
        </w:rPr>
      </w:pPr>
      <w:r>
        <w:rPr>
          <w:rFonts w:hint="eastAsia" w:ascii="仿宋_GB2312" w:hAnsi="黑体" w:eastAsia="仿宋_GB2312" w:cs="黑体"/>
          <w:sz w:val="32"/>
          <w:szCs w:val="32"/>
        </w:rPr>
        <w:t>（柳职院教字〔2017〕21号）</w:t>
      </w:r>
    </w:p>
    <w:p>
      <w:pPr>
        <w:pageBreakBefore w:val="0"/>
        <w:kinsoku/>
        <w:wordWrap/>
        <w:overflowPunct/>
        <w:topLinePunct w:val="0"/>
        <w:bidi w:val="0"/>
        <w:spacing w:line="580" w:lineRule="exact"/>
        <w:jc w:val="center"/>
        <w:outlineLvl w:val="9"/>
        <w:rPr>
          <w:rFonts w:ascii="宋体" w:hAnsi="宋体"/>
          <w:bCs/>
          <w:sz w:val="36"/>
          <w:szCs w:val="36"/>
        </w:rPr>
      </w:pP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w:t>
      </w:r>
      <w:r>
        <w:rPr>
          <w:rFonts w:ascii="仿宋_GB2312" w:eastAsia="仿宋_GB2312"/>
          <w:sz w:val="32"/>
          <w:szCs w:val="32"/>
        </w:rPr>
        <w:t>教案是教师为实现具体的课程教学目标，根据课程</w:t>
      </w:r>
      <w:r>
        <w:rPr>
          <w:rFonts w:hint="eastAsia" w:ascii="仿宋_GB2312" w:eastAsia="仿宋_GB2312"/>
          <w:sz w:val="32"/>
          <w:szCs w:val="32"/>
        </w:rPr>
        <w:t>标准</w:t>
      </w:r>
      <w:r>
        <w:rPr>
          <w:rFonts w:ascii="仿宋_GB2312" w:eastAsia="仿宋_GB2312"/>
          <w:sz w:val="32"/>
          <w:szCs w:val="32"/>
        </w:rPr>
        <w:t>和教学过程的基本规律，对教学活动进行系统的规划和安排，是教师在对教学对象、教学思路、教学内容、教学方法与手段</w:t>
      </w:r>
      <w:r>
        <w:rPr>
          <w:rFonts w:hint="eastAsia" w:ascii="仿宋_GB2312" w:eastAsia="仿宋_GB2312"/>
          <w:sz w:val="32"/>
          <w:szCs w:val="32"/>
        </w:rPr>
        <w:t>、教材</w:t>
      </w:r>
      <w:r>
        <w:rPr>
          <w:rFonts w:ascii="仿宋_GB2312" w:eastAsia="仿宋_GB2312"/>
          <w:sz w:val="32"/>
          <w:szCs w:val="32"/>
        </w:rPr>
        <w:t>等进行全面准备和思考的基础上精心设计的教学实施方案</w:t>
      </w:r>
      <w:r>
        <w:rPr>
          <w:rFonts w:hint="eastAsia" w:ascii="仿宋_GB2312" w:eastAsia="仿宋_GB2312"/>
          <w:sz w:val="32"/>
          <w:szCs w:val="32"/>
        </w:rPr>
        <w:t>。</w:t>
      </w:r>
      <w:r>
        <w:rPr>
          <w:rFonts w:ascii="仿宋_GB2312" w:eastAsia="仿宋_GB2312"/>
          <w:sz w:val="32"/>
          <w:szCs w:val="32"/>
        </w:rPr>
        <w:t>教案是教师组织教学必备的教学文件</w:t>
      </w:r>
      <w:r>
        <w:rPr>
          <w:rFonts w:hint="eastAsia" w:ascii="仿宋_GB2312" w:eastAsia="仿宋_GB2312"/>
          <w:sz w:val="32"/>
          <w:szCs w:val="32"/>
        </w:rPr>
        <w:t>，</w:t>
      </w:r>
      <w:r>
        <w:rPr>
          <w:rFonts w:ascii="仿宋_GB2312" w:eastAsia="仿宋_GB2312"/>
          <w:sz w:val="32"/>
          <w:szCs w:val="32"/>
        </w:rPr>
        <w:t>是教师授课的重要依据，编写教案是教师备课、上课的重要环节</w:t>
      </w:r>
      <w:r>
        <w:rPr>
          <w:rFonts w:hint="eastAsia" w:ascii="仿宋_GB2312" w:eastAsia="仿宋_GB2312"/>
          <w:sz w:val="32"/>
          <w:szCs w:val="32"/>
        </w:rPr>
        <w:t>，</w:t>
      </w:r>
      <w:r>
        <w:rPr>
          <w:rFonts w:ascii="仿宋_GB2312" w:eastAsia="仿宋_GB2312"/>
          <w:sz w:val="32"/>
          <w:szCs w:val="32"/>
        </w:rPr>
        <w:t>是保证教学质量的必要措施。为规范我</w:t>
      </w:r>
      <w:r>
        <w:rPr>
          <w:rFonts w:hint="eastAsia" w:ascii="仿宋_GB2312" w:eastAsia="仿宋_GB2312"/>
          <w:sz w:val="32"/>
          <w:szCs w:val="32"/>
        </w:rPr>
        <w:t>校</w:t>
      </w:r>
      <w:r>
        <w:rPr>
          <w:rFonts w:ascii="仿宋_GB2312" w:eastAsia="仿宋_GB2312"/>
          <w:sz w:val="32"/>
          <w:szCs w:val="32"/>
        </w:rPr>
        <w:t>教师的教学，加强</w:t>
      </w:r>
      <w:r>
        <w:rPr>
          <w:rFonts w:hint="eastAsia" w:ascii="仿宋_GB2312" w:eastAsia="仿宋_GB2312"/>
          <w:sz w:val="32"/>
          <w:szCs w:val="32"/>
        </w:rPr>
        <w:t>课堂教学的日常管理，特制定本规定。</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教案编写的基本要求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一）教案编写要根据课程标准的要求，遵守党的教育方针和四项基本原则；坚持党章、宪法和中国特色社会主义道路、理论、制度、文化建设要求，明确每个单元、每次课的教学目标，明确学习内容及能力要求。</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w:t>
      </w:r>
      <w:r>
        <w:rPr>
          <w:rFonts w:ascii="仿宋_GB2312" w:eastAsia="仿宋_GB2312"/>
          <w:sz w:val="32"/>
          <w:szCs w:val="32"/>
        </w:rPr>
        <w:t>教案编写要处理好应该教什么和学什么（目标），如何教和如何学（策略），教得怎样和学得怎样（评价）的关系。注重学生</w:t>
      </w:r>
      <w:r>
        <w:rPr>
          <w:rFonts w:hint="eastAsia" w:ascii="仿宋_GB2312" w:eastAsia="仿宋_GB2312"/>
          <w:sz w:val="32"/>
          <w:szCs w:val="32"/>
        </w:rPr>
        <w:t>职业素养、</w:t>
      </w:r>
      <w:r>
        <w:rPr>
          <w:rFonts w:ascii="仿宋_GB2312" w:eastAsia="仿宋_GB2312"/>
          <w:sz w:val="32"/>
          <w:szCs w:val="32"/>
        </w:rPr>
        <w:t>创新精神和实践能力的培养。</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（三）教案要面向不同类型、不同能力层次的学生，设计有不同难度、不同等级的教学任务，注意培养优秀生和促进后进生，使全体学生都得到发展。</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w:t>
      </w:r>
      <w:r>
        <w:rPr>
          <w:rFonts w:ascii="仿宋_GB2312" w:eastAsia="仿宋_GB2312"/>
          <w:sz w:val="32"/>
          <w:szCs w:val="32"/>
        </w:rPr>
        <w:t>教案编写</w:t>
      </w:r>
      <w:r>
        <w:rPr>
          <w:rFonts w:hint="eastAsia" w:ascii="仿宋_GB2312" w:eastAsia="仿宋_GB2312"/>
          <w:sz w:val="32"/>
          <w:szCs w:val="32"/>
        </w:rPr>
        <w:t>应</w:t>
      </w:r>
      <w:r>
        <w:rPr>
          <w:rFonts w:ascii="仿宋_GB2312" w:eastAsia="仿宋_GB2312"/>
          <w:sz w:val="32"/>
          <w:szCs w:val="32"/>
        </w:rPr>
        <w:t>以课程</w:t>
      </w:r>
      <w:r>
        <w:rPr>
          <w:rFonts w:hint="eastAsia" w:ascii="仿宋_GB2312" w:eastAsia="仿宋_GB2312"/>
          <w:sz w:val="32"/>
          <w:szCs w:val="32"/>
        </w:rPr>
        <w:t>标准</w:t>
      </w:r>
      <w:r>
        <w:rPr>
          <w:rFonts w:ascii="仿宋_GB2312" w:eastAsia="仿宋_GB2312"/>
          <w:sz w:val="32"/>
          <w:szCs w:val="32"/>
        </w:rPr>
        <w:t>的学时分配为基础，在</w:t>
      </w:r>
      <w:r>
        <w:rPr>
          <w:rFonts w:hint="eastAsia" w:ascii="仿宋_GB2312" w:eastAsia="仿宋_GB2312"/>
          <w:sz w:val="32"/>
          <w:szCs w:val="32"/>
        </w:rPr>
        <w:t>课题</w:t>
      </w:r>
      <w:r>
        <w:rPr>
          <w:rFonts w:ascii="仿宋_GB2312" w:eastAsia="仿宋_GB2312"/>
          <w:sz w:val="32"/>
          <w:szCs w:val="32"/>
        </w:rPr>
        <w:t>表述、学时安排、授课内容等方面应与《教学进度表》一致。</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（五）教案编写要合理组织教学材料，不断补充专业新成果和新内容。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（六）不论何种授课形式，授课教师课前必须编写所承担课程</w:t>
      </w:r>
      <w:r>
        <w:rPr>
          <w:rFonts w:hint="eastAsia" w:ascii="仿宋_GB2312" w:eastAsia="仿宋_GB2312"/>
          <w:sz w:val="32"/>
          <w:szCs w:val="32"/>
        </w:rPr>
        <w:t>教学</w:t>
      </w:r>
      <w:r>
        <w:rPr>
          <w:rFonts w:ascii="仿宋_GB2312" w:eastAsia="仿宋_GB2312"/>
          <w:sz w:val="32"/>
          <w:szCs w:val="32"/>
        </w:rPr>
        <w:t>的教案，且同一课程的教案应针对不同专业、不同层次授课对象的教学要求而有所区别</w:t>
      </w:r>
      <w:r>
        <w:rPr>
          <w:rFonts w:hint="eastAsia" w:ascii="仿宋_GB2312" w:eastAsia="仿宋_GB2312"/>
          <w:sz w:val="32"/>
          <w:szCs w:val="32"/>
        </w:rPr>
        <w:t>。教师在</w:t>
      </w:r>
      <w:r>
        <w:rPr>
          <w:rFonts w:ascii="仿宋_GB2312" w:eastAsia="仿宋_GB2312"/>
          <w:sz w:val="32"/>
          <w:szCs w:val="32"/>
        </w:rPr>
        <w:t>授课之后应及时对教案进行修改和补充，做到教案常备常新。</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（七）</w:t>
      </w:r>
      <w:r>
        <w:rPr>
          <w:rFonts w:ascii="仿宋_GB2312" w:eastAsia="仿宋_GB2312"/>
          <w:sz w:val="32"/>
          <w:szCs w:val="32"/>
        </w:rPr>
        <w:t>教师组织教学时应有纸质教案，可根据教学内容的需要，制作PPT课件、CAI课件和网络课件等教学课件，但教学课件不能取代教案。</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 xml:space="preserve">第三条 </w:t>
      </w:r>
      <w:r>
        <w:rPr>
          <w:rFonts w:hint="eastAsia" w:ascii="仿宋_GB2312" w:eastAsia="仿宋_GB2312"/>
          <w:sz w:val="32"/>
          <w:szCs w:val="32"/>
        </w:rPr>
        <w:t xml:space="preserve"> </w:t>
      </w:r>
      <w:r>
        <w:rPr>
          <w:rFonts w:ascii="仿宋_GB2312" w:eastAsia="仿宋_GB2312"/>
          <w:sz w:val="32"/>
          <w:szCs w:val="32"/>
        </w:rPr>
        <w:t>教案的基本要素</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教案应采用统一的格式书写，不同</w:t>
      </w:r>
      <w:r>
        <w:rPr>
          <w:rFonts w:hint="eastAsia" w:ascii="仿宋_GB2312" w:eastAsia="仿宋_GB2312"/>
          <w:sz w:val="32"/>
          <w:szCs w:val="32"/>
        </w:rPr>
        <w:t>课程</w:t>
      </w:r>
      <w:r>
        <w:rPr>
          <w:rFonts w:ascii="仿宋_GB2312" w:eastAsia="仿宋_GB2312"/>
          <w:sz w:val="32"/>
          <w:szCs w:val="32"/>
        </w:rPr>
        <w:t>的授课教案可有自己的特色，但应包含教案的基本内容要素：</w:t>
      </w:r>
      <w:r>
        <w:rPr>
          <w:rFonts w:hint="eastAsia" w:ascii="仿宋_GB2312" w:eastAsia="仿宋_GB2312"/>
          <w:sz w:val="32"/>
          <w:szCs w:val="32"/>
        </w:rPr>
        <w:t>基本信息、</w:t>
      </w:r>
      <w:r>
        <w:rPr>
          <w:rFonts w:ascii="仿宋_GB2312" w:eastAsia="仿宋_GB2312"/>
          <w:sz w:val="32"/>
          <w:szCs w:val="32"/>
        </w:rPr>
        <w:t>教学目标、教学重难点、学情分析、教学材料分析</w:t>
      </w:r>
      <w:r>
        <w:rPr>
          <w:rFonts w:hint="eastAsia" w:ascii="仿宋_GB2312" w:eastAsia="仿宋_GB2312"/>
          <w:sz w:val="32"/>
          <w:szCs w:val="32"/>
        </w:rPr>
        <w:t>与教学内容安排、</w:t>
      </w:r>
      <w:r>
        <w:rPr>
          <w:rFonts w:ascii="仿宋_GB2312" w:eastAsia="仿宋_GB2312"/>
          <w:sz w:val="32"/>
          <w:szCs w:val="32"/>
        </w:rPr>
        <w:t>教学过程</w:t>
      </w:r>
      <w:r>
        <w:rPr>
          <w:rFonts w:hint="eastAsia" w:ascii="仿宋_GB2312" w:eastAsia="仿宋_GB2312"/>
          <w:sz w:val="32"/>
          <w:szCs w:val="32"/>
        </w:rPr>
        <w:t>与教学方法手段</w:t>
      </w:r>
      <w:r>
        <w:rPr>
          <w:rFonts w:ascii="仿宋_GB2312" w:eastAsia="仿宋_GB2312"/>
          <w:sz w:val="32"/>
          <w:szCs w:val="32"/>
        </w:rPr>
        <w:t>、</w:t>
      </w:r>
      <w:r>
        <w:rPr>
          <w:rFonts w:hint="eastAsia" w:ascii="仿宋_GB2312" w:eastAsia="仿宋_GB2312"/>
          <w:sz w:val="32"/>
          <w:szCs w:val="32"/>
        </w:rPr>
        <w:t>教学评价、</w:t>
      </w:r>
      <w:r>
        <w:rPr>
          <w:rFonts w:ascii="仿宋_GB2312" w:eastAsia="仿宋_GB2312"/>
          <w:sz w:val="32"/>
          <w:szCs w:val="32"/>
        </w:rPr>
        <w:t>教学</w:t>
      </w:r>
      <w:r>
        <w:rPr>
          <w:rFonts w:hint="eastAsia" w:ascii="仿宋_GB2312" w:eastAsia="仿宋_GB2312"/>
          <w:sz w:val="32"/>
          <w:szCs w:val="32"/>
        </w:rPr>
        <w:t>小结等，</w:t>
      </w:r>
      <w:r>
        <w:rPr>
          <w:rFonts w:ascii="仿宋_GB2312" w:eastAsia="仿宋_GB2312"/>
          <w:sz w:val="32"/>
          <w:szCs w:val="32"/>
        </w:rPr>
        <w:t>教师可根据课程的性质适当增</w:t>
      </w:r>
      <w:r>
        <w:rPr>
          <w:rFonts w:hint="eastAsia" w:ascii="仿宋_GB2312" w:eastAsia="仿宋_GB2312"/>
          <w:sz w:val="32"/>
          <w:szCs w:val="32"/>
        </w:rPr>
        <w:t>加相关内容。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一</w:t>
      </w:r>
      <w:r>
        <w:rPr>
          <w:rFonts w:ascii="仿宋_GB2312" w:eastAsia="仿宋_GB2312"/>
          <w:sz w:val="32"/>
          <w:szCs w:val="32"/>
        </w:rPr>
        <w:t>）</w:t>
      </w:r>
      <w:r>
        <w:rPr>
          <w:rFonts w:hint="eastAsia" w:ascii="仿宋_GB2312" w:eastAsia="仿宋_GB2312"/>
          <w:sz w:val="32"/>
          <w:szCs w:val="32"/>
        </w:rPr>
        <w:t>基本信息</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基本信息含授课课题、授课班级、课时安排、授课方式等。</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授课课题指</w:t>
      </w:r>
      <w:r>
        <w:rPr>
          <w:rFonts w:ascii="仿宋_GB2312" w:eastAsia="仿宋_GB2312"/>
          <w:sz w:val="32"/>
          <w:szCs w:val="32"/>
        </w:rPr>
        <w:t>一个教学内容（单元）或一次课的章、节题目</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授课班级指该教案使用的年级和班级</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课时安排指该课题所用的学时，一般应以</w:t>
      </w:r>
      <w:r>
        <w:rPr>
          <w:rFonts w:ascii="仿宋_GB2312" w:eastAsia="仿宋_GB2312"/>
          <w:sz w:val="32"/>
          <w:szCs w:val="32"/>
        </w:rPr>
        <w:t>一个教学内容（单元）或一次课（一般2-3学时）编制一个教案</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授课</w:t>
      </w:r>
      <w:r>
        <w:rPr>
          <w:rFonts w:hint="eastAsia" w:ascii="仿宋_GB2312" w:eastAsia="仿宋_GB2312"/>
          <w:sz w:val="32"/>
          <w:szCs w:val="32"/>
        </w:rPr>
        <w:t>方</w:t>
      </w:r>
      <w:r>
        <w:rPr>
          <w:rFonts w:ascii="仿宋_GB2312" w:eastAsia="仿宋_GB2312"/>
          <w:sz w:val="32"/>
          <w:szCs w:val="32"/>
        </w:rPr>
        <w:t>式是根据教学目的而采取的教学形式（理论、实验、上机、技能研习、实训、讨论、实习等）</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（二）教学目标</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目标是通过该课程的学习，学生能达到的预期目标。教学目标的描述要明确具体，符合学生学习实际，做到“可观察的行为，可考核的表现”。教学目标一般包括四个部分：一是对象（即是学习者）；二是行为表现（即要“做什么”，通常为动宾结构）；三是条件（完成行为的前提，通常为介宾结构）；四是标准（表示“做到什么程度”）。</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三</w:t>
      </w:r>
      <w:r>
        <w:rPr>
          <w:rFonts w:ascii="仿宋_GB2312" w:eastAsia="仿宋_GB2312"/>
          <w:sz w:val="32"/>
          <w:szCs w:val="32"/>
        </w:rPr>
        <w:t>）教学的重点与难点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教学重点是是指教学内容中最基本、最重要的知识和技能。主要体现在：处于专业教学内容的核心地位，作为今后学生学习其它内容的基础，具有广泛的作用。</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教学难点是指学生接受起来比较困难的知识点和能力点。</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教学重难点需要依据课程标准以及学生的实际情况来确定。</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（四）学情分析</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学情分析是对学生的分析，应具体到班级，应从课程内容的角度重点分析学生已有基础，从教学需要的角度分析学生的认知特点，性格特征等对教学有影响作用的因素。</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五</w:t>
      </w:r>
      <w:r>
        <w:rPr>
          <w:rFonts w:ascii="仿宋_GB2312" w:eastAsia="仿宋_GB2312"/>
          <w:sz w:val="32"/>
          <w:szCs w:val="32"/>
        </w:rPr>
        <w:t>）</w:t>
      </w:r>
      <w:r>
        <w:rPr>
          <w:rFonts w:hint="eastAsia" w:ascii="仿宋_GB2312" w:eastAsia="仿宋_GB2312"/>
          <w:sz w:val="32"/>
          <w:szCs w:val="32"/>
        </w:rPr>
        <w:t>教学材料分析与教学内容安排</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教学材料分析包括对教材、教学参考书、实训指导手册、教学资源等内容的分析。教师应依据课程标准的要求，结合学生的学习情况，选择适合的教学材料应用于教学。</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教学内容安排是对本次课或本单元教学中的主要内容进行描述，教师应列出具体的教学内容纲要。</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（六）教学过程与方法手段</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教案编写在教学过程的设计中，既要体现出教学活动的逻辑程序，又要划分出若干环节或步骤，并考虑到它们的时间分配，具体方法的应用，相互间的衔接、过度，以及教学过程与板书的协调（PPT设计）等等。</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教学方法与手段是根据教学目的</w:t>
      </w:r>
      <w:r>
        <w:rPr>
          <w:rFonts w:hint="eastAsia" w:ascii="仿宋_GB2312" w:eastAsia="仿宋_GB2312"/>
          <w:sz w:val="32"/>
          <w:szCs w:val="32"/>
        </w:rPr>
        <w:t>采用</w:t>
      </w:r>
      <w:r>
        <w:rPr>
          <w:rFonts w:ascii="仿宋_GB2312" w:eastAsia="仿宋_GB2312"/>
          <w:sz w:val="32"/>
          <w:szCs w:val="32"/>
        </w:rPr>
        <w:t>教学方法、辅助手段、师生互动等的总称，</w:t>
      </w:r>
      <w:r>
        <w:rPr>
          <w:rFonts w:hint="eastAsia" w:ascii="仿宋_GB2312" w:eastAsia="仿宋_GB2312"/>
          <w:sz w:val="32"/>
          <w:szCs w:val="32"/>
        </w:rPr>
        <w:t>在教学过程中，要恰当地选择和运用教学方法，针对学生的学习特点灵活选择信息化教学手段，优化教学过程，调动学生学习的积极性，提高教学效果。</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七</w:t>
      </w:r>
      <w:r>
        <w:rPr>
          <w:rFonts w:ascii="仿宋_GB2312" w:eastAsia="仿宋_GB2312"/>
          <w:sz w:val="32"/>
          <w:szCs w:val="32"/>
        </w:rPr>
        <w:t>）</w:t>
      </w:r>
      <w:r>
        <w:rPr>
          <w:rFonts w:hint="eastAsia" w:ascii="仿宋_GB2312" w:eastAsia="仿宋_GB2312"/>
          <w:sz w:val="32"/>
          <w:szCs w:val="32"/>
        </w:rPr>
        <w:t>教学评价</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在每次课或每个单元的课程讲授结束后，教师应针对本次课或本单元的教学，设计教学评价的内容。评价的内容应与教学目标相呼应，评价的方式可采用调查问卷、测试、作业、问答等多种形式，使得教学目标真正地“可检测”。</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w:t>
      </w:r>
      <w:r>
        <w:rPr>
          <w:rFonts w:hint="eastAsia" w:ascii="仿宋_GB2312" w:eastAsia="仿宋_GB2312"/>
          <w:sz w:val="32"/>
          <w:szCs w:val="32"/>
        </w:rPr>
        <w:t>八</w:t>
      </w:r>
      <w:r>
        <w:rPr>
          <w:rFonts w:ascii="仿宋_GB2312" w:eastAsia="仿宋_GB2312"/>
          <w:sz w:val="32"/>
          <w:szCs w:val="32"/>
        </w:rPr>
        <w:t>）课后小结</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ascii="仿宋_GB2312" w:eastAsia="仿宋_GB2312"/>
          <w:sz w:val="32"/>
          <w:szCs w:val="32"/>
        </w:rPr>
        <w:t>课后小结</w:t>
      </w:r>
      <w:r>
        <w:rPr>
          <w:rFonts w:hint="eastAsia" w:ascii="仿宋_GB2312" w:eastAsia="仿宋_GB2312"/>
          <w:sz w:val="32"/>
          <w:szCs w:val="32"/>
        </w:rPr>
        <w:t>是教案执行情况的经验总结，目的在于改进和调整教案，</w:t>
      </w:r>
      <w:r>
        <w:rPr>
          <w:rFonts w:ascii="仿宋_GB2312" w:eastAsia="仿宋_GB2312"/>
          <w:sz w:val="32"/>
          <w:szCs w:val="32"/>
        </w:rPr>
        <w:t>为以后的教学提供经验和素材。</w:t>
      </w:r>
      <w:r>
        <w:rPr>
          <w:rFonts w:hint="eastAsia" w:ascii="仿宋_GB2312" w:eastAsia="仿宋_GB2312"/>
          <w:sz w:val="32"/>
          <w:szCs w:val="32"/>
        </w:rPr>
        <w:t>应全面审视教学过程，特别注意对意外发现、点滴收获，以及因个别疏漏而及时补充的方法等方面的内容进行撰写。</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第四条</w:t>
      </w:r>
      <w:r>
        <w:rPr>
          <w:rFonts w:hint="eastAsia" w:ascii="仿宋_GB2312" w:eastAsia="仿宋_GB2312"/>
          <w:sz w:val="32"/>
          <w:szCs w:val="32"/>
        </w:rPr>
        <w:t xml:space="preserve">  教案的审核</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教案编写完成以后，要提交审核才能实施。二级学院教学质量管理小组</w:t>
      </w:r>
      <w:r>
        <w:rPr>
          <w:rFonts w:ascii="仿宋_GB2312" w:eastAsia="仿宋_GB2312"/>
          <w:sz w:val="32"/>
          <w:szCs w:val="32"/>
        </w:rPr>
        <w:t>每学期要对任课教师的教案进行集中检查，</w:t>
      </w:r>
      <w:r>
        <w:rPr>
          <w:rFonts w:hint="eastAsia" w:ascii="仿宋_GB2312" w:eastAsia="仿宋_GB2312"/>
          <w:sz w:val="32"/>
          <w:szCs w:val="32"/>
        </w:rPr>
        <w:t>重点检查教案的编写是否符合规范；内容是否有政治方向性、科学性的错误，是否符合课程标准的要求；教学过程安排是否合理等方面的内容，并</w:t>
      </w:r>
      <w:r>
        <w:rPr>
          <w:rFonts w:ascii="仿宋_GB2312" w:eastAsia="仿宋_GB2312"/>
          <w:sz w:val="32"/>
          <w:szCs w:val="32"/>
        </w:rPr>
        <w:t>做好检查记录，对不合格的教案进行整改指导。</w:t>
      </w:r>
    </w:p>
    <w:p>
      <w:pPr>
        <w:pageBreakBefore w:val="0"/>
        <w:kinsoku/>
        <w:wordWrap/>
        <w:overflowPunct/>
        <w:topLinePunct w:val="0"/>
        <w:bidi w:val="0"/>
        <w:spacing w:line="580" w:lineRule="exact"/>
        <w:ind w:firstLine="640" w:firstLineChars="200"/>
        <w:outlineLvl w:val="9"/>
        <w:rPr>
          <w:rFonts w:ascii="仿宋_GB2312" w:eastAsia="仿宋_GB2312"/>
          <w:sz w:val="32"/>
          <w:szCs w:val="32"/>
        </w:rPr>
      </w:pPr>
      <w:r>
        <w:rPr>
          <w:rFonts w:hint="eastAsia" w:ascii="仿宋_GB2312" w:eastAsia="仿宋_GB2312"/>
          <w:sz w:val="32"/>
          <w:szCs w:val="32"/>
        </w:rPr>
        <w:t>学校教学质量管理小组不定期</w:t>
      </w:r>
      <w:r>
        <w:rPr>
          <w:rFonts w:ascii="仿宋_GB2312" w:eastAsia="仿宋_GB2312"/>
          <w:sz w:val="32"/>
          <w:szCs w:val="32"/>
        </w:rPr>
        <w:t>在全体教师中开展教案检查</w:t>
      </w:r>
      <w:r>
        <w:rPr>
          <w:rFonts w:hint="eastAsia" w:ascii="仿宋_GB2312" w:eastAsia="仿宋_GB2312"/>
          <w:sz w:val="32"/>
          <w:szCs w:val="32"/>
        </w:rPr>
        <w:t>和抽查，对不合格的教案进行通报批评，并责成整改，对于具有政治方向性错误的教师，按照相关规定处理。</w:t>
      </w:r>
    </w:p>
    <w:p>
      <w:pPr>
        <w:pageBreakBefore w:val="0"/>
        <w:kinsoku/>
        <w:wordWrap/>
        <w:overflowPunct/>
        <w:topLinePunct w:val="0"/>
        <w:bidi w:val="0"/>
        <w:spacing w:line="580" w:lineRule="exact"/>
        <w:ind w:firstLine="643" w:firstLineChars="200"/>
        <w:outlineLvl w:val="9"/>
        <w:rPr>
          <w:rFonts w:ascii="仿宋_GB2312" w:eastAsia="仿宋_GB2312"/>
          <w:sz w:val="32"/>
          <w:szCs w:val="32"/>
        </w:rPr>
      </w:pPr>
      <w:r>
        <w:rPr>
          <w:rFonts w:hint="eastAsia" w:ascii="仿宋_GB2312" w:eastAsia="仿宋_GB2312"/>
          <w:b/>
          <w:sz w:val="32"/>
          <w:szCs w:val="32"/>
        </w:rPr>
        <w:t>第五条</w:t>
      </w:r>
      <w:r>
        <w:rPr>
          <w:rFonts w:hint="eastAsia" w:ascii="仿宋_GB2312" w:eastAsia="仿宋_GB2312"/>
          <w:sz w:val="32"/>
          <w:szCs w:val="32"/>
        </w:rPr>
        <w:t xml:space="preserve">  </w:t>
      </w:r>
      <w:r>
        <w:rPr>
          <w:rFonts w:ascii="仿宋_GB2312" w:eastAsia="仿宋_GB2312"/>
          <w:sz w:val="32"/>
          <w:szCs w:val="32"/>
        </w:rPr>
        <w:t>本规范由教务</w:t>
      </w:r>
      <w:r>
        <w:rPr>
          <w:rFonts w:hint="eastAsia" w:ascii="仿宋_GB2312" w:eastAsia="仿宋_GB2312"/>
          <w:sz w:val="32"/>
          <w:szCs w:val="32"/>
        </w:rPr>
        <w:t>与实训管理</w:t>
      </w:r>
      <w:r>
        <w:rPr>
          <w:rFonts w:ascii="仿宋_GB2312" w:eastAsia="仿宋_GB2312"/>
          <w:sz w:val="32"/>
          <w:szCs w:val="32"/>
        </w:rPr>
        <w:t>处负责解释</w:t>
      </w:r>
      <w:r>
        <w:rPr>
          <w:rFonts w:hint="eastAsia" w:ascii="仿宋_GB2312" w:eastAsia="仿宋_GB2312"/>
          <w:sz w:val="32"/>
          <w:szCs w:val="32"/>
        </w:rPr>
        <w:t>，从</w:t>
      </w:r>
      <w:r>
        <w:rPr>
          <w:rFonts w:ascii="仿宋_GB2312" w:eastAsia="仿宋_GB2312"/>
          <w:sz w:val="32"/>
          <w:szCs w:val="32"/>
        </w:rPr>
        <w:t>公布之日起</w:t>
      </w:r>
      <w:r>
        <w:rPr>
          <w:rFonts w:hint="eastAsia" w:ascii="仿宋_GB2312" w:eastAsia="仿宋_GB2312"/>
          <w:sz w:val="32"/>
          <w:szCs w:val="32"/>
        </w:rPr>
        <w:t>施行</w:t>
      </w:r>
      <w:r>
        <w:rPr>
          <w:rFonts w:ascii="仿宋_GB2312" w:eastAsia="仿宋_GB2312"/>
          <w:sz w:val="32"/>
          <w:szCs w:val="32"/>
        </w:rPr>
        <w:t>。</w:t>
      </w:r>
    </w:p>
    <w:p>
      <w:pPr>
        <w:pageBreakBefore w:val="0"/>
        <w:widowControl/>
        <w:kinsoku/>
        <w:wordWrap/>
        <w:overflowPunct/>
        <w:topLinePunct w:val="0"/>
        <w:bidi w:val="0"/>
        <w:jc w:val="left"/>
        <w:outlineLvl w:val="9"/>
        <w:rPr>
          <w:rFonts w:ascii="仿宋_GB2312" w:eastAsia="仿宋_GB2312"/>
          <w:sz w:val="32"/>
          <w:szCs w:val="32"/>
        </w:rPr>
      </w:pPr>
      <w:r>
        <w:rPr>
          <w:rFonts w:ascii="仿宋_GB2312" w:eastAsia="仿宋_GB2312"/>
          <w:sz w:val="32"/>
          <w:szCs w:val="32"/>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70" w:name="_Toc30584"/>
      <w:bookmarkStart w:id="471" w:name="_Toc1120"/>
      <w:bookmarkStart w:id="472" w:name="_Toc13131"/>
      <w:bookmarkStart w:id="473" w:name="_Toc129"/>
      <w:bookmarkStart w:id="474" w:name="_Toc13029"/>
      <w:r>
        <w:rPr>
          <w:rFonts w:hint="eastAsia" w:asciiTheme="minorEastAsia" w:hAnsiTheme="minorEastAsia" w:eastAsiaTheme="minorEastAsia" w:cstheme="minorEastAsia"/>
          <w:b/>
          <w:color w:val="000000"/>
          <w:kern w:val="0"/>
          <w:sz w:val="36"/>
          <w:szCs w:val="36"/>
        </w:rPr>
        <w:t>柳州职业技术学院教材建设与管理规定</w:t>
      </w:r>
      <w:bookmarkEnd w:id="470"/>
      <w:bookmarkEnd w:id="471"/>
      <w:bookmarkEnd w:id="472"/>
      <w:bookmarkEnd w:id="473"/>
      <w:bookmarkEnd w:id="474"/>
    </w:p>
    <w:p>
      <w:pPr>
        <w:pageBreakBefore w:val="0"/>
        <w:kinsoku/>
        <w:wordWrap/>
        <w:overflowPunct/>
        <w:topLinePunct w:val="0"/>
        <w:bidi w:val="0"/>
        <w:spacing w:line="596" w:lineRule="exact"/>
        <w:jc w:val="center"/>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t>（</w:t>
      </w:r>
      <w:r>
        <w:rPr>
          <w:rFonts w:hint="eastAsia" w:ascii="仿宋_GB2312" w:eastAsia="仿宋_GB2312"/>
          <w:sz w:val="32"/>
          <w:szCs w:val="32"/>
        </w:rPr>
        <w:t>柳职院教字〔2019〕23号</w:t>
      </w:r>
      <w:r>
        <w:rPr>
          <w:rFonts w:hint="eastAsia" w:ascii="仿宋_GB2312" w:eastAsia="仿宋_GB2312"/>
          <w:b w:val="0"/>
          <w:bCs w:val="0"/>
          <w:sz w:val="32"/>
          <w:szCs w:val="32"/>
          <w:lang w:eastAsia="zh-CN"/>
        </w:rPr>
        <w:t>）</w:t>
      </w:r>
    </w:p>
    <w:p>
      <w:pPr>
        <w:pageBreakBefore w:val="0"/>
        <w:kinsoku/>
        <w:wordWrap/>
        <w:overflowPunct/>
        <w:topLinePunct w:val="0"/>
        <w:bidi w:val="0"/>
        <w:spacing w:line="596" w:lineRule="exact"/>
        <w:jc w:val="center"/>
        <w:outlineLvl w:val="9"/>
        <w:rPr>
          <w:rFonts w:hint="eastAsia" w:ascii="仿宋_GB2312" w:eastAsia="仿宋_GB2312"/>
          <w:b w:val="0"/>
          <w:bCs w:val="0"/>
          <w:sz w:val="32"/>
          <w:szCs w:val="32"/>
          <w:lang w:eastAsia="zh-CN"/>
        </w:rPr>
      </w:pP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教材是体现教学内容和教学方法的知识载体，是进行教学的基本工具。教材包括纸质教材、多媒体课件、计算机辅助教学软件、电子教材等，凡教学计划内开设课程所用的课本、讲义、习题集、实践（实习、实训、实验）指导书、辅助资料等均属于教材的范围。做好教材建设与管理是深化教育教学改革，提高教学质量、稳定教学秩序、完成人才培养任务的重要保证。为进一步加强教材建设与管理工作，适应我校教学改革需要，特制定本规定。</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第一章 教材建设与管理的组织领导</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第一条</w:t>
      </w:r>
      <w:r>
        <w:rPr>
          <w:rFonts w:hint="eastAsia" w:ascii="仿宋_GB2312" w:hAnsi="Times New Roman" w:eastAsia="仿宋_GB2312" w:cs="Times New Roman"/>
          <w:sz w:val="32"/>
          <w:szCs w:val="32"/>
        </w:rPr>
        <w:t xml:space="preserve">  成立学校教材建设领导小组，组长由学校党政主要领导担任，成员由学校党委委员、学校教学工作委员会委员组成。负责学校全面的教材规划、建设与管理。</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第二条  </w:t>
      </w:r>
      <w:r>
        <w:rPr>
          <w:rFonts w:hint="eastAsia" w:ascii="仿宋_GB2312" w:hAnsi="Times New Roman" w:eastAsia="仿宋_GB2312" w:cs="Times New Roman"/>
          <w:sz w:val="32"/>
          <w:szCs w:val="32"/>
        </w:rPr>
        <w:t>成立校、院二级</w:t>
      </w:r>
      <w:r>
        <w:rPr>
          <w:rFonts w:ascii="仿宋_GB2312" w:hAnsi="Times New Roman" w:eastAsia="仿宋_GB2312" w:cs="Times New Roman"/>
          <w:sz w:val="32"/>
          <w:szCs w:val="32"/>
        </w:rPr>
        <w:t>教材审查委员会</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教材审查委员</w:t>
      </w:r>
      <w:r>
        <w:rPr>
          <w:rFonts w:hint="eastAsia" w:ascii="仿宋_GB2312" w:hAnsi="Times New Roman" w:eastAsia="仿宋_GB2312" w:cs="Times New Roman"/>
          <w:sz w:val="32"/>
          <w:szCs w:val="32"/>
        </w:rPr>
        <w:t>会在学校教材建设领导小组，负责对教材选用、自编讲义印制、教材编写及出版进行</w:t>
      </w:r>
      <w:r>
        <w:rPr>
          <w:rFonts w:ascii="仿宋_GB2312" w:hAnsi="Times New Roman" w:eastAsia="仿宋_GB2312" w:cs="Times New Roman"/>
          <w:sz w:val="32"/>
          <w:szCs w:val="32"/>
        </w:rPr>
        <w:t>审查，确保教材整体质量和水平。</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1.学校</w:t>
      </w:r>
      <w:r>
        <w:rPr>
          <w:rFonts w:ascii="仿宋_GB2312" w:hAnsi="Times New Roman" w:eastAsia="仿宋_GB2312" w:cs="Times New Roman"/>
          <w:sz w:val="32"/>
          <w:szCs w:val="32"/>
        </w:rPr>
        <w:t>教材审查委员会</w:t>
      </w:r>
      <w:r>
        <w:rPr>
          <w:rFonts w:hint="eastAsia" w:ascii="仿宋_GB2312" w:hAnsi="Times New Roman" w:eastAsia="仿宋_GB2312" w:cs="Times New Roman"/>
          <w:sz w:val="32"/>
          <w:szCs w:val="32"/>
        </w:rPr>
        <w:t>主任由学校分管领导担任，成员由学校党委委员、学校教学工作委员会委员组成。</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2.二级学院</w:t>
      </w:r>
      <w:r>
        <w:rPr>
          <w:rFonts w:ascii="仿宋_GB2312" w:hAnsi="Times New Roman" w:eastAsia="仿宋_GB2312" w:cs="Times New Roman"/>
          <w:sz w:val="32"/>
          <w:szCs w:val="32"/>
        </w:rPr>
        <w:t>教材审查委员会</w:t>
      </w:r>
      <w:r>
        <w:rPr>
          <w:rFonts w:hint="eastAsia" w:ascii="仿宋_GB2312" w:hAnsi="Times New Roman" w:eastAsia="仿宋_GB2312" w:cs="Times New Roman"/>
          <w:sz w:val="32"/>
          <w:szCs w:val="32"/>
        </w:rPr>
        <w:t>主任由二级学院院长担任，成员由二级学院党总支负责人、专业建设指导委员会成员、二级学院教学工作委员会委员组成。</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第三条</w:t>
      </w:r>
      <w:r>
        <w:rPr>
          <w:rFonts w:hint="eastAsia" w:ascii="仿宋_GB2312" w:hAnsi="Times New Roman" w:eastAsia="仿宋_GB2312" w:cs="Times New Roman"/>
          <w:sz w:val="32"/>
          <w:szCs w:val="32"/>
        </w:rPr>
        <w:t xml:space="preserve">  教务与实训管理处负责教材建设的日常组织协调和管理工作。负责组织进行全校性的教材立项与建设工作；组织教材征订和教材发放工作；组织教材的校级审查；组织进行教材的评估工作。</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第四条</w:t>
      </w:r>
      <w:r>
        <w:rPr>
          <w:rFonts w:hint="eastAsia" w:ascii="仿宋_GB2312" w:hAnsi="Times New Roman" w:eastAsia="仿宋_GB2312" w:cs="Times New Roman"/>
          <w:sz w:val="32"/>
          <w:szCs w:val="32"/>
        </w:rPr>
        <w:t xml:space="preserve">  二级学院负责本学院教材建设的常规工作。负责组织教材的选用；组织教材的编写；组织教材的二级学院审查；组织进行教材建设与改革的研究工作。</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第五条</w:t>
      </w:r>
      <w:r>
        <w:rPr>
          <w:rFonts w:hint="eastAsia" w:ascii="仿宋_GB2312" w:hAnsi="Times New Roman" w:eastAsia="仿宋_GB2312" w:cs="Times New Roman"/>
          <w:sz w:val="32"/>
          <w:szCs w:val="32"/>
        </w:rPr>
        <w:t xml:space="preserve">  教材编写组负责教材的编写、修订、出版，对教材的内容的思想性和科学性负责。负责按照编写计划，认真组织编写，按时按质完成教材编写任务；保证教材的质量，对教材的科学性、知识产权、学术观点负责；保证教材的思想性，弘扬社会主义核心价值观，贯彻课程思政改革精神；负责有关经费和出版等事宜。</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第二章  教材的选用、征订、保管、发放及费用结算</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第六条</w:t>
      </w:r>
      <w:r>
        <w:rPr>
          <w:rFonts w:hint="eastAsia" w:ascii="仿宋_GB2312" w:hAnsi="Times New Roman" w:eastAsia="仿宋_GB2312" w:cs="Times New Roman"/>
          <w:sz w:val="32"/>
          <w:szCs w:val="32"/>
        </w:rPr>
        <w:t xml:space="preserve">  教材的选用原则</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政治性原则。教材的选用全面贯彻党的教育方针，落实立德树人根本任务，必须符合中国特色社会主义理论体系和社会主义核心价值观的要求，始终坚持正确政治方向和价值导向。体现中华优秀传统文化、革命文化和社会主义先进文化，弘扬劳动光荣、技能宝贵、创造伟大的时代风尚。意识形态属性较强的教材和涉及国家主权、安全以及民族、宗教等内容的教材，均应选用国家统编教材。</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适用性原则。选择的教材应符合高等职业教育特点要求，符合我校办学定位的要求，符合我校专业培养目标和课程标准要求，适合应用型人才培养。要求选用高职高专教材，不用本科教材、中专教材和一般科普读物。</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择优选新的原则。优先选用国家级规划教材、行业规划教材、优秀教材，或近三年出版的高职高专最新版本的教材，使高质量的新版教材成为教材选用的主体。两课教材必须选用马克思主义理论研究和建设工程重点教材。</w:t>
      </w:r>
      <w:r>
        <w:rPr>
          <w:rFonts w:ascii="仿宋_GB2312" w:hAnsi="Times New Roman" w:eastAsia="仿宋_GB2312" w:cs="Times New Roman"/>
          <w:sz w:val="32"/>
          <w:szCs w:val="32"/>
        </w:rPr>
        <w:t xml:space="preserve">  </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第七条 </w:t>
      </w:r>
      <w:r>
        <w:rPr>
          <w:rFonts w:hint="eastAsia" w:ascii="仿宋_GB2312" w:hAnsi="Times New Roman" w:eastAsia="仿宋_GB2312" w:cs="Times New Roman"/>
          <w:sz w:val="32"/>
          <w:szCs w:val="32"/>
        </w:rPr>
        <w:t xml:space="preserve"> 教材的征订</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1.全校教材实行统一招标采购制。全校开设课程的教材，归口教务与实训管理处统一征订。任何部门和个人不得以任何形式向学生推销学校统一订购外的教材和参考资料。</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每年教材征订分春、秋两季进行。每次只征订本学期所开设课程的教材。根据教材出版发行规定，教材订购需提前预订，如逾期补订，则教材到货及数量难以保证。各二级学院应根据教务与实训管理处的要求，在规定的时间内提交教材订购计划。</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3.由团队（课程）负责人组织任课教师，提出各门课程的教材征订意向。变更教材征订意向，须经教学团队提出书面申请，二级学院分管教学领导签署意见，报教务与实训管理处审核同意后方可变更。</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教务与实训管理处要积极与教材供应方联系，保证按时按量供应在规定征订期限内征订的教材，及时将教材供应情况反馈给各二级学院。对无法供应或无法按时供应的教材，各二级学院要及时提供教材更换信息。</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第八条</w:t>
      </w:r>
      <w:r>
        <w:rPr>
          <w:rFonts w:hint="eastAsia" w:ascii="仿宋_GB2312" w:hAnsi="Times New Roman" w:eastAsia="仿宋_GB2312" w:cs="Times New Roman"/>
          <w:sz w:val="32"/>
          <w:szCs w:val="32"/>
        </w:rPr>
        <w:t xml:space="preserve">  教材的保管</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1.教材入库要严格履行验收入库手续。</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2.每学期教材发放结束后，教务与实训管理处应对库存教材进行清点，并将剩余教材整理核对后退回给教材供应方，保证零库存。</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3.要加强教材库的日常管理，教材存放要做到分类清楚，库房要做到防火、防潮、防盗、防鼠咬虫蛀。</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第九条</w:t>
      </w:r>
      <w:r>
        <w:rPr>
          <w:rFonts w:hint="eastAsia" w:ascii="仿宋_GB2312" w:hAnsi="Times New Roman" w:eastAsia="仿宋_GB2312" w:cs="Times New Roman"/>
          <w:sz w:val="32"/>
          <w:szCs w:val="32"/>
        </w:rPr>
        <w:t xml:space="preserve">  教材的领用</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1.任课教师凭教学任务书到学校教材库领取。</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学生使用的教材由各班级辅导员按规定的时间到班级所在学区的教材库领取。领取教材时，应当面核对教材名称、编者、出版社、数量、单价，并在购书单上签名确认。教材发放结束1个月内，各班辅导员需把本班级学生因休学、退学未领的教材退回教材库。</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第十条</w:t>
      </w:r>
      <w:r>
        <w:rPr>
          <w:rFonts w:hint="eastAsia" w:ascii="仿宋_GB2312" w:hAnsi="Times New Roman" w:eastAsia="仿宋_GB2312" w:cs="Times New Roman"/>
          <w:sz w:val="32"/>
          <w:szCs w:val="32"/>
        </w:rPr>
        <w:t xml:space="preserve">  教材收费和结算</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ascii="仿宋_GB2312" w:hAnsi="Times New Roman" w:eastAsia="仿宋_GB2312" w:cs="Times New Roman"/>
          <w:sz w:val="32"/>
          <w:szCs w:val="32"/>
        </w:rPr>
        <w:t>实行预收教材费办法。即在</w:t>
      </w:r>
      <w:r>
        <w:rPr>
          <w:rFonts w:hint="eastAsia" w:ascii="仿宋_GB2312" w:hAnsi="Times New Roman" w:eastAsia="仿宋_GB2312" w:cs="Times New Roman"/>
          <w:sz w:val="32"/>
          <w:szCs w:val="32"/>
        </w:rPr>
        <w:t>每学年</w:t>
      </w:r>
      <w:r>
        <w:rPr>
          <w:rFonts w:ascii="仿宋_GB2312" w:hAnsi="Times New Roman" w:eastAsia="仿宋_GB2312" w:cs="Times New Roman"/>
          <w:sz w:val="32"/>
          <w:szCs w:val="32"/>
        </w:rPr>
        <w:t>开学时</w:t>
      </w:r>
      <w:r>
        <w:rPr>
          <w:rFonts w:hint="eastAsia" w:ascii="仿宋_GB2312" w:hAnsi="Times New Roman" w:eastAsia="仿宋_GB2312" w:cs="Times New Roman"/>
          <w:sz w:val="32"/>
          <w:szCs w:val="32"/>
        </w:rPr>
        <w:t>教材管理员将教材费预收标准录入学校收费系统。每学年开学时由财务处</w:t>
      </w:r>
      <w:r>
        <w:rPr>
          <w:rFonts w:ascii="仿宋_GB2312" w:hAnsi="Times New Roman" w:eastAsia="仿宋_GB2312" w:cs="Times New Roman"/>
          <w:sz w:val="32"/>
          <w:szCs w:val="32"/>
        </w:rPr>
        <w:t>预收</w:t>
      </w:r>
      <w:r>
        <w:rPr>
          <w:rFonts w:hint="eastAsia" w:ascii="仿宋_GB2312" w:hAnsi="Times New Roman" w:eastAsia="仿宋_GB2312" w:cs="Times New Roman"/>
          <w:sz w:val="32"/>
          <w:szCs w:val="32"/>
        </w:rPr>
        <w:t>规定</w:t>
      </w:r>
      <w:r>
        <w:rPr>
          <w:rFonts w:ascii="仿宋_GB2312" w:hAnsi="Times New Roman" w:eastAsia="仿宋_GB2312" w:cs="Times New Roman"/>
          <w:sz w:val="32"/>
          <w:szCs w:val="32"/>
        </w:rPr>
        <w:t>数额的教材费</w:t>
      </w:r>
      <w:r>
        <w:rPr>
          <w:rFonts w:hint="eastAsia" w:ascii="仿宋_GB2312" w:hAnsi="Times New Roman" w:eastAsia="仿宋_GB2312" w:cs="Times New Roman"/>
          <w:sz w:val="32"/>
          <w:szCs w:val="32"/>
        </w:rPr>
        <w:t>，收支由财务处管理。</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2.学生教材费实行每学年结算。教务与实训管理处在每学期放假后10天内将学生上一学期实际领用的教材费数额录入学校收费系统，财务处根据学生实际领用一学年的教材费在下一学年开学时进行多退少补。</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3.毕业班教材费的结算：每年11月中旬前，教材管理员将毕业班第五学期学生教材费录入学校收费系统。由财务处对学生教材费进行结算。</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4.学籍异动时教材费的结算：对退学、休学、复学、转专业的学生，辅导员需将学生领取教材的信息填在学生退学、休学、退学申请表上，教材管理员核对教学领取和教材费预收情况，更改并结算学生教材费。</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第三章  教材的编写</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第十一条</w:t>
      </w:r>
      <w:r>
        <w:rPr>
          <w:rFonts w:hint="eastAsia" w:ascii="仿宋_GB2312" w:hAnsi="Times New Roman" w:eastAsia="仿宋_GB2312" w:cs="Times New Roman"/>
          <w:sz w:val="32"/>
          <w:szCs w:val="32"/>
        </w:rPr>
        <w:t xml:space="preserve">  教材建设实行主编负责制，主编对教材编写质量负总责。主编应坚持正确的政治导向，政治敏锐性强，能够辨别并自觉抵制错误政治观点；在本专业领域有深入研究、较高的造诣，在相关教材或教学方面取得有影响的研究成果，熟悉相关行业发展前沿知识与技术，有丰富的教材编写经验；一般应具有高级专业技术职务，新兴专业、行业紧缺技术人才、能工巧匠可适当放宽要求；有较高的文字水平，熟悉教材语言风格，能够熟练运用中国特色的话语体系。</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第十二条  </w:t>
      </w:r>
      <w:r>
        <w:rPr>
          <w:rFonts w:hint="eastAsia" w:ascii="仿宋_GB2312" w:hAnsi="Times New Roman" w:eastAsia="仿宋_GB2312" w:cs="Times New Roman"/>
          <w:sz w:val="32"/>
          <w:szCs w:val="32"/>
        </w:rPr>
        <w:t>编写人员应经二级学院教材审查委员会审核同意，政治立场坚定，拥护中国共产党的领导，认同中国特色社会主义，坚定“四个自信”，自觉践行社会主义核心价值观，坚持正确的历史观、民族观、国家观、文化观；熟悉职业教育教学规律和学生身心发展特点，对本专业领域有比较深入的研究，熟悉行业发展与企业用人要求，有丰富的教学、教科研或企业工作经验；有良好的思想品德、社会形象和师德师风，未出现过违纪违规违法情形；有足够时间和精力从事教材编写修订工作；专业课教材应有行业企业专家或技术技能大师参与编写。</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第十三条  </w:t>
      </w:r>
      <w:r>
        <w:rPr>
          <w:rFonts w:hint="eastAsia" w:ascii="仿宋_GB2312" w:hAnsi="Times New Roman" w:eastAsia="仿宋_GB2312" w:cs="Times New Roman"/>
          <w:sz w:val="32"/>
          <w:szCs w:val="32"/>
        </w:rPr>
        <w:t>教材编写的选择</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1.</w:t>
      </w:r>
      <w:r>
        <w:rPr>
          <w:rFonts w:hint="eastAsia" w:ascii="仿宋_GB2312" w:hAnsi="Times New Roman" w:eastAsia="仿宋_GB2312" w:cs="Times New Roman"/>
          <w:sz w:val="32"/>
          <w:szCs w:val="32"/>
        </w:rPr>
        <w:t>每门课程应有相应的教材，若暂时征订不到适合的教材，课程管理二级学院应组织有关人员编写教材。</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2.</w:t>
      </w:r>
      <w:r>
        <w:rPr>
          <w:rFonts w:hint="eastAsia" w:ascii="仿宋_GB2312" w:hAnsi="Times New Roman" w:eastAsia="仿宋_GB2312" w:cs="Times New Roman"/>
          <w:sz w:val="32"/>
          <w:szCs w:val="32"/>
        </w:rPr>
        <w:t>自编教材应属国内尚无统编出版的同类教材，或有统编出版的教材但并不适合我校使用。凡已有较高质量的成熟教材可以采用的，原则上不再安排编写。</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优先编写以下教材：服务现代农业、先进制造业、现代服务业、战略性新兴产业和地方特色产业，国家战略和经济社会发展急需紧缺领域，民族传统技艺领域等相关专业的教材；适应新业态、新职业和新岗位要求的特色教材；行业特点鲜明，在教学实践应用中不断完善，覆盖面广、影响力大，适应职业教育教学改革需要，注重以真实生产项目、典型工作任务等为载体组织教学单元的教材；新型活页式、工作手册式等教材；适应1+X证书制度试点工作需要，将职业技能等级标准有关内容及要求有机融入教材内容，推进书证融通、课证融通的教材；服务“一带一路”建设等，适应职业教育对外开放和国际合作需要，凝聚中国经验的教材；课程建设与教材编写融合深入，编排方式灵活，配套资源丰富，呈现形式紧密服务教学内容安排和教学目的，信息技术应用适宜的教材。</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第十四条</w:t>
      </w:r>
      <w:r>
        <w:rPr>
          <w:rFonts w:hint="eastAsia" w:ascii="仿宋_GB2312" w:hAnsi="Times New Roman" w:eastAsia="仿宋_GB2312" w:cs="Times New Roman"/>
          <w:sz w:val="32"/>
          <w:szCs w:val="32"/>
        </w:rPr>
        <w:t xml:space="preserve">  编写程序</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1.</w:t>
      </w:r>
      <w:r>
        <w:rPr>
          <w:rFonts w:hint="eastAsia" w:ascii="仿宋_GB2312" w:hAnsi="Times New Roman" w:eastAsia="仿宋_GB2312" w:cs="Times New Roman"/>
          <w:sz w:val="32"/>
          <w:szCs w:val="32"/>
        </w:rPr>
        <w:t>教材的编写实行主编负责制，由主编提出编写申请，由教务处组织评议，并确定立项。</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2.</w:t>
      </w:r>
      <w:r>
        <w:rPr>
          <w:rFonts w:hint="eastAsia" w:ascii="仿宋_GB2312" w:hAnsi="Times New Roman" w:eastAsia="仿宋_GB2312" w:cs="Times New Roman"/>
          <w:sz w:val="32"/>
          <w:szCs w:val="32"/>
        </w:rPr>
        <w:t>学校教务处也可根据各专业教学发展要求向二级学院下达编写任务。</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3.</w:t>
      </w:r>
      <w:r>
        <w:rPr>
          <w:rFonts w:hint="eastAsia" w:ascii="仿宋_GB2312" w:hAnsi="Times New Roman" w:eastAsia="仿宋_GB2312" w:cs="Times New Roman"/>
          <w:sz w:val="32"/>
          <w:szCs w:val="32"/>
        </w:rPr>
        <w:t>自编教材定稿后，经院、校二级</w:t>
      </w:r>
      <w:r>
        <w:rPr>
          <w:rFonts w:ascii="仿宋_GB2312" w:hAnsi="Times New Roman" w:eastAsia="仿宋_GB2312" w:cs="Times New Roman"/>
          <w:sz w:val="32"/>
          <w:szCs w:val="32"/>
        </w:rPr>
        <w:t>教材审查委员会</w:t>
      </w:r>
      <w:r>
        <w:rPr>
          <w:rFonts w:hint="eastAsia" w:ascii="仿宋_GB2312" w:hAnsi="Times New Roman" w:eastAsia="仿宋_GB2312" w:cs="Times New Roman"/>
          <w:sz w:val="32"/>
          <w:szCs w:val="32"/>
        </w:rPr>
        <w:t>审查通过，获批准后方可纳入我校的教材出版发行和使用计划。</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第十五条</w:t>
      </w:r>
      <w:r>
        <w:rPr>
          <w:rFonts w:hint="eastAsia" w:ascii="仿宋_GB2312" w:hAnsi="Times New Roman" w:eastAsia="仿宋_GB2312" w:cs="Times New Roman"/>
          <w:sz w:val="32"/>
          <w:szCs w:val="32"/>
        </w:rPr>
        <w:t xml:space="preserve">  工作量</w:t>
      </w:r>
      <w:r>
        <w:rPr>
          <w:rFonts w:ascii="仿宋_GB2312" w:hAnsi="Times New Roman" w:eastAsia="仿宋_GB2312" w:cs="Times New Roman"/>
          <w:sz w:val="32"/>
          <w:szCs w:val="32"/>
        </w:rPr>
        <w:t>计算</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参照学校有关科研工作量计算的标准，核算教材编写工作量。</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多人合编的教材，人员编写工作量由主编进行分配，但其分配额之和不能超过该种教材所规定的编写工作量。</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第四章  教材的审查</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第十六条</w:t>
      </w:r>
      <w:r>
        <w:rPr>
          <w:rFonts w:hint="eastAsia" w:ascii="仿宋_GB2312" w:hAnsi="Times New Roman" w:eastAsia="仿宋_GB2312" w:cs="Times New Roman"/>
          <w:sz w:val="32"/>
          <w:szCs w:val="32"/>
        </w:rPr>
        <w:t xml:space="preserve">  建立教材</w:t>
      </w:r>
      <w:r>
        <w:rPr>
          <w:rFonts w:ascii="仿宋_GB2312" w:hAnsi="Times New Roman" w:eastAsia="仿宋_GB2312" w:cs="Times New Roman"/>
          <w:sz w:val="32"/>
          <w:szCs w:val="32"/>
        </w:rPr>
        <w:t>学科审查、综合审查、专题审查和终审制度</w:t>
      </w:r>
      <w:r>
        <w:rPr>
          <w:rFonts w:hint="eastAsia" w:ascii="仿宋_GB2312" w:hAnsi="Times New Roman" w:eastAsia="仿宋_GB2312" w:cs="Times New Roman"/>
          <w:sz w:val="32"/>
          <w:szCs w:val="32"/>
        </w:rPr>
        <w:t>。教材选用、自编讲义印制、教材编写及出版、使用</w:t>
      </w:r>
      <w:r>
        <w:rPr>
          <w:rFonts w:ascii="仿宋_GB2312" w:hAnsi="Times New Roman" w:eastAsia="仿宋_GB2312" w:cs="Times New Roman"/>
          <w:sz w:val="32"/>
          <w:szCs w:val="32"/>
        </w:rPr>
        <w:t>境外原版教材</w:t>
      </w:r>
      <w:r>
        <w:rPr>
          <w:rFonts w:hint="eastAsia" w:ascii="仿宋_GB2312" w:hAnsi="Times New Roman" w:eastAsia="仿宋_GB2312" w:cs="Times New Roman"/>
          <w:sz w:val="32"/>
          <w:szCs w:val="32"/>
        </w:rPr>
        <w:t>前，必须经过</w:t>
      </w:r>
      <w:r>
        <w:rPr>
          <w:rFonts w:ascii="仿宋_GB2312" w:hAnsi="Times New Roman" w:eastAsia="仿宋_GB2312" w:cs="Times New Roman"/>
          <w:sz w:val="32"/>
          <w:szCs w:val="32"/>
        </w:rPr>
        <w:t>教材审查委员会的</w:t>
      </w:r>
      <w:r>
        <w:rPr>
          <w:rFonts w:hint="eastAsia" w:ascii="仿宋_GB2312" w:hAnsi="Times New Roman" w:eastAsia="仿宋_GB2312" w:cs="Times New Roman"/>
          <w:sz w:val="32"/>
          <w:szCs w:val="32"/>
        </w:rPr>
        <w:t>严格</w:t>
      </w:r>
      <w:r>
        <w:rPr>
          <w:rFonts w:ascii="仿宋_GB2312" w:hAnsi="Times New Roman" w:eastAsia="仿宋_GB2312" w:cs="Times New Roman"/>
          <w:sz w:val="32"/>
          <w:szCs w:val="32"/>
        </w:rPr>
        <w:t>审查，确保教材整体质量和水平。</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ascii="仿宋_GB2312" w:hAnsi="Times New Roman" w:eastAsia="仿宋_GB2312" w:cs="Times New Roman"/>
          <w:sz w:val="32"/>
          <w:szCs w:val="32"/>
        </w:rPr>
        <w:t>学科审查重在教材内容的科学性、系统性、准确性、前沿性和适宜性</w:t>
      </w:r>
      <w:r>
        <w:rPr>
          <w:rFonts w:hint="eastAsia" w:ascii="仿宋_GB2312" w:hAnsi="Times New Roman" w:eastAsia="仿宋_GB2312" w:cs="Times New Roman"/>
          <w:sz w:val="32"/>
          <w:szCs w:val="32"/>
        </w:rPr>
        <w:t>，由二级学院教材审查委员会负责。</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w:t>
      </w:r>
      <w:r>
        <w:rPr>
          <w:rFonts w:ascii="仿宋_GB2312" w:hAnsi="Times New Roman" w:eastAsia="仿宋_GB2312" w:cs="Times New Roman"/>
          <w:sz w:val="32"/>
          <w:szCs w:val="32"/>
        </w:rPr>
        <w:t>综合审查重在跨学科横向配合和各学段纵向有机衔接的情况</w:t>
      </w:r>
      <w:r>
        <w:rPr>
          <w:rFonts w:hint="eastAsia" w:ascii="仿宋_GB2312" w:hAnsi="Times New Roman" w:eastAsia="仿宋_GB2312" w:cs="Times New Roman"/>
          <w:sz w:val="32"/>
          <w:szCs w:val="32"/>
        </w:rPr>
        <w:t>，由二级学院教材审查委员负责。</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w:t>
      </w:r>
      <w:r>
        <w:rPr>
          <w:rFonts w:ascii="仿宋_GB2312" w:hAnsi="Times New Roman" w:eastAsia="仿宋_GB2312" w:cs="Times New Roman"/>
          <w:sz w:val="32"/>
          <w:szCs w:val="32"/>
        </w:rPr>
        <w:t>专题审查重在涉及我国主权、边疆海域、重大事件、著名人物等内容</w:t>
      </w:r>
      <w:r>
        <w:rPr>
          <w:rFonts w:hint="eastAsia" w:ascii="仿宋_GB2312" w:hAnsi="Times New Roman" w:eastAsia="仿宋_GB2312" w:cs="Times New Roman"/>
          <w:sz w:val="32"/>
          <w:szCs w:val="32"/>
        </w:rPr>
        <w:t>，由学校教材审查委员会委托马克思主义学院负责。</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4.</w:t>
      </w:r>
      <w:r>
        <w:rPr>
          <w:rFonts w:ascii="仿宋_GB2312" w:hAnsi="Times New Roman" w:eastAsia="仿宋_GB2312" w:cs="Times New Roman"/>
          <w:sz w:val="32"/>
          <w:szCs w:val="32"/>
        </w:rPr>
        <w:t>终审重在全面审查落实立德树人根本任务、有机融入社会主义核心价值观等方面的情况</w:t>
      </w:r>
      <w:r>
        <w:rPr>
          <w:rFonts w:hint="eastAsia" w:ascii="仿宋_GB2312" w:hAnsi="Times New Roman" w:eastAsia="仿宋_GB2312" w:cs="Times New Roman"/>
          <w:sz w:val="32"/>
          <w:szCs w:val="32"/>
        </w:rPr>
        <w:t>，由学校教材审查委员会负责</w:t>
      </w:r>
      <w:r>
        <w:rPr>
          <w:rFonts w:ascii="仿宋_GB2312" w:hAnsi="Times New Roman" w:eastAsia="仿宋_GB2312" w:cs="Times New Roman"/>
          <w:sz w:val="32"/>
          <w:szCs w:val="32"/>
        </w:rPr>
        <w:t>。</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第五章  教材的研究</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第十七条</w:t>
      </w:r>
      <w:r>
        <w:rPr>
          <w:rFonts w:hint="eastAsia" w:ascii="仿宋_GB2312" w:hAnsi="Times New Roman" w:eastAsia="仿宋_GB2312" w:cs="Times New Roman"/>
          <w:sz w:val="32"/>
          <w:szCs w:val="32"/>
        </w:rPr>
        <w:t xml:space="preserve">  教材研究是教材建设工作的重要组成部分，扎实开展教材研究工作是选用和编写教材的重要保证。各二级学院要建立健全教材研究制度，切实采取措施，将教材研究工作落到实处。教材研究工作的内容主要是：</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1.有关教材编写及使用的经验交流；</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2.新编教材和国外教材的研究、推广与评价；</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sz w:val="32"/>
          <w:szCs w:val="32"/>
        </w:rPr>
        <w:t>3.教材采购、管理及供应工作。</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第六章  教材的质量评价</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第十八条</w:t>
      </w:r>
      <w:r>
        <w:rPr>
          <w:rFonts w:hint="eastAsia" w:ascii="仿宋_GB2312" w:hAnsi="Times New Roman" w:eastAsia="仿宋_GB2312" w:cs="Times New Roman"/>
          <w:sz w:val="32"/>
          <w:szCs w:val="32"/>
        </w:rPr>
        <w:t xml:space="preserve">  教务处协同二级学院每学年（期）对教材使用情况进行跟踪调查，调查的对象包括学生与任课教师。通过对教材质量等各方面进行调查分析及评价，为教材选用和编写提供可靠依据。</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第十九条  </w:t>
      </w:r>
      <w:r>
        <w:rPr>
          <w:rFonts w:hint="eastAsia" w:ascii="仿宋_GB2312" w:hAnsi="Times New Roman" w:eastAsia="仿宋_GB2312" w:cs="Times New Roman"/>
          <w:sz w:val="32"/>
          <w:szCs w:val="32"/>
        </w:rPr>
        <w:t>鼓励教师编写有水平高质量的教材和讲义，学校定期评比优秀教材并进行表彰。评选基本标准：</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1.</w:t>
      </w:r>
      <w:r>
        <w:rPr>
          <w:rFonts w:hint="eastAsia" w:ascii="仿宋_GB2312" w:hAnsi="Times New Roman" w:eastAsia="仿宋_GB2312" w:cs="Times New Roman"/>
          <w:sz w:val="32"/>
          <w:szCs w:val="32"/>
        </w:rPr>
        <w:t>深化课程思政改革，实现知识传授、能力培养和价值引领的有机统一。以学生为本，符合人才培养目标，能将理想信念、工匠精神、“素养、管理、创新”、国际化等要素融入教材；富有特色，能够激发学生学习兴趣；实际使用效果好，深受师生广泛好评，有效提高教学质量，有利于培养学生的学习能力、实践能力和创新创业能力。</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2.</w:t>
      </w:r>
      <w:r>
        <w:rPr>
          <w:rFonts w:hint="eastAsia" w:ascii="仿宋_GB2312" w:hAnsi="Times New Roman" w:eastAsia="仿宋_GB2312" w:cs="Times New Roman"/>
          <w:sz w:val="32"/>
          <w:szCs w:val="32"/>
        </w:rPr>
        <w:t>与国内同类教材相比，体系、内容、方法有创新，反映现代科学技术、社会科学研究的最新成果，反映新标准、新技术、新工艺、新规范、新材料，具有与本门学科发展相适应的科学水平，应用案例新</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具有一定的先进性。</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3</w:t>
      </w:r>
      <w:r>
        <w:rPr>
          <w:rFonts w:hint="eastAsia" w:ascii="仿宋_GB2312" w:hAnsi="Times New Roman" w:eastAsia="仿宋_GB2312" w:cs="Times New Roman"/>
          <w:sz w:val="32"/>
          <w:szCs w:val="32"/>
        </w:rPr>
        <w:t>．贯彻理论联系实际的原则，材料取舍恰当，内容阐述循序渐进，重点突出，便于自学，使学生能够掌握基本理论、基本知识、基本技能，培养和解决学生分析问题与解决问题的能力，具有一定启发性。</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r>
        <w:rPr>
          <w:rFonts w:ascii="仿宋_GB2312" w:hAnsi="Times New Roman" w:eastAsia="仿宋_GB2312" w:cs="Times New Roman"/>
          <w:sz w:val="32"/>
          <w:szCs w:val="32"/>
        </w:rPr>
        <w:t>4</w:t>
      </w:r>
      <w:r>
        <w:rPr>
          <w:rFonts w:hint="eastAsia" w:ascii="仿宋_GB2312" w:hAnsi="Times New Roman" w:eastAsia="仿宋_GB2312" w:cs="Times New Roman"/>
          <w:sz w:val="32"/>
          <w:szCs w:val="32"/>
        </w:rPr>
        <w:t>．教材编写层次分明，条理清楚；文字规范，语言流畅；图表准确，配合恰当；计量单位符合标准；装帧设计大方美观，与教材内容相辅相成；印刷质量好，墨色均匀，校对差错率低。</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 xml:space="preserve">第二十条   </w:t>
      </w:r>
      <w:r>
        <w:rPr>
          <w:rFonts w:hint="eastAsia" w:ascii="仿宋_GB2312" w:hAnsi="Times New Roman" w:eastAsia="仿宋_GB2312" w:cs="Times New Roman"/>
          <w:sz w:val="32"/>
          <w:szCs w:val="32"/>
        </w:rPr>
        <w:t>获奖的优秀教材或自编讲义可按学校教学成果奖有关规定申报教学成果奖。</w:t>
      </w:r>
    </w:p>
    <w:p>
      <w:pPr>
        <w:pageBreakBefore w:val="0"/>
        <w:kinsoku/>
        <w:wordWrap/>
        <w:overflowPunct/>
        <w:topLinePunct w:val="0"/>
        <w:bidi w:val="0"/>
        <w:spacing w:line="580" w:lineRule="exact"/>
        <w:ind w:firstLine="640" w:firstLineChars="200"/>
        <w:outlineLvl w:val="9"/>
        <w:rPr>
          <w:rFonts w:ascii="仿宋_GB2312" w:hAnsi="Times New Roman" w:eastAsia="仿宋_GB2312" w:cs="Times New Roman"/>
          <w:sz w:val="32"/>
          <w:szCs w:val="32"/>
        </w:rPr>
      </w:pPr>
    </w:p>
    <w:p>
      <w:pPr>
        <w:pageBreakBefore w:val="0"/>
        <w:kinsoku/>
        <w:wordWrap/>
        <w:overflowPunct/>
        <w:topLinePunct w:val="0"/>
        <w:bidi w:val="0"/>
        <w:spacing w:line="580" w:lineRule="exact"/>
        <w:jc w:val="center"/>
        <w:outlineLvl w:val="9"/>
        <w:rPr>
          <w:rFonts w:ascii="黑体" w:hAnsi="黑体" w:eastAsia="黑体" w:cs="Times New Roman"/>
          <w:b/>
          <w:sz w:val="32"/>
          <w:szCs w:val="32"/>
        </w:rPr>
      </w:pPr>
      <w:r>
        <w:rPr>
          <w:rFonts w:hint="eastAsia" w:ascii="黑体" w:hAnsi="黑体" w:eastAsia="黑体" w:cs="Times New Roman"/>
          <w:b/>
          <w:sz w:val="32"/>
          <w:szCs w:val="32"/>
        </w:rPr>
        <w:t>第七章  附则</w:t>
      </w:r>
    </w:p>
    <w:p>
      <w:pPr>
        <w:pageBreakBefore w:val="0"/>
        <w:kinsoku/>
        <w:wordWrap/>
        <w:overflowPunct/>
        <w:topLinePunct w:val="0"/>
        <w:bidi w:val="0"/>
        <w:spacing w:line="580" w:lineRule="exact"/>
        <w:ind w:firstLine="643" w:firstLineChars="200"/>
        <w:outlineLvl w:val="9"/>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第二十一条</w:t>
      </w:r>
      <w:r>
        <w:rPr>
          <w:rFonts w:hint="eastAsia" w:ascii="仿宋_GB2312" w:hAnsi="Times New Roman" w:eastAsia="仿宋_GB2312" w:cs="Times New Roman"/>
          <w:sz w:val="32"/>
          <w:szCs w:val="32"/>
        </w:rPr>
        <w:t xml:space="preserve">  本规定自下发之日起施行，由教务与实训管理处负责解释。《柳州职业技术学院教材建设与管理规定》（柳职院教字〔2005〕7号）同时废止。</w:t>
      </w:r>
    </w:p>
    <w:p>
      <w:pPr>
        <w:pageBreakBefore w:val="0"/>
        <w:kinsoku/>
        <w:wordWrap/>
        <w:overflowPunct/>
        <w:topLinePunct w:val="0"/>
        <w:bidi w:val="0"/>
        <w:outlineLvl w:val="9"/>
        <w:rPr>
          <w:rFonts w:hint="eastAsia" w:ascii="仿宋_GB2312" w:eastAsia="仿宋_GB2312"/>
          <w:b w:val="0"/>
          <w:bCs w:val="0"/>
          <w:sz w:val="32"/>
          <w:szCs w:val="32"/>
          <w:lang w:eastAsia="zh-CN"/>
        </w:rPr>
      </w:pPr>
      <w:r>
        <w:rPr>
          <w:rFonts w:hint="eastAsia" w:ascii="仿宋_GB2312" w:eastAsia="仿宋_GB2312"/>
          <w:b w:val="0"/>
          <w:bCs w:val="0"/>
          <w:sz w:val="32"/>
          <w:szCs w:val="32"/>
          <w:lang w:eastAsia="zh-CN"/>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75" w:name="_Toc13537"/>
      <w:bookmarkStart w:id="476" w:name="_Toc11803"/>
      <w:bookmarkStart w:id="477" w:name="_Toc27158"/>
      <w:bookmarkStart w:id="478" w:name="_Toc19790"/>
      <w:r>
        <w:rPr>
          <w:rFonts w:hint="eastAsia" w:asciiTheme="minorEastAsia" w:hAnsiTheme="minorEastAsia" w:eastAsiaTheme="minorEastAsia" w:cstheme="minorEastAsia"/>
          <w:b/>
          <w:color w:val="000000"/>
          <w:kern w:val="0"/>
          <w:sz w:val="36"/>
          <w:szCs w:val="36"/>
        </w:rPr>
        <w:t>柳州职业技术学院关于落实思政课专任教师与辅导员结对协同育人工作的指导意见</w:t>
      </w:r>
      <w:bookmarkEnd w:id="475"/>
      <w:bookmarkEnd w:id="476"/>
      <w:bookmarkEnd w:id="477"/>
      <w:bookmarkEnd w:id="478"/>
    </w:p>
    <w:p>
      <w:pPr>
        <w:pageBreakBefore w:val="0"/>
        <w:kinsoku/>
        <w:wordWrap/>
        <w:overflowPunct/>
        <w:topLinePunct w:val="0"/>
        <w:bidi w:val="0"/>
        <w:spacing w:line="590" w:lineRule="exact"/>
        <w:jc w:val="center"/>
        <w:outlineLvl w:val="9"/>
        <w:rPr>
          <w:rFonts w:hint="eastAsia" w:ascii="仿宋_GB2312" w:eastAsia="仿宋_GB2312"/>
          <w:sz w:val="32"/>
          <w:szCs w:val="32"/>
        </w:rPr>
      </w:pPr>
      <w:r>
        <w:rPr>
          <w:rFonts w:hint="eastAsia" w:ascii="仿宋_GB2312" w:eastAsia="仿宋_GB2312"/>
          <w:sz w:val="32"/>
          <w:szCs w:val="32"/>
        </w:rPr>
        <w:t>（柳职院字〔2021〕56 号）</w:t>
      </w:r>
    </w:p>
    <w:p>
      <w:pPr>
        <w:pageBreakBefore w:val="0"/>
        <w:kinsoku/>
        <w:wordWrap/>
        <w:overflowPunct/>
        <w:topLinePunct w:val="0"/>
        <w:bidi w:val="0"/>
        <w:spacing w:line="596" w:lineRule="exact"/>
        <w:jc w:val="center"/>
        <w:outlineLvl w:val="9"/>
        <w:rPr>
          <w:b/>
          <w:color w:val="000000"/>
          <w:sz w:val="36"/>
          <w:szCs w:val="36"/>
        </w:rPr>
      </w:pP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lang w:val="en"/>
        </w:rPr>
        <w:t>为了认真贯彻落实《中共中央办公厅国务院办公厅印发〈关于深化新时代学校思想政治理论课改革创新的若干意见〉的通知》（中办发〔2019〕47号），</w:t>
      </w:r>
      <w:r>
        <w:rPr>
          <w:rFonts w:hint="eastAsia" w:ascii="仿宋_GB2312" w:eastAsia="仿宋_GB2312"/>
          <w:sz w:val="32"/>
          <w:szCs w:val="32"/>
        </w:rPr>
        <w:t>积极发挥马克思主义学院在大学生思想政治教育工作中的核心引领作用，着力构建以思想政治理论课（以下简称“思政课”）专任教师与辅导员同向同行的育人共同体，画好育人同心圆，着力推动学校“三全育人”大思政格局建设。结合学校实际，现对落实思政课专任教师与辅导员结对协同育人工作提出以下指导性意见。</w:t>
      </w:r>
    </w:p>
    <w:p>
      <w:pPr>
        <w:pageBreakBefore w:val="0"/>
        <w:kinsoku/>
        <w:wordWrap/>
        <w:overflowPunct/>
        <w:topLinePunct w:val="0"/>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一、思政课专任教师结对安排</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lang w:val="en"/>
        </w:rPr>
      </w:pPr>
      <w:r>
        <w:rPr>
          <w:rFonts w:hint="eastAsia" w:ascii="仿宋_GB2312" w:eastAsia="仿宋_GB2312"/>
          <w:sz w:val="32"/>
          <w:szCs w:val="32"/>
          <w:lang w:val="en"/>
        </w:rPr>
        <w:t>由马克思主义学院和</w:t>
      </w:r>
      <w:r>
        <w:rPr>
          <w:rFonts w:hint="eastAsia" w:ascii="仿宋_GB2312" w:eastAsia="仿宋_GB2312"/>
          <w:sz w:val="32"/>
          <w:szCs w:val="32"/>
        </w:rPr>
        <w:t>学生工作处</w:t>
      </w:r>
      <w:r>
        <w:rPr>
          <w:rFonts w:hint="eastAsia" w:ascii="仿宋_GB2312" w:eastAsia="仿宋_GB2312"/>
          <w:sz w:val="32"/>
          <w:szCs w:val="32"/>
          <w:lang w:val="en"/>
        </w:rPr>
        <w:t>协商，各二级学院配合，落实与辅导员协同育人各项工作安排。</w:t>
      </w:r>
    </w:p>
    <w:p>
      <w:pPr>
        <w:pageBreakBefore w:val="0"/>
        <w:kinsoku/>
        <w:wordWrap/>
        <w:overflowPunct/>
        <w:topLinePunct w:val="0"/>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二、思政课专任教师主要工作及要求</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（一）协同辅导员开展大学生思想理论教育</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思政课专任教师协同辅导员每学期完成1个主题的主题特色班会（不少于40分钟），主题班会有方案、有记录。协助辅导员开展团课示范课建设，参与大学生入党启蒙教育，青马班、学生干部、宣讲团等的培训等，每学期完成1次培训（不少于40分钟），有PPT、有记录。</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（二）协同辅导员开展思想政治教育类课题的理论和实践研究</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思政课专任教师协同辅导员撰写思想政治教育类论文、申报课题、参加校级及以上各类竞赛等；协同辅导员做好教学成果、科研成果、典型工作案例等思想政治教育类工作成果的撰写和上报工作。</w:t>
      </w:r>
    </w:p>
    <w:p>
      <w:pPr>
        <w:pageBreakBefore w:val="0"/>
        <w:kinsoku/>
        <w:wordWrap/>
        <w:overflowPunct/>
        <w:topLinePunct w:val="0"/>
        <w:bidi w:val="0"/>
        <w:spacing w:line="596" w:lineRule="exact"/>
        <w:ind w:firstLine="643" w:firstLineChars="200"/>
        <w:outlineLvl w:val="9"/>
        <w:rPr>
          <w:rFonts w:hint="eastAsia" w:ascii="仿宋_GB2312" w:eastAsia="仿宋_GB2312"/>
          <w:b/>
          <w:bCs/>
          <w:sz w:val="32"/>
          <w:szCs w:val="32"/>
        </w:rPr>
      </w:pPr>
      <w:r>
        <w:rPr>
          <w:rFonts w:hint="eastAsia" w:ascii="仿宋_GB2312" w:eastAsia="仿宋_GB2312"/>
          <w:b/>
          <w:bCs/>
          <w:sz w:val="32"/>
          <w:szCs w:val="32"/>
        </w:rPr>
        <w:t>（三）共同探索建立双向互动协同育人联动机制</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充分发挥思政课专任教师课堂主渠道与辅导员开展日常思政教育主阵地作用。思政课专任教师要在课外更多接触学生，了解青年人的思想动态，推进思政课教学守正创新。辅导员要在开展实践活动中挖掘其蕴含的理论并升华到理论高度来实践育人。思政课教师和辅导员共同商讨，同心同向，通过采用不同方式、不同途径，相互借鉴，有效互补，双向互动，探索建立合力育人联动机制，形成联动效应，切实提升育人实效。</w:t>
      </w:r>
    </w:p>
    <w:p>
      <w:pPr>
        <w:pageBreakBefore w:val="0"/>
        <w:kinsoku/>
        <w:wordWrap/>
        <w:overflowPunct/>
        <w:topLinePunct w:val="0"/>
        <w:bidi w:val="0"/>
        <w:spacing w:line="596" w:lineRule="exact"/>
        <w:ind w:firstLine="643" w:firstLineChars="200"/>
        <w:outlineLvl w:val="9"/>
        <w:rPr>
          <w:rFonts w:hint="eastAsia" w:ascii="黑体" w:hAnsi="黑体" w:eastAsia="黑体" w:cs="黑体"/>
          <w:b/>
          <w:bCs/>
          <w:sz w:val="32"/>
          <w:szCs w:val="32"/>
        </w:rPr>
      </w:pPr>
      <w:r>
        <w:rPr>
          <w:rFonts w:hint="eastAsia" w:ascii="黑体" w:hAnsi="黑体" w:eastAsia="黑体" w:cs="黑体"/>
          <w:b/>
          <w:bCs/>
          <w:sz w:val="32"/>
          <w:szCs w:val="32"/>
        </w:rPr>
        <w:t>三、相关说明</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一）将思政课专任教师协助辅导员开展大学生思想理论教育、协同辅导员开展思想政治教育类课题的理论和实践研究、共同探索建立双向互动协同育人联动机制等工作内容，纳入思政课教师奖励性岗位津贴发放考核评价。</w:t>
      </w:r>
    </w:p>
    <w:p>
      <w:pPr>
        <w:pageBreakBefore w:val="0"/>
        <w:kinsoku/>
        <w:wordWrap/>
        <w:overflowPunct/>
        <w:topLinePunct w:val="0"/>
        <w:bidi w:val="0"/>
        <w:spacing w:line="596" w:lineRule="exact"/>
        <w:ind w:firstLine="640" w:firstLineChars="200"/>
        <w:outlineLvl w:val="9"/>
        <w:rPr>
          <w:rFonts w:hint="eastAsia" w:ascii="仿宋_GB2312" w:eastAsia="仿宋_GB2312"/>
          <w:sz w:val="32"/>
          <w:szCs w:val="32"/>
        </w:rPr>
      </w:pPr>
      <w:r>
        <w:rPr>
          <w:rFonts w:hint="eastAsia" w:ascii="仿宋_GB2312" w:eastAsia="仿宋_GB2312"/>
          <w:sz w:val="32"/>
          <w:szCs w:val="32"/>
        </w:rPr>
        <w:t>（二）马克思主义学院和学生工作处要明确分管领导，定期开展工作研讨，总结工作经验，完善工作机制。</w:t>
      </w:r>
    </w:p>
    <w:p>
      <w:pPr>
        <w:pageBreakBefore w:val="0"/>
        <w:kinsoku/>
        <w:wordWrap/>
        <w:overflowPunct/>
        <w:topLinePunct w:val="0"/>
        <w:bidi w:val="0"/>
        <w:spacing w:line="596" w:lineRule="exact"/>
        <w:ind w:firstLine="640" w:firstLineChars="200"/>
        <w:outlineLvl w:val="9"/>
        <w:rPr>
          <w:rFonts w:hint="eastAsia" w:eastAsia="黑体"/>
          <w:color w:val="000000"/>
          <w:sz w:val="32"/>
          <w:szCs w:val="32"/>
        </w:rPr>
      </w:pPr>
      <w:r>
        <w:rPr>
          <w:rFonts w:hint="eastAsia" w:ascii="仿宋_GB2312" w:eastAsia="仿宋_GB2312"/>
          <w:sz w:val="32"/>
          <w:szCs w:val="32"/>
        </w:rPr>
        <w:t>（三）本指导意见从2021年9月起开始实行。</w:t>
      </w:r>
    </w:p>
    <w:p>
      <w:pPr>
        <w:pageBreakBefore w:val="0"/>
        <w:widowControl/>
        <w:kinsoku/>
        <w:wordWrap/>
        <w:overflowPunct/>
        <w:topLinePunct w:val="0"/>
        <w:bidi w:val="0"/>
        <w:jc w:val="left"/>
        <w:outlineLvl w:val="9"/>
        <w:rPr>
          <w:b/>
          <w:bCs/>
          <w:sz w:val="40"/>
          <w:szCs w:val="48"/>
        </w:rPr>
      </w:pPr>
      <w:r>
        <w:rPr>
          <w:b/>
          <w:bCs/>
          <w:sz w:val="40"/>
          <w:szCs w:val="48"/>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79" w:name="_Toc20896"/>
      <w:bookmarkStart w:id="480" w:name="_Toc5024"/>
      <w:bookmarkStart w:id="481" w:name="_Toc16041"/>
      <w:bookmarkStart w:id="482" w:name="_Toc31678"/>
      <w:r>
        <w:rPr>
          <w:rFonts w:hint="eastAsia" w:asciiTheme="minorEastAsia" w:hAnsiTheme="minorEastAsia" w:eastAsiaTheme="minorEastAsia" w:cstheme="minorEastAsia"/>
          <w:b/>
          <w:color w:val="000000"/>
          <w:kern w:val="0"/>
          <w:sz w:val="36"/>
          <w:szCs w:val="36"/>
        </w:rPr>
        <w:t>柳州职业技术学院辅导员工作室建设项目管理办法（试行）</w:t>
      </w:r>
      <w:bookmarkEnd w:id="479"/>
      <w:bookmarkEnd w:id="480"/>
      <w:bookmarkEnd w:id="481"/>
      <w:bookmarkEnd w:id="482"/>
    </w:p>
    <w:p>
      <w:pPr>
        <w:pageBreakBefore w:val="0"/>
        <w:kinsoku/>
        <w:wordWrap/>
        <w:overflowPunct/>
        <w:topLinePunct w:val="0"/>
        <w:bidi w:val="0"/>
        <w:spacing w:line="596" w:lineRule="exact"/>
        <w:jc w:val="center"/>
        <w:outlineLvl w:val="9"/>
        <w:rPr>
          <w:rFonts w:hint="eastAsia" w:ascii="仿宋_GB2312" w:eastAsia="仿宋_GB2312"/>
          <w:sz w:val="32"/>
          <w:szCs w:val="32"/>
        </w:rPr>
      </w:pPr>
      <w:r>
        <w:rPr>
          <w:rFonts w:hint="eastAsia" w:ascii="仿宋_GB2312" w:eastAsia="仿宋_GB2312"/>
          <w:sz w:val="32"/>
          <w:szCs w:val="32"/>
        </w:rPr>
        <w:t>（柳职院字〔2021〕110 号）</w:t>
      </w:r>
    </w:p>
    <w:p>
      <w:pPr>
        <w:pageBreakBefore w:val="0"/>
        <w:kinsoku/>
        <w:wordWrap/>
        <w:overflowPunct/>
        <w:topLinePunct w:val="0"/>
        <w:bidi w:val="0"/>
        <w:spacing w:line="596" w:lineRule="exact"/>
        <w:jc w:val="center"/>
        <w:outlineLvl w:val="9"/>
        <w:rPr>
          <w:szCs w:val="28"/>
        </w:rPr>
      </w:pP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为探索和创新辅导员队伍建设新模式、新方法，进一步加强我校辅导员队伍建设，促进辅导员队伍职业化、专业化发展，提升大学生思想政治工作质量和水平，结合我校实际，特制定本办法。</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一、指导思想</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以习近平新时代中国特色社会思想为指导，深入贯彻落实全国教育大会精神，紧密结合学校实际，围绕立德树人的根本任务，整合力量，凝练特色，培育和建设一批辅导员工作室，进一步推进我校辅导员队伍职业化、专业化发展，不断提升大学生思想政治工作质量和水平。</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二、工作目标</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结合我校学生成长成才需求，围绕辅导员工作中的重点难点问题，开展学术研究、实践探索、研讨交流等，努力形成专业性、实效性强的工作模式或成果，同时发挥示范引领、辐射带动作用，整体提升辅导员工作的层次和水平。建设5个具有柳州职业技术学院特色的辅导员工作室，培养1-3名在全区乃至全国高职院校有影响力的辅导员和一批校内辅导员骨干。</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三、工作室定位</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辅导员工作室是学校辅导员工作交流的重要载体、辅导员职业能力提升的重要阵地、学生工作理论研究与实践创新的重要平台，为学校辅导员搭建良好学习和交流平台，拓展辅导员专业成长和发展空间，提升辅导员理论水平和工作能力，不断提升大学生思想政治教育工作实效，服务大学生成长成才。</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四、人员组成</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辅导员工作室由主持人、成员组成。主持人是工作室的负责人，负责工作室的全面工作。工作室的成员原则上以专职辅导员为主，一般8-15人，可根据需要吸收学生工作处、校团委、马克思主义学院、通识教育学院等部门人员加入团队，也可跨学院、跨部门组建工作室队伍成员。</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五、工作室主持人主要条件</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（一）拥护党的基本理论、路线、方针和政策，忠诚党的教育事业，具有高度的责任感和奉献精神，热爱大学生思想政治教育和管理工作。</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（二）学校在职在岗专职辅导员（含二级学院分管学生工作的党总支副书记、学生科科长、学生专干、分团委书记）。</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（三）具有硕士及以上学历或讲师（中级）及以上专业技术职称，连续从事学生思想政治教育相关工作3年及以上。</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（四）个人曾荣获市级及以上辅导员荣誉，或校级辅导员素质能力大赛二等奖及以上等。</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（五）所带班级（集体）曾荣获校级及以上荣誉称号（主要是先进班集体、优秀团支部、优秀易班、五四红旗团支部等）。</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（六）具有良好的职业道德和师德师风。</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（七）具有较好的科研能力和组织协调能力。</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六、主要职责</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主持人根据自己的业务特长、专业背景，立足我校学生工作实际，针对新时代大学生思想政治教育的重点、难点、热点问题，在学生管理的某一专题工作领域（如班级建设、资助育人、宿舍文化建设、心理健康教育、新媒体等），选择一个内容作为工作室目标定位和研究特色开展工作，积极探索大学生思想政治教育工作新途径、新方法，形成示范引领和辐射帮扶的突出成果，彰显工作室的亮点和品牌效应。</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七、申报程序</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（一）个人申报。辅导员根据申报条件结合个人优势提出申请，填写《柳州职业技术学院辅导员工作室申报表》（见附件）。</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二）学生工作处审核。由学生工作处组织专家，根据申报人业绩成果、工作室建设目标定位、建设方案可行性、建设内容与学校发展关联性、建设成果突破性等方面进行评审，本着“成熟一个建设一个”的原则，确定工作室建设项目和培育项目名单。</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（三）学校下文公布。</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（四）公示。</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（五）授予证书和牌匾。</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八、建设周期</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辅导员工作室建设周期一般为3年，时间从下文公布之日算起。</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九、管理与考核</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（一）辅导员工作室由学生工作处负责统筹管理，原则上依托二级学院建立。</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（二）辅导员工作室实行年度考核和终期考核方式。</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（三）年度考核由学生工作处组织专家组对辅导员工作室的本年度各项工作开展进行考核评估，考核分为合格、不合格两个等级。对考核不合格的工作室，进行限期整改，整改后仍不合格的工作室给予摘牌处理。</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（四）终期考核由学生工作处会同各二级学院开展，核对建设目标和预期成果实现的情况。</w:t>
      </w:r>
    </w:p>
    <w:p>
      <w:pPr>
        <w:pStyle w:val="14"/>
        <w:pageBreakBefore w:val="0"/>
        <w:kinsoku/>
        <w:wordWrap/>
        <w:overflowPunct/>
        <w:topLinePunct w:val="0"/>
        <w:bidi w:val="0"/>
        <w:spacing w:before="0" w:beforeAutospacing="0" w:after="0" w:afterAutospacing="0" w:line="596" w:lineRule="exact"/>
        <w:ind w:firstLine="643" w:firstLineChars="200"/>
        <w:outlineLvl w:val="9"/>
        <w:rPr>
          <w:rFonts w:ascii="黑体" w:hAnsi="黑体" w:eastAsia="黑体"/>
          <w:b/>
          <w:sz w:val="32"/>
          <w:szCs w:val="32"/>
        </w:rPr>
      </w:pPr>
      <w:r>
        <w:rPr>
          <w:rFonts w:hint="eastAsia" w:ascii="黑体" w:hAnsi="黑体" w:eastAsia="黑体"/>
          <w:b/>
          <w:sz w:val="32"/>
          <w:szCs w:val="32"/>
        </w:rPr>
        <w:t>十、保障措施</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（一）工作条件保障。由各二级学院提供工作场所，并配备必要的办公设备。</w:t>
      </w:r>
    </w:p>
    <w:p>
      <w:pPr>
        <w:pStyle w:val="14"/>
        <w:pageBreakBefore w:val="0"/>
        <w:kinsoku/>
        <w:wordWrap/>
        <w:overflowPunct/>
        <w:topLinePunct w:val="0"/>
        <w:bidi w:val="0"/>
        <w:spacing w:before="0" w:beforeAutospacing="0" w:after="0" w:afterAutospacing="0" w:line="596" w:lineRule="exact"/>
        <w:ind w:firstLine="640" w:firstLineChars="200"/>
        <w:outlineLvl w:val="9"/>
        <w:rPr>
          <w:rFonts w:ascii="仿宋_GB2312" w:hAnsi="Arial" w:eastAsia="仿宋_GB2312" w:cs="仿宋_GB2312"/>
          <w:sz w:val="32"/>
          <w:szCs w:val="32"/>
        </w:rPr>
      </w:pPr>
      <w:r>
        <w:rPr>
          <w:rFonts w:hint="eastAsia" w:ascii="仿宋_GB2312" w:hAnsi="Arial" w:eastAsia="仿宋_GB2312" w:cs="仿宋_GB2312"/>
          <w:sz w:val="32"/>
          <w:szCs w:val="32"/>
        </w:rPr>
        <w:t>（二）经费保障。学校为辅导员工作室建设提供2万元的经费支持，主要用于外出学习交流、研究活动、自主培训等。</w:t>
      </w:r>
    </w:p>
    <w:p>
      <w:pPr>
        <w:pageBreakBefore w:val="0"/>
        <w:kinsoku/>
        <w:wordWrap/>
        <w:overflowPunct/>
        <w:topLinePunct w:val="0"/>
        <w:bidi w:val="0"/>
        <w:outlineLvl w:val="9"/>
        <w:rPr>
          <w:rFonts w:hint="eastAsia"/>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83" w:name="_Toc15917"/>
      <w:bookmarkStart w:id="484" w:name="_Toc32205"/>
      <w:bookmarkStart w:id="485" w:name="_Toc684"/>
      <w:bookmarkStart w:id="486" w:name="_Toc32133"/>
      <w:r>
        <w:rPr>
          <w:rFonts w:hint="eastAsia" w:asciiTheme="minorEastAsia" w:hAnsiTheme="minorEastAsia" w:eastAsiaTheme="minorEastAsia" w:cstheme="minorEastAsia"/>
          <w:b/>
          <w:color w:val="000000"/>
          <w:kern w:val="0"/>
          <w:sz w:val="36"/>
          <w:szCs w:val="36"/>
        </w:rPr>
        <w:t>柳州职业技术学院劳动教育实施方案指导性意见</w:t>
      </w:r>
      <w:bookmarkEnd w:id="483"/>
      <w:bookmarkEnd w:id="484"/>
      <w:bookmarkEnd w:id="485"/>
      <w:bookmarkEnd w:id="486"/>
    </w:p>
    <w:p>
      <w:pPr>
        <w:pageBreakBefore w:val="0"/>
        <w:kinsoku/>
        <w:wordWrap/>
        <w:overflowPunct/>
        <w:topLinePunct w:val="0"/>
        <w:bidi w:val="0"/>
        <w:spacing w:line="596" w:lineRule="exact"/>
        <w:jc w:val="center"/>
        <w:outlineLvl w:val="9"/>
        <w:rPr>
          <w:rFonts w:hint="eastAsia" w:ascii="仿宋_GB2312" w:eastAsia="仿宋_GB2312"/>
          <w:sz w:val="32"/>
          <w:szCs w:val="32"/>
        </w:rPr>
      </w:pPr>
      <w:r>
        <w:rPr>
          <w:rFonts w:hint="eastAsia" w:ascii="仿宋_GB2312" w:eastAsia="仿宋_GB2312"/>
          <w:sz w:val="32"/>
          <w:szCs w:val="32"/>
        </w:rPr>
        <w:t>（柳职院字〔2021〕106 号）</w:t>
      </w:r>
    </w:p>
    <w:p>
      <w:pPr>
        <w:pageBreakBefore w:val="0"/>
        <w:kinsoku/>
        <w:wordWrap/>
        <w:overflowPunct/>
        <w:topLinePunct w:val="0"/>
        <w:bidi w:val="0"/>
        <w:spacing w:line="596" w:lineRule="exact"/>
        <w:ind w:firstLine="420" w:firstLineChars="200"/>
        <w:jc w:val="left"/>
        <w:outlineLvl w:val="9"/>
        <w:rPr>
          <w:rFonts w:asciiTheme="minorEastAsia" w:hAnsiTheme="minorEastAsia" w:cstheme="minorEastAsia"/>
          <w:szCs w:val="28"/>
        </w:rPr>
      </w:pP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根据《深化新时代教育评价改革总体方案》《中共中央国务院关于全面加强新时代大中小学劳动教育的意见》《大中小学劳动教育指导纲要（试行）》《教育部关于职业院校专业人才培养方案制订与实施工作的指导性意见》等文件精神，全面构建体现时代特征的劳动教育体系，广泛开展劳动教育实践活动，切实加强劳动教育的组织实施，特制定本实施方案。</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一、指导思想与实施原则</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（一）指导思想</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以习近平新时代中国特色社会主义思想为指导，全面贯彻党的教育方针，落实全国教育大会精神，坚持立德树人，坚持培育和践行社会主义核心价值观，把劳动教育纳入人才培养全过程，以课程教育为主要依托，以实践育人为基本途径，与德育、智育、体育、美育相融合，紧密结合经济社会发展变化和学生生活实际，注重教育实效，实现知行合一，促进学生形成正确的世界观、人生观、价值观，促进学生全面发展。</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（二）基本原则</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坚持思想引领。</w:t>
      </w:r>
      <w:r>
        <w:rPr>
          <w:rFonts w:hint="eastAsia" w:ascii="仿宋_GB2312" w:eastAsia="仿宋_GB2312"/>
          <w:sz w:val="32"/>
          <w:szCs w:val="32"/>
        </w:rPr>
        <w:t>把准劳动教育价值取向，引导学生树立正确的劳动观，崇尚劳动、尊重劳动，形成健全人格和良好的劳动品质，增强对劳动人民的感情，报效国家，奉献社会。</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坚持校企合作。</w:t>
      </w:r>
      <w:r>
        <w:rPr>
          <w:rFonts w:hint="eastAsia" w:ascii="仿宋_GB2312" w:eastAsia="仿宋_GB2312"/>
          <w:sz w:val="32"/>
          <w:szCs w:val="32"/>
        </w:rPr>
        <w:t>学校联合企业和社会力量，共建劳动教育实践场所，聘请劳动教育兼职教师，校企共同开发劳动教育课程，结合企业真实生产开展实习实训，实施劳动教育，提升育人实效性。</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坚持有机融入。</w:t>
      </w:r>
      <w:r>
        <w:rPr>
          <w:rFonts w:hint="eastAsia" w:ascii="仿宋_GB2312" w:eastAsia="仿宋_GB2312"/>
          <w:sz w:val="32"/>
          <w:szCs w:val="32"/>
        </w:rPr>
        <w:t>将劳动教育全面融入公共基础课，强化马克思主义劳动观、劳动安全、劳动法规教育。将劳动教育融入专业课，专业课进行职业劳动知识技能教学的同时，注重培养劳动素养和劳动品质。</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坚持课程、活动、环境“三维”育人。</w:t>
      </w:r>
      <w:r>
        <w:rPr>
          <w:rFonts w:hint="eastAsia" w:ascii="仿宋_GB2312" w:eastAsia="仿宋_GB2312"/>
          <w:sz w:val="32"/>
          <w:szCs w:val="32"/>
        </w:rPr>
        <w:t>构建劳动教育“三维”育人体系，重点开设三门劳动教育课程，设计三类劳动教育第二课堂活动，打造三类劳动教育文化品牌，通过“三维”立体化培养学生劳动素养。</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坚持“匠心育训”劳动教育模式。</w:t>
      </w:r>
      <w:r>
        <w:rPr>
          <w:rFonts w:hint="eastAsia" w:ascii="仿宋_GB2312" w:eastAsia="仿宋_GB2312"/>
          <w:sz w:val="32"/>
          <w:szCs w:val="32"/>
        </w:rPr>
        <w:t>以“精心设计、潜心教学、真心服务、诚信合作”为劳动教育标准。根据学生特征、性别差异、身体状况等特点，精心设计劳动项目和内容，建立专兼职相结合的劳动教育师资队伍潜心教学，联合社会力量诚信合作、共建稳定的劳动教育基地，开展生产劳动、服务性劳动、创造性劳动。</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二、总体目标</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通过劳动教育，使学生能够理解和形成马克思主义劳动观，牢固树立劳动最光荣、劳动最崇高、劳动最伟大、劳动最美丽的观念；培养学生热爱劳动、尊重普通劳动者、珍惜劳动成果的情感和勤俭、奋斗、创新、奉献的劳动精神；培养学生具备胜任专业工作的劳动实践能力、较强的创新创业能力以及在劳动实践中发现新问题和创造性解决问题的能力；使学生养成良好的劳动习惯。</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对劳动教育进行整体设计、系统规划。构建“三三三”劳动教育体系（开发3门课程、设计3种活动、打造3类文化品牌）、劳动教育支持体系、劳动教育保障体系以及劳动教育评价体系。健全和完善学生劳动素养评价标准、程序和方法，加强劳动教育条件建设、加强专业研究和指导，建立健全劳动教育配套的教学管理体制机制。通过劳动教育，全面提高学生劳动素养，使学生树立正确的劳动观念、具备必备的劳动能力、培育积极的劳动精神、养成良好的劳动习惯和品质。</w:t>
      </w:r>
    </w:p>
    <w:p>
      <w:pPr>
        <w:pageBreakBefore w:val="0"/>
        <w:kinsoku/>
        <w:wordWrap/>
        <w:overflowPunct/>
        <w:topLinePunct w:val="0"/>
        <w:bidi w:val="0"/>
        <w:spacing w:line="596" w:lineRule="exact"/>
        <w:ind w:firstLine="643" w:firstLineChars="200"/>
        <w:outlineLvl w:val="9"/>
        <w:rPr>
          <w:rFonts w:ascii="黑体" w:hAnsi="黑体" w:eastAsia="黑体"/>
          <w:b/>
          <w:sz w:val="32"/>
          <w:szCs w:val="32"/>
        </w:rPr>
      </w:pPr>
      <w:r>
        <w:rPr>
          <w:rFonts w:hint="eastAsia" w:ascii="黑体" w:hAnsi="黑体" w:eastAsia="黑体"/>
          <w:b/>
          <w:sz w:val="32"/>
          <w:szCs w:val="32"/>
        </w:rPr>
        <w:t>三、劳动教育的主要任务</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（一）构建“三三三”劳动教育教育体系</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1.开设“三门”劳动教育课程</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（1）开发《工业</w:t>
      </w:r>
      <w:r>
        <w:rPr>
          <w:rFonts w:hint="eastAsia" w:ascii="仿宋_GB2312" w:eastAsia="仿宋_GB2312"/>
          <w:b/>
          <w:bCs/>
          <w:sz w:val="32"/>
          <w:szCs w:val="32"/>
        </w:rPr>
        <w:sym w:font="Wingdings" w:char="F09E"/>
      </w:r>
      <w:r>
        <w:rPr>
          <w:rFonts w:hint="eastAsia" w:ascii="仿宋_GB2312" w:eastAsia="仿宋_GB2312"/>
          <w:b/>
          <w:bCs/>
          <w:sz w:val="32"/>
          <w:szCs w:val="32"/>
        </w:rPr>
        <w:t>匠心》校本通识课程。</w:t>
      </w:r>
      <w:r>
        <w:rPr>
          <w:rFonts w:hint="eastAsia" w:ascii="仿宋_GB2312" w:eastAsia="仿宋_GB2312"/>
          <w:sz w:val="32"/>
          <w:szCs w:val="32"/>
        </w:rPr>
        <w:t>作为公共限定选修课程。1学分，16学时，排入人才培养方案。融入思政教育，主要围绕劳动精神、劳模精神、工匠精神、劳动组织、劳动安全和劳动法规等方面设计。强化劳动流程、劳动标准、劳动习惯等方面的学习；增强对学生劳动观念、劳动习惯、劳动制度、劳动过程与成果的思考和劳动精神的培养。</w:t>
      </w:r>
      <w:r>
        <w:rPr>
          <w:rFonts w:hint="eastAsia" w:ascii="仿宋_GB2312" w:eastAsia="仿宋_GB2312"/>
          <w:b/>
          <w:bCs/>
          <w:sz w:val="32"/>
          <w:szCs w:val="32"/>
        </w:rPr>
        <w:t>（责任部门：马克思主义学院）</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（2）开设3阶段劳动教育综合实践实习课程。</w:t>
      </w:r>
      <w:r>
        <w:rPr>
          <w:rFonts w:hint="eastAsia" w:ascii="仿宋_GB2312" w:eastAsia="仿宋_GB2312"/>
          <w:sz w:val="32"/>
          <w:szCs w:val="32"/>
        </w:rPr>
        <w:t>学校组织学生参与真实的生产劳动和服务性劳动，在课程实施前中后，安排劳动教育内容，实践前安排计划构想、实践中进行观察思考、实践后开展反思交流。第一阶段《专业入门教育实习》一般为认知实习（1学分，16学时），以认知企业环境、感受企业文化为主。第二阶段《职业素养与劳动教育实践》一般为跟岗实习（6学分，120学时），以养成职业素养、感受企业文化、认知职业岗位、强化劳动观念和培养劳动精神为主。实践期间开设《工业</w:t>
      </w:r>
      <w:r>
        <w:rPr>
          <w:rFonts w:hint="eastAsia" w:ascii="仿宋_GB2312" w:eastAsia="仿宋_GB2312"/>
          <w:sz w:val="32"/>
          <w:szCs w:val="32"/>
        </w:rPr>
        <w:sym w:font="Wingdings" w:char="F09E"/>
      </w:r>
      <w:r>
        <w:rPr>
          <w:rFonts w:hint="eastAsia" w:ascii="仿宋_GB2312" w:eastAsia="仿宋_GB2312"/>
          <w:sz w:val="32"/>
          <w:szCs w:val="32"/>
        </w:rPr>
        <w:t>匠心》课程，同时实习企业应开设不少于16学时的劳动教育专题课程，邀请企业劳模、先进人物给学生授课，主要围绕劳模精神、工匠精神、劳动组织、劳动安全和劳动法规等方面开展。第三阶段《预就业实习》一般为顶岗实习（18学分，360学时），以巩固熟练专业基本技能、培养或提升职业能力和职业素养为主。通过三阶段的实习，使学生把校内所学运用到实际工作中，实现角色转变，增强职业认同感和劳动自豪感，提升创意物化能力，培育不断探索、精益求精、追求卓越的工匠精神和爱岗敬业的劳动态度，坚信“三百六十行，行行出状元”，体认劳动不分贵贱，任何职业都很光荣，都能出彩。</w:t>
      </w:r>
      <w:r>
        <w:rPr>
          <w:rFonts w:hint="eastAsia" w:ascii="仿宋_GB2312" w:eastAsia="仿宋_GB2312"/>
          <w:b/>
          <w:bCs/>
          <w:sz w:val="32"/>
          <w:szCs w:val="32"/>
        </w:rPr>
        <w:t>（责任部门：各二级学院）</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（3）开设至少一门劳动教育选修课程。</w:t>
      </w:r>
      <w:r>
        <w:rPr>
          <w:rFonts w:hint="eastAsia" w:ascii="仿宋_GB2312" w:eastAsia="仿宋_GB2312"/>
          <w:sz w:val="32"/>
          <w:szCs w:val="32"/>
        </w:rPr>
        <w:t>针对兴趣小组、社团活动等开设劳动教育选修课程。包括劳动教育通论、劳动专题讲座等，以讲授课程为主，以经历体验为基本要求，目标是加强马克思主义劳动观教育，加强新时代劳动教育价值观教育，普及与学生职业发展密切相关的通用劳动科学知识，如劳动伦理、劳动法律、劳动关系、劳动保障、劳动安全卫生等。</w:t>
      </w:r>
      <w:r>
        <w:rPr>
          <w:rFonts w:hint="eastAsia" w:ascii="仿宋_GB2312" w:eastAsia="仿宋_GB2312"/>
          <w:b/>
          <w:bCs/>
          <w:sz w:val="32"/>
          <w:szCs w:val="32"/>
        </w:rPr>
        <w:t>（责任部门：马克思主义学院）</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2.开展“三类”劳动教育第二课堂活动</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系统梳理校内外劳动教育第二课堂活动，将劳动教育与学生的个人生活、校园生活和社会生活有机结合，设计三类劳动教育第二课堂互动，丰富劳动体验，提高劳动能力，深化对劳动价值的理解。</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（1）开展日常生活劳动。</w:t>
      </w:r>
      <w:r>
        <w:rPr>
          <w:rFonts w:hint="eastAsia" w:ascii="仿宋_GB2312" w:eastAsia="仿宋_GB2312"/>
          <w:sz w:val="32"/>
          <w:szCs w:val="32"/>
        </w:rPr>
        <w:t>以学生工作处和校团委为枢纽和中心，以学生会为学生自我服务、自我管理、自我教育、自我监督的自治组织，以学生社团及相关学生组织为外围延伸手臂，让劳动教育全面渗透到大学生日常生活中去。各班级增设劳动委员，加强学生宿舍卫生管理，组织开展校园集体劳动，让劳动教育成为一种生活养成教育。</w:t>
      </w:r>
      <w:r>
        <w:rPr>
          <w:rFonts w:hint="eastAsia" w:ascii="仿宋_GB2312" w:eastAsia="仿宋_GB2312"/>
          <w:b/>
          <w:bCs/>
          <w:sz w:val="32"/>
          <w:szCs w:val="32"/>
        </w:rPr>
        <w:t xml:space="preserve">（责任部门：学生工作处、校团委、后勤保障处） </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（2）深入开展生产劳动实践。</w:t>
      </w:r>
      <w:r>
        <w:rPr>
          <w:rFonts w:hint="eastAsia" w:ascii="仿宋_GB2312" w:eastAsia="仿宋_GB2312"/>
          <w:sz w:val="32"/>
          <w:szCs w:val="32"/>
        </w:rPr>
        <w:t>二级学院梳理实训基地，开发劳动教育工作岗位，并制定劳动标准，操作要求，分给班级作为“责任田”，设立劳动周（月），可在学年内安排，以集体劳动为主，结合“责任田”，采用专题讲座、主题演讲、劳动技能竞赛、劳动成果展示、劳动项目实践等形式开展劳动教育。围绕专业特色，积极打造“专业+劳动实践”“创新创业+劳动实践”。以社团、项目化志愿服务团队为载体，进入社区、公共开放场馆、敬老院等提供电子信息产品的检测、维修和保养等服务,运用专业技能为社会定期组织开展校内外公益服务活动，提升专业技能。同时与“职业技能大赛”“互联网+”“创青春”等创新创业赛事深度融合，积累职业经验，提升就业创业能力。</w:t>
      </w:r>
      <w:r>
        <w:rPr>
          <w:rFonts w:hint="eastAsia" w:ascii="仿宋_GB2312" w:eastAsia="仿宋_GB2312"/>
          <w:b/>
          <w:bCs/>
          <w:sz w:val="32"/>
          <w:szCs w:val="32"/>
        </w:rPr>
        <w:t>（责任部门：学生工作处、校团委、教务与实训管理处、二级学院）</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（3）强化校内外公益服务性活动。</w:t>
      </w:r>
      <w:r>
        <w:rPr>
          <w:rFonts w:hint="eastAsia" w:ascii="仿宋_GB2312" w:eastAsia="仿宋_GB2312"/>
          <w:sz w:val="32"/>
          <w:szCs w:val="32"/>
        </w:rPr>
        <w:t>将项目化思想引入志愿服务活动，创新共青团工作服务机制。全校各级青年志愿者服务队联手打造了一批校园品牌化、精品化的志愿服务项目。积极组织我校学生深入开展各类志愿服务活动；组织开展志愿服务月活动；开展各种线上线下志愿服务活动；组织义务献血活动。</w:t>
      </w:r>
      <w:r>
        <w:rPr>
          <w:rFonts w:hint="eastAsia" w:ascii="仿宋_GB2312" w:eastAsia="仿宋_GB2312"/>
          <w:b/>
          <w:bCs/>
          <w:sz w:val="32"/>
          <w:szCs w:val="32"/>
        </w:rPr>
        <w:t>（责任部门：学生工作处、校团委）</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3.打造“三种”劳动教育校园文化品牌</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（1）打造丰富的劳动主题教育活动品牌。</w:t>
      </w:r>
      <w:r>
        <w:rPr>
          <w:rFonts w:hint="eastAsia" w:ascii="仿宋_GB2312" w:eastAsia="仿宋_GB2312"/>
          <w:sz w:val="32"/>
          <w:szCs w:val="32"/>
        </w:rPr>
        <w:t>通过制定劳动公约、每日劳动常规、学期劳动任务单，采取与劳动教育有关的兴趣小组、社团等组织形式，结合植树节、学雷锋纪念日、五一劳动节、志愿者日等，开展丰富的劳动主题教育活动，营造劳动光荣、创造伟大的校园文化，激发学生劳动的内在需求和动力。</w:t>
      </w:r>
      <w:r>
        <w:rPr>
          <w:rFonts w:hint="eastAsia" w:ascii="仿宋_GB2312" w:eastAsia="仿宋_GB2312"/>
          <w:b/>
          <w:bCs/>
          <w:sz w:val="32"/>
          <w:szCs w:val="32"/>
        </w:rPr>
        <w:t>（责任部门：党委宣传部、学生工作处、校团委）</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（2）打造劳动榜样人物进校园等品牌活动。</w:t>
      </w:r>
      <w:r>
        <w:rPr>
          <w:rFonts w:hint="eastAsia" w:ascii="仿宋_GB2312" w:eastAsia="仿宋_GB2312"/>
          <w:sz w:val="32"/>
          <w:szCs w:val="32"/>
        </w:rPr>
        <w:t>建立劳模工作室、技能大师工作室，设置荣誉教师、实务导师岗位等，多渠道引入社会力量参与学校劳动教育。要举办“劳模大讲堂”“大国工匠进校园”、优秀毕业生报告会等劳动榜样人物进校园活动。组织劳动技能和劳动成果展示。编写劳动精神、劳模精神、工匠精神专题读本。收集整理反映劳动先进人物事迹和精神的影视资料，组织研发展示劳动过程、劳动安全要求的数字资源，梳理遴选来自教学一线的典型案例和鲜活经验，形成分专题的劳动教育课程资源包。综合运用讲座、宣传栏、新媒体等，广泛宣传劳动榜样人物事迹，特别是身边的普通劳动者事迹，让师生在校园里近距离接触劳动模范，聆听劳模故事，观摩精湛技艺，感受并领悟勤勉敬业的劳动精神，争做新时代的奋斗者。</w:t>
      </w:r>
      <w:r>
        <w:rPr>
          <w:rFonts w:hint="eastAsia" w:ascii="仿宋_GB2312" w:eastAsia="仿宋_GB2312"/>
          <w:b/>
          <w:bCs/>
          <w:sz w:val="32"/>
          <w:szCs w:val="32"/>
        </w:rPr>
        <w:t>（责任部门：党委宣传部、人事处、学生工作处、校团委）</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（3）打造劳动教育先进荣誉评选表彰品牌活动。</w:t>
      </w:r>
      <w:r>
        <w:rPr>
          <w:rFonts w:hint="eastAsia" w:ascii="仿宋_GB2312" w:eastAsia="仿宋_GB2312"/>
          <w:sz w:val="32"/>
          <w:szCs w:val="32"/>
        </w:rPr>
        <w:t>建立劳动教育先进荣誉评选奖励机制，在每年的学生评优评先活动中设立“劳动教育之星”，在班级评比奖励活动中设立“劳动教育先进集体”，对学校教师评选“劳动模范教师”，对劳动教育过程中涌现的先进个人和先进集体予以表彰，营造全校师生重视、关心和支持劳动教育的良好氛围，确保劳动教育的组织实施有效推进。</w:t>
      </w:r>
      <w:r>
        <w:rPr>
          <w:rFonts w:hint="eastAsia" w:ascii="仿宋_GB2312" w:eastAsia="仿宋_GB2312"/>
          <w:b/>
          <w:bCs/>
          <w:sz w:val="32"/>
          <w:szCs w:val="32"/>
        </w:rPr>
        <w:t>（责任部门：人事处、学生工作处、校团委）</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（二）构建劳动教育支持体系</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1.搭建四大平台，深化劳动教育实践</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（1）搭建日常生活实践平台。</w:t>
      </w:r>
      <w:r>
        <w:rPr>
          <w:rFonts w:hint="eastAsia" w:ascii="仿宋_GB2312" w:eastAsia="仿宋_GB2312"/>
          <w:sz w:val="32"/>
          <w:szCs w:val="32"/>
        </w:rPr>
        <w:t>学校将宿舍卫生保洁，教室、食堂、校园场所的卫生保洁，校园的绿化美化和管理服务等纳入了劳动教育；二级学院梳理实训基地，开发劳动教育工作岗位，并制定劳动标准、操作要求，分给班级作为“责任田”，设立劳动周，在学年内安排，以集体劳动为主。</w:t>
      </w:r>
      <w:r>
        <w:rPr>
          <w:rFonts w:hint="eastAsia" w:ascii="仿宋_GB2312" w:eastAsia="仿宋_GB2312"/>
          <w:b/>
          <w:bCs/>
          <w:sz w:val="32"/>
          <w:szCs w:val="32"/>
        </w:rPr>
        <w:t>（责任部门：学生工作处、校团委）</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（2）搭建志愿者服务实践平台。</w:t>
      </w:r>
      <w:r>
        <w:rPr>
          <w:rFonts w:hint="eastAsia" w:ascii="仿宋_GB2312" w:eastAsia="仿宋_GB2312"/>
          <w:sz w:val="32"/>
          <w:szCs w:val="32"/>
        </w:rPr>
        <w:t>利用社区、街道、敬老院、福利院等公共服务资源，建立志愿者服务基地，系统设计开发女童保护、麦田计划、保护母亲河行动、预防校园欺凌、青春自护、关爱空巢老人、文明交通劝导、绿色环保骑行宣传等一系列公益服务活动。设计开发卫生保洁、行政助理、学生服务中心值班员等校内外勤工助学岗位，开发岗位流程规范标准、让学生完成真实、综合任务，经历完整劳动过程。</w:t>
      </w:r>
      <w:r>
        <w:rPr>
          <w:rFonts w:hint="eastAsia" w:ascii="仿宋_GB2312" w:eastAsia="仿宋_GB2312"/>
          <w:b/>
          <w:bCs/>
          <w:sz w:val="32"/>
          <w:szCs w:val="32"/>
        </w:rPr>
        <w:t>（责任部门：学生工作处、校团委）</w:t>
      </w:r>
    </w:p>
    <w:p>
      <w:pPr>
        <w:pageBreakBefore w:val="0"/>
        <w:kinsoku/>
        <w:wordWrap/>
        <w:overflowPunct/>
        <w:topLinePunct w:val="0"/>
        <w:bidi w:val="0"/>
        <w:spacing w:line="596" w:lineRule="exact"/>
        <w:ind w:firstLine="643" w:firstLineChars="200"/>
        <w:outlineLvl w:val="9"/>
        <w:rPr>
          <w:rFonts w:ascii="仿宋_GB2312" w:eastAsia="仿宋_GB2312"/>
          <w:sz w:val="32"/>
          <w:szCs w:val="32"/>
        </w:rPr>
      </w:pPr>
      <w:r>
        <w:rPr>
          <w:rFonts w:hint="eastAsia" w:ascii="仿宋_GB2312" w:eastAsia="仿宋_GB2312"/>
          <w:b/>
          <w:bCs/>
          <w:sz w:val="32"/>
          <w:szCs w:val="32"/>
        </w:rPr>
        <w:t>（3）搭建创新创业实践平台。</w:t>
      </w:r>
      <w:r>
        <w:rPr>
          <w:rFonts w:hint="eastAsia" w:ascii="仿宋_GB2312" w:eastAsia="仿宋_GB2312"/>
          <w:sz w:val="32"/>
          <w:szCs w:val="32"/>
        </w:rPr>
        <w:t>学校深化创新创业实践平台与科技转化平台建设。建设建成大学生科技园与一批各具特色的二级学院众创空间，建立系统完善的校内外双创实践平台；发挥协同创新研究院的孵化、转化功能，持续加强与入孵企业的产学研合作。建设高水平校内双创实践基地，为双创实践提供平台支撑。按照“校企融合、实训与实践结合、从创意到孵化”的理念，系统构建了以众创空间、大学生科技园、校企合作实训基地、产学研合作双创实践基地为主体的“四合一”大学生双创实践基地。</w:t>
      </w:r>
      <w:r>
        <w:rPr>
          <w:rFonts w:hint="eastAsia" w:ascii="仿宋_GB2312" w:eastAsia="仿宋_GB2312"/>
          <w:b/>
          <w:bCs/>
          <w:sz w:val="32"/>
          <w:szCs w:val="32"/>
        </w:rPr>
        <w:t>（责任部门：教务与实训管理处、科技开发与校企合作处）</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（4）搭建校内外实习实训平台。</w:t>
      </w:r>
      <w:r>
        <w:rPr>
          <w:rFonts w:hint="eastAsia" w:ascii="仿宋_GB2312" w:eastAsia="仿宋_GB2312"/>
          <w:sz w:val="32"/>
          <w:szCs w:val="32"/>
        </w:rPr>
        <w:t>遴选确认一批合作企业作为实习实训基地。联系一批土地、山林、草场等作为学农实践基地，与城乡社区、福利院、医院、博物馆、科技馆、图书馆等事业单位、社会机构、公共场所建立联系，认定一批服务性劳动基地，逐步建好配齐校内专业实训基地，充分利用校内外学习、生活有关场所，丰富劳动教育资源，扎实推进劳动教育。</w:t>
      </w:r>
      <w:r>
        <w:rPr>
          <w:rFonts w:hint="eastAsia" w:ascii="仿宋_GB2312" w:eastAsia="仿宋_GB2312"/>
          <w:b/>
          <w:bCs/>
          <w:sz w:val="32"/>
          <w:szCs w:val="32"/>
        </w:rPr>
        <w:t>（责任部门：科技开发与校企合作处、学生工作处、教务与实训管理处、各二级学院）</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2.强化劳动教育师资队伍建设</w:t>
      </w:r>
    </w:p>
    <w:p>
      <w:pPr>
        <w:pageBreakBefore w:val="0"/>
        <w:kinsoku/>
        <w:wordWrap/>
        <w:overflowPunct/>
        <w:topLinePunct w:val="0"/>
        <w:bidi w:val="0"/>
        <w:spacing w:line="596" w:lineRule="exact"/>
        <w:ind w:firstLine="640" w:firstLineChars="200"/>
        <w:outlineLvl w:val="9"/>
        <w:rPr>
          <w:rFonts w:ascii="仿宋_GB2312" w:eastAsia="仿宋_GB2312"/>
          <w:b/>
          <w:bCs/>
          <w:sz w:val="32"/>
          <w:szCs w:val="32"/>
        </w:rPr>
      </w:pPr>
      <w:r>
        <w:rPr>
          <w:rFonts w:hint="eastAsia" w:ascii="仿宋_GB2312" w:eastAsia="仿宋_GB2312"/>
          <w:sz w:val="32"/>
          <w:szCs w:val="32"/>
        </w:rPr>
        <w:t>建设专兼结合的劳动教育师资队伍，明确劳动课教师管理要求，保障劳动课教师在绩效考核、职称评聘、评先评优、专业发展等方面与其他专任教师享受同等待遇。建立劳动课教师特聘制度，为聘请具有实践经验的社会专业技术人员、劳动模范等担任兼职教师创造条件。把劳动教育纳入行政教辅人员、教师、辅导员的培训内容，开展全员培训，强化劳动意识、劳动观念，提升劳动教育的自觉性。对承担劳动教育课程的教师进行专项培训，提高劳动育人意识和专业化水平。</w:t>
      </w:r>
      <w:r>
        <w:rPr>
          <w:rFonts w:hint="eastAsia" w:ascii="仿宋_GB2312" w:eastAsia="仿宋_GB2312"/>
          <w:b/>
          <w:bCs/>
          <w:sz w:val="32"/>
          <w:szCs w:val="32"/>
        </w:rPr>
        <w:t>（责任部门：人事处、各二级学院）</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3.开展劳动教育研究与指导</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学校在教改项目主题中，增设劳动教育研究主题，立项一批教改项目，注重开展跟踪研究、行动研究等教育教学研究。举办相关主题的论坛讲座，营造良好学术氛围。将劳动教育教学成果纳入评奖范围，对优秀成果予以奖励。</w:t>
      </w:r>
      <w:r>
        <w:rPr>
          <w:rFonts w:hint="eastAsia" w:ascii="仿宋_GB2312" w:eastAsia="仿宋_GB2312"/>
          <w:b/>
          <w:bCs/>
          <w:sz w:val="32"/>
          <w:szCs w:val="32"/>
        </w:rPr>
        <w:t>（责任部门：教务与实训管理处）</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（三）完善劳动教育保障体系</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1.明确劳动教育组织机构及职能分工</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为加强学生劳动教育工作，保障学校劳动教育有序、有效开展，成立学生劳动教育工作领导小组：</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组  长：刘子林  甘金明</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副组长：阳  旭  王  伟  瞿  凡  鞠红霞  韦  林</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组  员：杨  琳  严泽民  黎  华  王大红  何志忠</w:t>
      </w:r>
    </w:p>
    <w:p>
      <w:pPr>
        <w:pageBreakBefore w:val="0"/>
        <w:kinsoku/>
        <w:wordWrap/>
        <w:overflowPunct/>
        <w:topLinePunct w:val="0"/>
        <w:bidi w:val="0"/>
        <w:spacing w:line="596" w:lineRule="exact"/>
        <w:ind w:firstLine="1920" w:firstLineChars="600"/>
        <w:outlineLvl w:val="9"/>
        <w:rPr>
          <w:rFonts w:ascii="仿宋_GB2312" w:eastAsia="仿宋_GB2312"/>
          <w:sz w:val="32"/>
          <w:szCs w:val="32"/>
        </w:rPr>
      </w:pPr>
      <w:r>
        <w:rPr>
          <w:rFonts w:hint="eastAsia" w:ascii="仿宋_GB2312" w:eastAsia="仿宋_GB2312"/>
          <w:sz w:val="32"/>
          <w:szCs w:val="32"/>
        </w:rPr>
        <w:t>黎凤环  邓亮顺  钟  旭  韩  霄  吴  坤</w:t>
      </w:r>
    </w:p>
    <w:p>
      <w:pPr>
        <w:pageBreakBefore w:val="0"/>
        <w:kinsoku/>
        <w:wordWrap/>
        <w:overflowPunct/>
        <w:topLinePunct w:val="0"/>
        <w:bidi w:val="0"/>
        <w:spacing w:line="596" w:lineRule="exact"/>
        <w:ind w:firstLine="1920" w:firstLineChars="600"/>
        <w:outlineLvl w:val="9"/>
        <w:rPr>
          <w:rFonts w:ascii="仿宋_GB2312" w:eastAsia="仿宋_GB2312"/>
          <w:sz w:val="32"/>
          <w:szCs w:val="32"/>
        </w:rPr>
      </w:pPr>
      <w:r>
        <w:rPr>
          <w:rFonts w:hint="eastAsia" w:ascii="仿宋_GB2312" w:eastAsia="仿宋_GB2312"/>
          <w:sz w:val="32"/>
          <w:szCs w:val="32"/>
        </w:rPr>
        <w:t>韦耀业  唐述荣  黄  宁  周继春  蓝杜骞</w:t>
      </w:r>
    </w:p>
    <w:p>
      <w:pPr>
        <w:pageBreakBefore w:val="0"/>
        <w:kinsoku/>
        <w:wordWrap/>
        <w:overflowPunct/>
        <w:topLinePunct w:val="0"/>
        <w:bidi w:val="0"/>
        <w:spacing w:line="596" w:lineRule="exact"/>
        <w:ind w:firstLine="1920" w:firstLineChars="600"/>
        <w:outlineLvl w:val="9"/>
        <w:rPr>
          <w:rFonts w:ascii="仿宋_GB2312" w:eastAsia="仿宋_GB2312"/>
          <w:sz w:val="32"/>
          <w:szCs w:val="32"/>
        </w:rPr>
      </w:pPr>
      <w:r>
        <w:rPr>
          <w:rFonts w:hint="eastAsia" w:ascii="仿宋_GB2312" w:eastAsia="仿宋_GB2312"/>
          <w:sz w:val="32"/>
          <w:szCs w:val="32"/>
        </w:rPr>
        <w:t>王  慧  陈文勇  吴  星  蒙  飚  于巧玲</w:t>
      </w:r>
    </w:p>
    <w:p>
      <w:pPr>
        <w:pageBreakBefore w:val="0"/>
        <w:kinsoku/>
        <w:wordWrap/>
        <w:overflowPunct/>
        <w:topLinePunct w:val="0"/>
        <w:bidi w:val="0"/>
        <w:spacing w:line="596" w:lineRule="exact"/>
        <w:ind w:firstLine="1920" w:firstLineChars="600"/>
        <w:outlineLvl w:val="9"/>
        <w:rPr>
          <w:rFonts w:ascii="仿宋_GB2312" w:eastAsia="仿宋_GB2312"/>
          <w:sz w:val="32"/>
          <w:szCs w:val="32"/>
        </w:rPr>
      </w:pPr>
      <w:r>
        <w:rPr>
          <w:rFonts w:hint="eastAsia" w:ascii="仿宋_GB2312" w:eastAsia="仿宋_GB2312"/>
          <w:sz w:val="32"/>
          <w:szCs w:val="32"/>
        </w:rPr>
        <w:t>冯雪萍  黎渝林  雍  佳  李  革  左妮红</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主要职责：</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（1）负责学校学生劳动教育工作的统筹领导；</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（2）负责劳动教育的规划设计、组织协调、资源整合、师资培训、过程管理、总结评价等；</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（3）负责协调部门分工，明确各部门相关职责要求。</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领导小组下设办公室，设在教务与实训管理处：</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主  任：鞠红霞</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成  员：杨  琳  黎  华  王大红</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主要职责：</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（1）负责制订并实施劳动教育方案，明确劳动教育目标、任务及考评标准；</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（2）负责具体组织开展劳动教育工作，落实检查督促；</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（3）负责开展考评及总结工作，做好宣传引导。</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2.强化劳动教育的安全保障机制</w:t>
      </w:r>
    </w:p>
    <w:p>
      <w:pPr>
        <w:pageBreakBefore w:val="0"/>
        <w:kinsoku/>
        <w:wordWrap/>
        <w:overflowPunct/>
        <w:topLinePunct w:val="0"/>
        <w:bidi w:val="0"/>
        <w:spacing w:line="596" w:lineRule="exact"/>
        <w:ind w:firstLine="640" w:firstLineChars="200"/>
        <w:outlineLvl w:val="9"/>
        <w:rPr>
          <w:rFonts w:asciiTheme="minorEastAsia" w:hAnsiTheme="minorEastAsia" w:cstheme="minorEastAsia"/>
          <w:szCs w:val="28"/>
        </w:rPr>
      </w:pPr>
      <w:r>
        <w:rPr>
          <w:rFonts w:hint="eastAsia" w:ascii="仿宋_GB2312" w:eastAsia="仿宋_GB2312"/>
          <w:sz w:val="32"/>
          <w:szCs w:val="32"/>
        </w:rPr>
        <w:t>加强对师生的劳动安全教育，强化劳动风险意识，建立健全安全教育与管理并重的劳动安全保障体系，科学评估劳动实践活动的安全风险，消除劳动实践中的各种隐患。在场所设施选择、材料选用、工具设备和防护用品使用、活动流程等方面制定安全、科学操作规范，强化劳动过程每个岗位的管理，明确各方责任，防患于未然。建立健全劳动安全风险防范与管理制度；制订劳动实践活动风险防控预案，完善应急与事故处理机制。要特别关注劳动过程中的卫生隐患，按照疾控、卫生健康部门及行业有关规定，采取相应措施，切实保护学生的身心健康。实习期间购买相关保险。</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加大对劳动教育经费的支持力度。每年安排专项经费，重点支持用于劳动教育设施建设，补充劳动教育器材、耗材等。</w:t>
      </w:r>
      <w:r>
        <w:rPr>
          <w:rFonts w:hint="eastAsia" w:ascii="仿宋_GB2312" w:eastAsia="仿宋_GB2312"/>
          <w:b/>
          <w:bCs/>
          <w:sz w:val="32"/>
          <w:szCs w:val="32"/>
        </w:rPr>
        <w:t>（责任部门：二级学院、学生工作处、保卫处、后勤保障处）</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3.加强劳动教育的督导评估</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把劳动教育纳入教育督导体系，完善督导办法，对学校劳动教育开课率、学生劳动实践组织的有序性，教学指导的针对性，保障措施的有效性等进行督查和指导。开展劳动教育质量监测，强化反馈和指导。</w:t>
      </w:r>
      <w:r>
        <w:rPr>
          <w:rFonts w:hint="eastAsia" w:ascii="仿宋_GB2312" w:eastAsia="仿宋_GB2312"/>
          <w:b/>
          <w:bCs/>
          <w:sz w:val="32"/>
          <w:szCs w:val="32"/>
        </w:rPr>
        <w:t>（责任部门：学生工作处、教务与实训管理处、督导室）</w:t>
      </w:r>
    </w:p>
    <w:p>
      <w:pPr>
        <w:pageBreakBefore w:val="0"/>
        <w:kinsoku/>
        <w:wordWrap/>
        <w:overflowPunct/>
        <w:topLinePunct w:val="0"/>
        <w:bidi w:val="0"/>
        <w:spacing w:line="596" w:lineRule="exact"/>
        <w:ind w:firstLine="643" w:firstLineChars="200"/>
        <w:outlineLvl w:val="9"/>
        <w:rPr>
          <w:rFonts w:ascii="仿宋_GB2312" w:eastAsia="仿宋_GB2312"/>
          <w:b/>
          <w:bCs/>
          <w:sz w:val="32"/>
          <w:szCs w:val="32"/>
        </w:rPr>
      </w:pPr>
      <w:r>
        <w:rPr>
          <w:rFonts w:hint="eastAsia" w:ascii="仿宋_GB2312" w:eastAsia="仿宋_GB2312"/>
          <w:b/>
          <w:bCs/>
          <w:sz w:val="32"/>
          <w:szCs w:val="32"/>
        </w:rPr>
        <w:t>（四）完善劳动教育评价体系</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建立学生综合素质评价机制，将劳动素养纳入学生综合素质评价体系；将劳动教育成绩和活动纳入学生评优、推优入党等指标体系中。劳动素养评价包括平时表现评价和综合评价。以劳动教育目标、内容要求为依据，将过程性评价和结果性评价结合起来，健全和完善学生劳动素养评价标准、程序和方法，运用现代信息技术手段，开展劳动教育过程监测与记实评价，发挥评价的育人导向和反馈改进功能。</w:t>
      </w:r>
    </w:p>
    <w:p>
      <w:pPr>
        <w:pageBreakBefore w:val="0"/>
        <w:kinsoku/>
        <w:wordWrap/>
        <w:overflowPunct/>
        <w:topLinePunct w:val="0"/>
        <w:bidi w:val="0"/>
        <w:spacing w:line="596" w:lineRule="exact"/>
        <w:ind w:firstLine="640" w:firstLineChars="200"/>
        <w:outlineLvl w:val="9"/>
        <w:rPr>
          <w:rFonts w:ascii="仿宋_GB2312" w:eastAsia="仿宋_GB2312"/>
          <w:sz w:val="32"/>
          <w:szCs w:val="32"/>
        </w:rPr>
      </w:pPr>
      <w:r>
        <w:rPr>
          <w:rFonts w:hint="eastAsia" w:ascii="仿宋_GB2312" w:eastAsia="仿宋_GB2312"/>
          <w:sz w:val="32"/>
          <w:szCs w:val="32"/>
        </w:rPr>
        <w:t>平时表现评价：要在平时劳动教育实践活动中及时进行评价，以评价促进学生发展。要覆盖各类型劳动教育活动，明确学年劳动实践类型、次数、时间等考核要求。关注学生在劳动教育活动中的实际表现，注重从行为表现中分析把握劳动观念形成情况。以自我评价为主，辅以教师、同伴、家长、服务对象、用人单位等他评方式，指导学生进行反思改进。要指导学生如实记录劳动教育活动情况，收集整理相关制品、作品等，选择代表性的写实记录，纳入综合素质档案，作为学生学年评优评先的重要参考。</w:t>
      </w:r>
    </w:p>
    <w:p>
      <w:pPr>
        <w:pageBreakBefore w:val="0"/>
        <w:kinsoku/>
        <w:wordWrap/>
        <w:overflowPunct/>
        <w:topLinePunct w:val="0"/>
        <w:bidi w:val="0"/>
        <w:spacing w:line="596" w:lineRule="exact"/>
        <w:ind w:firstLine="640" w:firstLineChars="200"/>
        <w:outlineLvl w:val="9"/>
      </w:pPr>
      <w:r>
        <w:rPr>
          <w:rFonts w:hint="eastAsia" w:ascii="仿宋_GB2312" w:eastAsia="仿宋_GB2312"/>
          <w:sz w:val="32"/>
          <w:szCs w:val="32"/>
        </w:rPr>
        <w:t>综合评价：依据人才培养目标，结合综合素质档案分析，兼顾必修课学习和第二课堂劳动实践，对劳动观念、劳动能力、劳动精神、劳动习惯和品质等劳动素养发展状况进行综合评定。建立诚信机制，实行写实记录抽查制度，对弄虚作假者在评优评先方面一票否决，性质严重的应依法依规严肃处理。开展志愿者星级认证。</w:t>
      </w:r>
      <w:r>
        <w:rPr>
          <w:rFonts w:hint="eastAsia" w:ascii="仿宋_GB2312" w:eastAsia="仿宋_GB2312"/>
          <w:b/>
          <w:bCs/>
          <w:sz w:val="32"/>
          <w:szCs w:val="32"/>
        </w:rPr>
        <w:t>（责任部门：学生工作处、教务与实训管理处）</w:t>
      </w:r>
    </w:p>
    <w:p>
      <w:pPr>
        <w:pageBreakBefore w:val="0"/>
        <w:widowControl/>
        <w:kinsoku/>
        <w:wordWrap/>
        <w:overflowPunct/>
        <w:topLinePunct w:val="0"/>
        <w:bidi w:val="0"/>
        <w:jc w:val="left"/>
        <w:outlineLvl w:val="9"/>
        <w:rPr>
          <w:b/>
          <w:color w:val="000000"/>
          <w:sz w:val="36"/>
          <w:szCs w:val="36"/>
        </w:rPr>
      </w:pPr>
      <w:r>
        <w:rPr>
          <w:b/>
          <w:color w:val="000000"/>
          <w:sz w:val="36"/>
          <w:szCs w:val="36"/>
        </w:rPr>
        <w:br w:type="page"/>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87" w:name="_Toc2677"/>
      <w:bookmarkStart w:id="488" w:name="_Toc31129"/>
      <w:bookmarkStart w:id="489" w:name="_Toc4321"/>
      <w:r>
        <w:rPr>
          <w:rFonts w:hint="eastAsia" w:asciiTheme="minorEastAsia" w:hAnsiTheme="minorEastAsia" w:eastAsiaTheme="minorEastAsia" w:cstheme="minorEastAsia"/>
          <w:b/>
          <w:color w:val="000000"/>
          <w:kern w:val="0"/>
          <w:sz w:val="36"/>
          <w:szCs w:val="36"/>
        </w:rPr>
        <w:t>柳州职业技术学院关于进一步推进“1+X”证书制度试点工作实施方案</w:t>
      </w:r>
      <w:bookmarkEnd w:id="487"/>
      <w:bookmarkEnd w:id="488"/>
      <w:bookmarkEnd w:id="489"/>
    </w:p>
    <w:p>
      <w:pPr>
        <w:pageBreakBefore w:val="0"/>
        <w:kinsoku/>
        <w:wordWrap/>
        <w:overflowPunct/>
        <w:topLinePunct w:val="0"/>
        <w:bidi w:val="0"/>
        <w:jc w:val="center"/>
        <w:outlineLvl w:val="9"/>
        <w:rPr>
          <w:rFonts w:ascii="仿宋_GB2312" w:eastAsia="仿宋_GB2312"/>
          <w:sz w:val="28"/>
          <w:szCs w:val="40"/>
        </w:rPr>
      </w:pPr>
      <w:r>
        <w:rPr>
          <w:rFonts w:hint="eastAsia" w:ascii="仿宋_GB2312" w:eastAsia="仿宋_GB2312"/>
          <w:sz w:val="28"/>
          <w:szCs w:val="40"/>
        </w:rPr>
        <w:t>柳职院教字〔</w:t>
      </w:r>
      <w:r>
        <w:rPr>
          <w:rFonts w:ascii="仿宋_GB2312" w:eastAsia="仿宋_GB2312"/>
          <w:sz w:val="28"/>
          <w:szCs w:val="40"/>
        </w:rPr>
        <w:t>2020</w:t>
      </w:r>
      <w:r>
        <w:rPr>
          <w:rFonts w:hint="eastAsia" w:ascii="仿宋_GB2312" w:eastAsia="仿宋_GB2312"/>
          <w:sz w:val="28"/>
          <w:szCs w:val="40"/>
        </w:rPr>
        <w:t>〕</w:t>
      </w:r>
      <w:r>
        <w:rPr>
          <w:rFonts w:ascii="仿宋_GB2312" w:eastAsia="仿宋_GB2312"/>
          <w:sz w:val="28"/>
          <w:szCs w:val="40"/>
        </w:rPr>
        <w:t>34</w:t>
      </w:r>
      <w:r>
        <w:rPr>
          <w:rFonts w:hint="eastAsia" w:ascii="仿宋_GB2312" w:eastAsia="仿宋_GB2312"/>
          <w:sz w:val="28"/>
          <w:szCs w:val="40"/>
        </w:rPr>
        <w:t>号</w:t>
      </w:r>
    </w:p>
    <w:p>
      <w:pPr>
        <w:pageBreakBefore w:val="0"/>
        <w:widowControl/>
        <w:kinsoku/>
        <w:wordWrap/>
        <w:overflowPunct/>
        <w:topLinePunct w:val="0"/>
        <w:bidi w:val="0"/>
        <w:spacing w:line="596" w:lineRule="exact"/>
        <w:ind w:firstLine="640" w:firstLineChars="200"/>
        <w:jc w:val="left"/>
        <w:outlineLvl w:val="9"/>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为贯彻落实《关于在院校实施“学历证书</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若干职业技能等级证书”制度试点方案》（教职成〔</w:t>
      </w:r>
      <w:r>
        <w:rPr>
          <w:rFonts w:ascii="仿宋_GB2312" w:hAnsi="仿宋_GB2312" w:eastAsia="仿宋_GB2312" w:cs="仿宋_GB2312"/>
          <w:color w:val="000000"/>
          <w:kern w:val="0"/>
          <w:sz w:val="32"/>
          <w:szCs w:val="32"/>
          <w:lang w:bidi="ar"/>
        </w:rPr>
        <w:t>2019</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 xml:space="preserve">6 </w:t>
      </w:r>
      <w:r>
        <w:rPr>
          <w:rFonts w:hint="eastAsia" w:ascii="仿宋_GB2312" w:hAnsi="仿宋_GB2312" w:eastAsia="仿宋_GB2312" w:cs="仿宋_GB2312"/>
          <w:color w:val="000000"/>
          <w:kern w:val="0"/>
          <w:sz w:val="32"/>
          <w:szCs w:val="32"/>
          <w:lang w:bidi="ar"/>
        </w:rPr>
        <w:t>号）、《关于推进</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证书制度试点工作的指导意见》（教职成厅函〔</w:t>
      </w:r>
      <w:r>
        <w:rPr>
          <w:rFonts w:ascii="仿宋_GB2312" w:hAnsi="仿宋_GB2312" w:eastAsia="仿宋_GB2312" w:cs="仿宋_GB2312"/>
          <w:color w:val="000000"/>
          <w:kern w:val="0"/>
          <w:sz w:val="32"/>
          <w:szCs w:val="32"/>
          <w:lang w:bidi="ar"/>
        </w:rPr>
        <w:t>2019</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19</w:t>
      </w:r>
      <w:r>
        <w:rPr>
          <w:rFonts w:hint="eastAsia" w:ascii="仿宋_GB2312" w:hAnsi="仿宋_GB2312" w:eastAsia="仿宋_GB2312" w:cs="仿宋_GB2312"/>
          <w:color w:val="000000"/>
          <w:kern w:val="0"/>
          <w:sz w:val="32"/>
          <w:szCs w:val="32"/>
          <w:lang w:bidi="ar"/>
        </w:rPr>
        <w:t>号）精神，深化复合型技术技能人才培养培训模式改革，提升我校人才培养质量，全面推进我校</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试点工作，特制定如下方案。</w:t>
      </w:r>
      <w:r>
        <w:rPr>
          <w:rFonts w:ascii="仿宋_GB2312" w:hAnsi="仿宋_GB2312" w:eastAsia="仿宋_GB2312" w:cs="仿宋_GB2312"/>
          <w:color w:val="000000"/>
          <w:kern w:val="0"/>
          <w:sz w:val="32"/>
          <w:szCs w:val="32"/>
          <w:lang w:bidi="ar"/>
        </w:rPr>
        <w:t xml:space="preserve"> </w:t>
      </w:r>
    </w:p>
    <w:p>
      <w:pPr>
        <w:pageBreakBefore w:val="0"/>
        <w:widowControl/>
        <w:kinsoku/>
        <w:wordWrap/>
        <w:overflowPunct/>
        <w:topLinePunct w:val="0"/>
        <w:bidi w:val="0"/>
        <w:spacing w:line="596" w:lineRule="exact"/>
        <w:ind w:firstLine="643" w:firstLineChars="200"/>
        <w:jc w:val="left"/>
        <w:outlineLvl w:val="9"/>
        <w:rPr>
          <w:rFonts w:ascii="黑体" w:hAnsi="黑体" w:eastAsia="黑体" w:cs="黑体"/>
          <w:b/>
          <w:bCs/>
          <w:color w:val="000000"/>
          <w:kern w:val="0"/>
          <w:sz w:val="32"/>
          <w:szCs w:val="32"/>
          <w:lang w:bidi="ar"/>
        </w:rPr>
      </w:pPr>
      <w:r>
        <w:rPr>
          <w:rFonts w:hint="eastAsia" w:ascii="黑体" w:hAnsi="黑体" w:eastAsia="黑体" w:cs="黑体"/>
          <w:b/>
          <w:bCs/>
          <w:color w:val="000000"/>
          <w:kern w:val="0"/>
          <w:sz w:val="32"/>
          <w:szCs w:val="32"/>
          <w:lang w:bidi="ar"/>
        </w:rPr>
        <w:t>一、组建学校</w:t>
      </w:r>
      <w:r>
        <w:rPr>
          <w:rFonts w:ascii="黑体" w:hAnsi="黑体" w:eastAsia="黑体" w:cs="黑体"/>
          <w:b/>
          <w:bCs/>
          <w:color w:val="000000"/>
          <w:kern w:val="0"/>
          <w:sz w:val="32"/>
          <w:szCs w:val="32"/>
          <w:lang w:bidi="ar"/>
        </w:rPr>
        <w:t xml:space="preserve">1+X </w:t>
      </w:r>
      <w:r>
        <w:rPr>
          <w:rFonts w:hint="eastAsia" w:ascii="黑体" w:hAnsi="黑体" w:eastAsia="黑体" w:cs="黑体"/>
          <w:b/>
          <w:bCs/>
          <w:color w:val="000000"/>
          <w:kern w:val="0"/>
          <w:sz w:val="32"/>
          <w:szCs w:val="32"/>
          <w:lang w:bidi="ar"/>
        </w:rPr>
        <w:t>证书制度试点工作机构</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2"/>
          <w:szCs w:val="32"/>
          <w:lang w:bidi="ar"/>
        </w:rPr>
        <w:t>（一）成立学校</w:t>
      </w:r>
      <w:r>
        <w:rPr>
          <w:rFonts w:ascii="仿宋_GB2312" w:hAnsi="仿宋_GB2312" w:eastAsia="仿宋_GB2312" w:cs="仿宋_GB2312"/>
          <w:b/>
          <w:bCs/>
          <w:color w:val="000000"/>
          <w:kern w:val="0"/>
          <w:sz w:val="32"/>
          <w:szCs w:val="32"/>
          <w:lang w:bidi="ar"/>
        </w:rPr>
        <w:t xml:space="preserve">1+X </w:t>
      </w:r>
      <w:r>
        <w:rPr>
          <w:rFonts w:hint="eastAsia" w:ascii="仿宋_GB2312" w:hAnsi="仿宋_GB2312" w:eastAsia="仿宋_GB2312" w:cs="仿宋_GB2312"/>
          <w:b/>
          <w:bCs/>
          <w:color w:val="000000"/>
          <w:kern w:val="0"/>
          <w:sz w:val="32"/>
          <w:szCs w:val="32"/>
          <w:lang w:bidi="ar"/>
        </w:rPr>
        <w:t>证书制度试点工作领导小组</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sz w:val="32"/>
          <w:szCs w:val="32"/>
        </w:rPr>
      </w:pPr>
      <w:r>
        <w:rPr>
          <w:rFonts w:hint="eastAsia" w:ascii="仿宋_GB2312" w:hAnsi="仿宋_GB2312" w:eastAsia="仿宋_GB2312" w:cs="仿宋_GB2312"/>
          <w:b/>
          <w:color w:val="000000"/>
          <w:kern w:val="0"/>
          <w:sz w:val="32"/>
          <w:szCs w:val="32"/>
          <w:lang w:bidi="ar"/>
        </w:rPr>
        <w:t>组</w:t>
      </w:r>
      <w:r>
        <w:rPr>
          <w:rFonts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b/>
          <w:color w:val="000000"/>
          <w:kern w:val="0"/>
          <w:sz w:val="32"/>
          <w:szCs w:val="32"/>
          <w:lang w:bidi="ar"/>
        </w:rPr>
        <w:t>长：</w:t>
      </w:r>
      <w:r>
        <w:rPr>
          <w:rFonts w:hint="eastAsia" w:ascii="仿宋_GB2312" w:hAnsi="仿宋_GB2312" w:eastAsia="仿宋_GB2312" w:cs="仿宋_GB2312"/>
          <w:color w:val="000000"/>
          <w:kern w:val="0"/>
          <w:sz w:val="32"/>
          <w:szCs w:val="32"/>
          <w:lang w:bidi="ar"/>
        </w:rPr>
        <w:t>刘子林</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甘金明</w:t>
      </w:r>
      <w:r>
        <w:rPr>
          <w:rFonts w:ascii="仿宋_GB2312" w:hAnsi="仿宋_GB2312" w:eastAsia="仿宋_GB2312" w:cs="仿宋_GB2312"/>
          <w:color w:val="000000"/>
          <w:kern w:val="0"/>
          <w:sz w:val="32"/>
          <w:szCs w:val="32"/>
          <w:lang w:bidi="ar"/>
        </w:rPr>
        <w:t xml:space="preserve">  </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b/>
          <w:color w:val="000000"/>
          <w:kern w:val="0"/>
          <w:sz w:val="32"/>
          <w:szCs w:val="32"/>
          <w:lang w:bidi="ar"/>
        </w:rPr>
        <w:t>副组长：</w:t>
      </w:r>
      <w:r>
        <w:rPr>
          <w:rFonts w:hint="eastAsia" w:ascii="仿宋_GB2312" w:hAnsi="仿宋_GB2312" w:eastAsia="仿宋_GB2312" w:cs="仿宋_GB2312"/>
          <w:bCs/>
          <w:color w:val="000000"/>
          <w:kern w:val="0"/>
          <w:sz w:val="32"/>
          <w:szCs w:val="32"/>
          <w:lang w:bidi="ar"/>
        </w:rPr>
        <w:t>鞠红霞</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瞿</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凡</w:t>
      </w:r>
      <w:r>
        <w:rPr>
          <w:rFonts w:ascii="仿宋_GB2312" w:hAnsi="仿宋_GB2312" w:eastAsia="仿宋_GB2312" w:cs="仿宋_GB2312"/>
          <w:color w:val="000000"/>
          <w:kern w:val="0"/>
          <w:sz w:val="32"/>
          <w:szCs w:val="32"/>
          <w:lang w:bidi="ar"/>
        </w:rPr>
        <w:t xml:space="preserve"> </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bCs/>
          <w:color w:val="000000"/>
          <w:kern w:val="0"/>
          <w:sz w:val="32"/>
          <w:szCs w:val="32"/>
          <w:lang w:bidi="ar"/>
        </w:rPr>
      </w:pPr>
      <w:r>
        <w:rPr>
          <w:rFonts w:hint="eastAsia" w:ascii="仿宋_GB2312" w:hAnsi="仿宋_GB2312" w:eastAsia="仿宋_GB2312" w:cs="仿宋_GB2312"/>
          <w:b/>
          <w:color w:val="000000"/>
          <w:kern w:val="0"/>
          <w:sz w:val="32"/>
          <w:szCs w:val="32"/>
          <w:lang w:bidi="ar"/>
        </w:rPr>
        <w:t>成</w:t>
      </w:r>
      <w:r>
        <w:rPr>
          <w:rFonts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b/>
          <w:color w:val="000000"/>
          <w:kern w:val="0"/>
          <w:sz w:val="32"/>
          <w:szCs w:val="32"/>
          <w:lang w:bidi="ar"/>
        </w:rPr>
        <w:t>员：</w:t>
      </w:r>
      <w:r>
        <w:rPr>
          <w:rFonts w:hint="eastAsia" w:ascii="仿宋_GB2312" w:hAnsi="仿宋_GB2312" w:eastAsia="仿宋_GB2312" w:cs="仿宋_GB2312"/>
          <w:bCs/>
          <w:color w:val="000000"/>
          <w:kern w:val="0"/>
          <w:sz w:val="32"/>
          <w:szCs w:val="32"/>
          <w:lang w:bidi="ar"/>
        </w:rPr>
        <w:t>黎</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华</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覃宗万</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陈文勇</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吴</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星</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蒙</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飚</w:t>
      </w:r>
      <w:r>
        <w:rPr>
          <w:rFonts w:ascii="仿宋_GB2312" w:hAnsi="仿宋_GB2312" w:eastAsia="仿宋_GB2312" w:cs="仿宋_GB2312"/>
          <w:bCs/>
          <w:color w:val="000000"/>
          <w:kern w:val="0"/>
          <w:sz w:val="32"/>
          <w:szCs w:val="32"/>
          <w:lang w:bidi="ar"/>
        </w:rPr>
        <w:t xml:space="preserve"> </w:t>
      </w:r>
    </w:p>
    <w:p>
      <w:pPr>
        <w:pageBreakBefore w:val="0"/>
        <w:widowControl/>
        <w:kinsoku/>
        <w:wordWrap/>
        <w:overflowPunct/>
        <w:topLinePunct w:val="0"/>
        <w:bidi w:val="0"/>
        <w:spacing w:line="596" w:lineRule="exact"/>
        <w:ind w:firstLine="1920" w:firstLineChars="600"/>
        <w:jc w:val="left"/>
        <w:outlineLvl w:val="9"/>
        <w:rPr>
          <w:rFonts w:ascii="仿宋_GB2312" w:hAnsi="仿宋_GB2312" w:eastAsia="仿宋_GB2312" w:cs="仿宋_GB2312"/>
          <w:sz w:val="32"/>
          <w:szCs w:val="32"/>
          <w:highlight w:val="yellow"/>
        </w:rPr>
      </w:pPr>
      <w:r>
        <w:rPr>
          <w:rFonts w:hint="eastAsia" w:ascii="仿宋_GB2312" w:hAnsi="仿宋_GB2312" w:eastAsia="仿宋_GB2312" w:cs="仿宋_GB2312"/>
          <w:bCs/>
          <w:color w:val="000000"/>
          <w:kern w:val="0"/>
          <w:sz w:val="32"/>
          <w:szCs w:val="32"/>
          <w:lang w:bidi="ar"/>
        </w:rPr>
        <w:t>于巧玲</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冯雪萍</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黎渝林</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雍</w:t>
      </w:r>
      <w:r>
        <w:rPr>
          <w:rFonts w:ascii="仿宋_GB2312" w:hAnsi="仿宋_GB2312" w:eastAsia="仿宋_GB2312" w:cs="仿宋_GB2312"/>
          <w:bCs/>
          <w:color w:val="000000"/>
          <w:kern w:val="0"/>
          <w:sz w:val="32"/>
          <w:szCs w:val="32"/>
          <w:lang w:bidi="ar"/>
        </w:rPr>
        <w:t xml:space="preserve">  </w:t>
      </w:r>
      <w:r>
        <w:rPr>
          <w:rFonts w:hint="eastAsia" w:ascii="仿宋_GB2312" w:hAnsi="仿宋_GB2312" w:eastAsia="仿宋_GB2312" w:cs="仿宋_GB2312"/>
          <w:bCs/>
          <w:color w:val="000000"/>
          <w:kern w:val="0"/>
          <w:sz w:val="32"/>
          <w:szCs w:val="32"/>
          <w:lang w:bidi="ar"/>
        </w:rPr>
        <w:t>佳</w:t>
      </w:r>
      <w:r>
        <w:rPr>
          <w:rFonts w:ascii="仿宋_GB2312" w:hAnsi="仿宋_GB2312" w:eastAsia="仿宋_GB2312" w:cs="仿宋_GB2312"/>
          <w:bCs/>
          <w:color w:val="000000"/>
          <w:kern w:val="0"/>
          <w:sz w:val="32"/>
          <w:szCs w:val="32"/>
          <w:lang w:bidi="ar"/>
        </w:rPr>
        <w:t xml:space="preserve">        </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b/>
          <w:color w:val="000000"/>
          <w:kern w:val="0"/>
          <w:sz w:val="32"/>
          <w:szCs w:val="32"/>
          <w:lang w:bidi="ar"/>
        </w:rPr>
        <w:t>工作职责：</w:t>
      </w:r>
      <w:r>
        <w:rPr>
          <w:rFonts w:hint="eastAsia" w:ascii="仿宋_GB2312" w:hAnsi="仿宋_GB2312" w:eastAsia="仿宋_GB2312" w:cs="仿宋_GB2312"/>
          <w:color w:val="000000"/>
          <w:kern w:val="0"/>
          <w:sz w:val="32"/>
          <w:szCs w:val="32"/>
          <w:lang w:bidi="ar"/>
        </w:rPr>
        <w:t>做好</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证书制度试点工作的顶层设计，统筹领导、协调资源、全面推进学校职业技能等级证书制度试点工作。研究制定试点工作的各项制度与措施，监督、检查试点工作执行情况和绩效考核。</w:t>
      </w:r>
    </w:p>
    <w:p>
      <w:pPr>
        <w:pageBreakBefore w:val="0"/>
        <w:widowControl/>
        <w:kinsoku/>
        <w:wordWrap/>
        <w:overflowPunct/>
        <w:topLinePunct w:val="0"/>
        <w:bidi w:val="0"/>
        <w:spacing w:line="596" w:lineRule="exact"/>
        <w:ind w:firstLine="640" w:firstLineChars="200"/>
        <w:jc w:val="left"/>
        <w:outlineLvl w:val="9"/>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t>领导小组下设办公室，办公室设在教务与实训管理处，负责</w:t>
      </w:r>
      <w:r>
        <w:rPr>
          <w:rFonts w:ascii="仿宋_GB2312" w:hAnsi="仿宋_GB2312" w:eastAsia="仿宋_GB2312" w:cs="仿宋_GB2312"/>
          <w:color w:val="000000"/>
          <w:kern w:val="0"/>
          <w:sz w:val="32"/>
          <w:szCs w:val="32"/>
          <w:lang w:bidi="ar"/>
        </w:rPr>
        <w:t xml:space="preserve">1+X </w:t>
      </w:r>
      <w:r>
        <w:rPr>
          <w:rFonts w:hint="eastAsia" w:ascii="仿宋_GB2312" w:hAnsi="仿宋_GB2312" w:eastAsia="仿宋_GB2312" w:cs="仿宋_GB2312"/>
          <w:color w:val="000000"/>
          <w:kern w:val="0"/>
          <w:sz w:val="32"/>
          <w:szCs w:val="32"/>
          <w:lang w:bidi="ar"/>
        </w:rPr>
        <w:t>日常工作开展及管理。办公室主任由黎华、覃宗万兼任，副主任由刘柳、暨飞兼任。</w:t>
      </w:r>
      <w:r>
        <w:rPr>
          <w:rFonts w:ascii="仿宋_GB2312" w:hAnsi="仿宋_GB2312" w:eastAsia="仿宋_GB2312" w:cs="仿宋_GB2312"/>
          <w:color w:val="000000"/>
          <w:kern w:val="0"/>
          <w:sz w:val="32"/>
          <w:szCs w:val="32"/>
          <w:lang w:bidi="ar"/>
        </w:rPr>
        <w:t xml:space="preserve"> </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b/>
          <w:color w:val="000000"/>
          <w:kern w:val="0"/>
          <w:sz w:val="32"/>
          <w:szCs w:val="32"/>
          <w:lang w:bidi="ar"/>
        </w:rPr>
      </w:pPr>
      <w:r>
        <w:rPr>
          <w:rFonts w:hint="eastAsia" w:ascii="仿宋_GB2312" w:hAnsi="仿宋_GB2312" w:eastAsia="仿宋_GB2312" w:cs="仿宋_GB2312"/>
          <w:b/>
          <w:color w:val="000000"/>
          <w:kern w:val="0"/>
          <w:sz w:val="32"/>
          <w:szCs w:val="32"/>
          <w:lang w:bidi="ar"/>
        </w:rPr>
        <w:t>办公室工作职责：</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sz w:val="32"/>
          <w:szCs w:val="32"/>
        </w:rPr>
      </w:pPr>
      <w:r>
        <w:rPr>
          <w:rFonts w:ascii="仿宋_GB2312" w:hAnsi="仿宋_GB2312" w:eastAsia="仿宋_GB2312" w:cs="仿宋_GB2312"/>
          <w:color w:val="000000"/>
          <w:kern w:val="0"/>
          <w:sz w:val="32"/>
          <w:szCs w:val="32"/>
          <w:lang w:bidi="ar"/>
        </w:rPr>
        <w:t>1.</w:t>
      </w:r>
      <w:r>
        <w:rPr>
          <w:rFonts w:hint="eastAsia" w:ascii="仿宋_GB2312" w:hAnsi="仿宋_GB2312" w:eastAsia="仿宋_GB2312" w:cs="仿宋_GB2312"/>
          <w:color w:val="000000"/>
          <w:kern w:val="0"/>
          <w:sz w:val="32"/>
          <w:szCs w:val="32"/>
          <w:lang w:bidi="ar"/>
        </w:rPr>
        <w:t>在学校领导小组的领导下，负责指导各二级学院开展</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证书试点工作，协调解决试点工作中出现的问题。研究制定相关政策，向学校领导小组报告重大问题并提出工作建议。</w:t>
      </w:r>
      <w:r>
        <w:rPr>
          <w:rFonts w:ascii="仿宋_GB2312" w:hAnsi="仿宋_GB2312" w:eastAsia="仿宋_GB2312" w:cs="仿宋_GB2312"/>
          <w:color w:val="000000"/>
          <w:kern w:val="0"/>
          <w:sz w:val="32"/>
          <w:szCs w:val="32"/>
          <w:lang w:bidi="ar"/>
        </w:rPr>
        <w:t xml:space="preserve"> </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sz w:val="32"/>
          <w:szCs w:val="32"/>
        </w:rPr>
      </w:pPr>
      <w:r>
        <w:rPr>
          <w:rFonts w:ascii="仿宋_GB2312" w:hAnsi="仿宋_GB2312" w:eastAsia="仿宋_GB2312" w:cs="仿宋_GB2312"/>
          <w:color w:val="000000"/>
          <w:kern w:val="0"/>
          <w:sz w:val="32"/>
          <w:szCs w:val="32"/>
          <w:lang w:bidi="ar"/>
        </w:rPr>
        <w:t>2.</w:t>
      </w:r>
      <w:r>
        <w:rPr>
          <w:rFonts w:hint="eastAsia" w:ascii="仿宋_GB2312" w:hAnsi="仿宋_GB2312" w:eastAsia="仿宋_GB2312" w:cs="仿宋_GB2312"/>
          <w:color w:val="000000"/>
          <w:kern w:val="0"/>
          <w:sz w:val="32"/>
          <w:szCs w:val="32"/>
          <w:lang w:bidi="ar"/>
        </w:rPr>
        <w:t>定期向学校领导小组汇报</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证书试点工作进展情况。主要内容：试点工作进展情况；试点专业推进“书证融通”</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的运行情况；二级学校试点工作经验；存在的主要问题和工作建议。</w:t>
      </w:r>
      <w:r>
        <w:rPr>
          <w:rFonts w:ascii="仿宋_GB2312" w:hAnsi="仿宋_GB2312" w:eastAsia="仿宋_GB2312" w:cs="仿宋_GB2312"/>
          <w:color w:val="000000"/>
          <w:kern w:val="0"/>
          <w:sz w:val="32"/>
          <w:szCs w:val="32"/>
          <w:lang w:bidi="ar"/>
        </w:rPr>
        <w:t xml:space="preserve"> </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3.</w:t>
      </w:r>
      <w:r>
        <w:rPr>
          <w:rFonts w:hint="eastAsia" w:ascii="仿宋_GB2312" w:hAnsi="仿宋_GB2312" w:eastAsia="仿宋_GB2312" w:cs="仿宋_GB2312"/>
          <w:color w:val="000000"/>
          <w:kern w:val="0"/>
          <w:sz w:val="32"/>
          <w:szCs w:val="32"/>
          <w:lang w:bidi="ar"/>
        </w:rPr>
        <w:t>办公室原则上每学期至少召开一次</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证书工作例会。因工作需要，可以临时召集会议。</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bidi="ar"/>
        </w:rPr>
        <w:t>负责配合各证书协调开展校外人员培训及考核的相关工作。</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（二）成立二级学院</w:t>
      </w:r>
      <w:r>
        <w:rPr>
          <w:rFonts w:ascii="仿宋_GB2312" w:hAnsi="仿宋_GB2312" w:eastAsia="仿宋_GB2312" w:cs="仿宋_GB2312"/>
          <w:b/>
          <w:bCs/>
          <w:color w:val="000000"/>
          <w:kern w:val="0"/>
          <w:sz w:val="32"/>
          <w:szCs w:val="32"/>
          <w:lang w:bidi="ar"/>
        </w:rPr>
        <w:t>1+X</w:t>
      </w:r>
      <w:r>
        <w:rPr>
          <w:rFonts w:hint="eastAsia" w:ascii="仿宋_GB2312" w:hAnsi="仿宋_GB2312" w:eastAsia="仿宋_GB2312" w:cs="仿宋_GB2312"/>
          <w:b/>
          <w:bCs/>
          <w:color w:val="000000"/>
          <w:kern w:val="0"/>
          <w:sz w:val="32"/>
          <w:szCs w:val="32"/>
          <w:lang w:bidi="ar"/>
        </w:rPr>
        <w:t>证书制度试点工作专项工作组</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以二级学院为单位设立</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证书制度试点工作专项工作组。各专项工作组根据职业技能等级证书所涉及的专业领域，负责具体工作的实施。工作组包括组长、副组长及成员。</w:t>
      </w:r>
    </w:p>
    <w:p>
      <w:pPr>
        <w:pageBreakBefore w:val="0"/>
        <w:kinsoku/>
        <w:wordWrap/>
        <w:overflowPunct/>
        <w:topLinePunct w:val="0"/>
        <w:bidi w:val="0"/>
        <w:spacing w:line="596" w:lineRule="exact"/>
        <w:ind w:firstLine="643" w:firstLineChars="200"/>
        <w:jc w:val="left"/>
        <w:outlineLvl w:val="9"/>
        <w:rPr>
          <w:rFonts w:ascii="仿宋_GB2312" w:hAnsi="仿宋_GB2312" w:eastAsia="仿宋_GB2312" w:cs="仿宋_GB2312"/>
          <w:b/>
          <w:color w:val="000000"/>
          <w:kern w:val="0"/>
          <w:sz w:val="32"/>
          <w:szCs w:val="32"/>
          <w:lang w:bidi="ar"/>
        </w:rPr>
      </w:pPr>
      <w:r>
        <w:rPr>
          <w:rFonts w:hint="eastAsia" w:ascii="仿宋_GB2312" w:hAnsi="仿宋_GB2312" w:eastAsia="仿宋_GB2312" w:cs="仿宋_GB2312"/>
          <w:b/>
          <w:color w:val="000000"/>
          <w:kern w:val="0"/>
          <w:sz w:val="32"/>
          <w:szCs w:val="32"/>
          <w:lang w:bidi="ar"/>
        </w:rPr>
        <w:t>二级学院工作组组长、副组长名单：</w:t>
      </w:r>
    </w:p>
    <w:tbl>
      <w:tblPr>
        <w:tblStyle w:val="17"/>
        <w:tblW w:w="79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80"/>
        <w:gridCol w:w="1569"/>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序号</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二级学院名称</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组长</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副组长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1</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机电工程学院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陈文勇</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关意鹏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2</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电子信息工程学院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蒙飚</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蒋文胜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3</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汽车工程学院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吴星</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张海峰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4</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环境与食品工程学院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于巧玲</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褚文静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5</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财经与物流管理学院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冯雪萍</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陈玉静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6</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贸易与旅游管理学院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黎渝林</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王晓娟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86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ascii="仿宋_GB2312" w:hAnsi="仿宋_GB2312" w:eastAsia="仿宋_GB2312" w:cs="仿宋_GB2312"/>
                <w:bCs/>
                <w:color w:val="000000"/>
                <w:kern w:val="0"/>
                <w:sz w:val="30"/>
                <w:szCs w:val="30"/>
                <w:lang w:bidi="ar"/>
              </w:rPr>
              <w:t>7</w:t>
            </w:r>
          </w:p>
        </w:tc>
        <w:tc>
          <w:tcPr>
            <w:tcW w:w="3880"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Cs/>
                <w:color w:val="000000"/>
                <w:kern w:val="0"/>
                <w:sz w:val="30"/>
                <w:szCs w:val="30"/>
                <w:lang w:bidi="ar"/>
              </w:rPr>
            </w:pPr>
            <w:r>
              <w:rPr>
                <w:rFonts w:hint="eastAsia" w:ascii="仿宋_GB2312" w:hAnsi="仿宋_GB2312" w:eastAsia="仿宋_GB2312" w:cs="仿宋_GB2312"/>
                <w:bCs/>
                <w:color w:val="000000"/>
                <w:kern w:val="0"/>
                <w:sz w:val="30"/>
                <w:szCs w:val="30"/>
                <w:lang w:bidi="ar"/>
              </w:rPr>
              <w:t>艺术学院</w:t>
            </w:r>
          </w:p>
        </w:tc>
        <w:tc>
          <w:tcPr>
            <w:tcW w:w="1569"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雍佳</w:t>
            </w:r>
          </w:p>
        </w:tc>
        <w:tc>
          <w:tcPr>
            <w:tcW w:w="1592" w:type="dxa"/>
            <w:noWrap w:val="0"/>
            <w:vAlign w:val="top"/>
          </w:tcPr>
          <w:p>
            <w:pPr>
              <w:pageBreakBefore w:val="0"/>
              <w:kinsoku/>
              <w:wordWrap/>
              <w:overflowPunct/>
              <w:topLinePunct w:val="0"/>
              <w:bidi w:val="0"/>
              <w:spacing w:line="596" w:lineRule="exact"/>
              <w:jc w:val="center"/>
              <w:outlineLvl w:val="9"/>
              <w:rPr>
                <w:rFonts w:ascii="仿宋_GB2312" w:hAnsi="仿宋_GB2312" w:eastAsia="仿宋_GB2312" w:cs="仿宋_GB2312"/>
                <w:b/>
                <w:color w:val="000000"/>
                <w:kern w:val="0"/>
                <w:sz w:val="30"/>
                <w:szCs w:val="30"/>
                <w:lang w:bidi="ar"/>
              </w:rPr>
            </w:pPr>
            <w:r>
              <w:rPr>
                <w:rFonts w:hint="eastAsia" w:ascii="仿宋_GB2312" w:hAnsi="仿宋_GB2312" w:eastAsia="仿宋_GB2312" w:cs="仿宋_GB2312"/>
                <w:bCs/>
                <w:color w:val="000000"/>
                <w:kern w:val="0"/>
                <w:sz w:val="30"/>
                <w:szCs w:val="30"/>
                <w:lang w:bidi="ar"/>
              </w:rPr>
              <w:t>王志希</w:t>
            </w:r>
          </w:p>
        </w:tc>
      </w:tr>
    </w:tbl>
    <w:p>
      <w:pPr>
        <w:pageBreakBefore w:val="0"/>
        <w:kinsoku/>
        <w:wordWrap/>
        <w:overflowPunct/>
        <w:topLinePunct w:val="0"/>
        <w:bidi w:val="0"/>
        <w:spacing w:line="596" w:lineRule="exact"/>
        <w:ind w:firstLine="643" w:firstLineChars="200"/>
        <w:jc w:val="left"/>
        <w:outlineLvl w:val="9"/>
        <w:rPr>
          <w:rFonts w:ascii="仿宋_GB2312" w:hAnsi="仿宋_GB2312" w:eastAsia="仿宋_GB2312" w:cs="仿宋_GB2312"/>
          <w:b/>
          <w:color w:val="000000"/>
          <w:kern w:val="0"/>
          <w:sz w:val="32"/>
          <w:szCs w:val="32"/>
          <w:lang w:bidi="ar"/>
        </w:rPr>
      </w:pPr>
      <w:r>
        <w:rPr>
          <w:rFonts w:hint="eastAsia" w:ascii="仿宋_GB2312" w:hAnsi="仿宋_GB2312" w:eastAsia="仿宋_GB2312" w:cs="仿宋_GB2312"/>
          <w:b/>
          <w:color w:val="000000"/>
          <w:kern w:val="0"/>
          <w:sz w:val="32"/>
          <w:szCs w:val="32"/>
          <w:lang w:bidi="ar"/>
        </w:rPr>
        <w:t>工作职责：</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二级学院层面</w:t>
      </w:r>
      <w:r>
        <w:rPr>
          <w:rFonts w:ascii="仿宋_GB2312" w:hAnsi="仿宋_GB2312" w:eastAsia="仿宋_GB2312" w:cs="仿宋_GB2312"/>
          <w:color w:val="000000"/>
          <w:kern w:val="0"/>
          <w:sz w:val="32"/>
          <w:szCs w:val="32"/>
          <w:lang w:bidi="ar"/>
        </w:rPr>
        <w:t>1+X</w:t>
      </w:r>
      <w:r>
        <w:rPr>
          <w:rFonts w:hint="eastAsia" w:ascii="仿宋_GB2312" w:hAnsi="仿宋_GB2312" w:eastAsia="仿宋_GB2312" w:cs="仿宋_GB2312"/>
          <w:color w:val="000000"/>
          <w:kern w:val="0"/>
          <w:sz w:val="32"/>
          <w:szCs w:val="32"/>
          <w:lang w:bidi="ar"/>
        </w:rPr>
        <w:t>证书试点工作的具体落实工作</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1.</w:t>
      </w:r>
      <w:r>
        <w:rPr>
          <w:rFonts w:hint="eastAsia" w:ascii="仿宋_GB2312" w:hAnsi="仿宋_GB2312" w:eastAsia="仿宋_GB2312" w:cs="仿宋_GB2312"/>
          <w:color w:val="000000"/>
          <w:kern w:val="0"/>
          <w:sz w:val="32"/>
          <w:szCs w:val="32"/>
          <w:lang w:bidi="ar"/>
        </w:rPr>
        <w:t>组织证书试点申报工作、证书考核站点申报及建设工作；</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2.</w:t>
      </w:r>
      <w:r>
        <w:rPr>
          <w:rFonts w:hint="eastAsia" w:ascii="仿宋_GB2312" w:hAnsi="仿宋_GB2312" w:eastAsia="仿宋_GB2312" w:cs="仿宋_GB2312"/>
          <w:color w:val="000000"/>
          <w:kern w:val="0"/>
          <w:sz w:val="32"/>
          <w:szCs w:val="32"/>
          <w:lang w:bidi="ar"/>
        </w:rPr>
        <w:t>编写证书试点工作年度计划、编制年度工作预算、撰写证书试点工作年度总结、撰写自治区年度抽查监测报告；</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3.</w:t>
      </w:r>
      <w:r>
        <w:rPr>
          <w:rFonts w:hint="eastAsia" w:ascii="仿宋_GB2312" w:hAnsi="仿宋_GB2312" w:eastAsia="仿宋_GB2312" w:cs="仿宋_GB2312"/>
          <w:color w:val="000000"/>
          <w:kern w:val="0"/>
          <w:sz w:val="32"/>
          <w:szCs w:val="32"/>
          <w:lang w:bidi="ar"/>
        </w:rPr>
        <w:t>组织开展证书与人才培养方案的对接和融通，推进三教改革，试点开展学分银行建设及学习成果转换；</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bidi="ar"/>
        </w:rPr>
        <w:t>开展证书师资培训，培养证书培训师和考评员；</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5.</w:t>
      </w:r>
      <w:r>
        <w:rPr>
          <w:rFonts w:hint="eastAsia" w:ascii="仿宋_GB2312" w:hAnsi="仿宋_GB2312" w:eastAsia="仿宋_GB2312" w:cs="仿宋_GB2312"/>
          <w:color w:val="000000"/>
          <w:kern w:val="0"/>
          <w:sz w:val="32"/>
          <w:szCs w:val="32"/>
          <w:lang w:bidi="ar"/>
        </w:rPr>
        <w:t>开展校内学生及校外社会人员证书培训，组织校内外人员考试报名及系统平台信息录入核对、组织证书考核及颁证工作；</w:t>
      </w:r>
    </w:p>
    <w:p>
      <w:pPr>
        <w:pageBreakBefore w:val="0"/>
        <w:kinsoku/>
        <w:wordWrap/>
        <w:overflowPunct/>
        <w:topLinePunct w:val="0"/>
        <w:bidi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6.</w:t>
      </w:r>
      <w:r>
        <w:rPr>
          <w:rFonts w:hint="eastAsia" w:ascii="仿宋_GB2312" w:hAnsi="仿宋_GB2312" w:eastAsia="仿宋_GB2312" w:cs="仿宋_GB2312"/>
          <w:color w:val="000000"/>
          <w:kern w:val="0"/>
          <w:sz w:val="32"/>
          <w:szCs w:val="32"/>
          <w:lang w:bidi="ar"/>
        </w:rPr>
        <w:t>完成每月证书工作情况双周报、工作进度简表上报</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及时、准确报送工作进展。</w:t>
      </w:r>
    </w:p>
    <w:p>
      <w:pPr>
        <w:pageBreakBefore w:val="0"/>
        <w:kinsoku/>
        <w:wordWrap/>
        <w:overflowPunct/>
        <w:topLinePunct w:val="0"/>
        <w:bidi w:val="0"/>
        <w:spacing w:line="596" w:lineRule="exact"/>
        <w:ind w:firstLine="640"/>
        <w:jc w:val="left"/>
        <w:outlineLvl w:val="9"/>
        <w:rPr>
          <w:rFonts w:ascii="黑体" w:hAnsi="黑体" w:eastAsia="黑体" w:cs="黑体"/>
          <w:b/>
          <w:bCs/>
          <w:color w:val="000000"/>
          <w:kern w:val="0"/>
          <w:sz w:val="32"/>
          <w:szCs w:val="32"/>
          <w:lang w:bidi="ar"/>
        </w:rPr>
      </w:pPr>
      <w:r>
        <w:rPr>
          <w:rFonts w:hint="eastAsia" w:ascii="黑体" w:hAnsi="黑体" w:eastAsia="黑体" w:cs="黑体"/>
          <w:b/>
          <w:bCs/>
          <w:color w:val="000000"/>
          <w:kern w:val="0"/>
          <w:sz w:val="32"/>
          <w:szCs w:val="32"/>
          <w:lang w:bidi="ar"/>
        </w:rPr>
        <w:t>二、</w:t>
      </w:r>
      <w:r>
        <w:rPr>
          <w:rFonts w:ascii="黑体" w:hAnsi="黑体" w:eastAsia="黑体" w:cs="黑体"/>
          <w:b/>
          <w:bCs/>
          <w:color w:val="000000"/>
          <w:kern w:val="0"/>
          <w:sz w:val="32"/>
          <w:szCs w:val="32"/>
          <w:lang w:bidi="ar"/>
        </w:rPr>
        <w:t>1+X</w:t>
      </w:r>
      <w:r>
        <w:rPr>
          <w:rFonts w:hint="eastAsia" w:ascii="黑体" w:hAnsi="黑体" w:eastAsia="黑体" w:cs="黑体"/>
          <w:b/>
          <w:bCs/>
          <w:color w:val="000000"/>
          <w:kern w:val="0"/>
          <w:sz w:val="32"/>
          <w:szCs w:val="32"/>
          <w:lang w:bidi="ar"/>
        </w:rPr>
        <w:t>证书制度试点工作任务</w:t>
      </w:r>
    </w:p>
    <w:p>
      <w:pPr>
        <w:pageBreakBefore w:val="0"/>
        <w:numPr>
          <w:ilvl w:val="0"/>
          <w:numId w:val="11"/>
        </w:numPr>
        <w:kinsoku/>
        <w:wordWrap/>
        <w:overflowPunct/>
        <w:topLinePunct w:val="0"/>
        <w:bidi w:val="0"/>
        <w:spacing w:line="596" w:lineRule="exact"/>
        <w:ind w:firstLine="643" w:firstLineChars="20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遴选职业技能等级证书，确定试点专业</w:t>
      </w:r>
    </w:p>
    <w:p>
      <w:pPr>
        <w:pageBreakBefore w:val="0"/>
        <w:kinsoku/>
        <w:wordWrap/>
        <w:overflowPunct/>
        <w:topLinePunct w:val="0"/>
        <w:bidi w:val="0"/>
        <w:spacing w:line="596" w:lineRule="exact"/>
        <w:ind w:firstLine="642"/>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各二级学院需根据发布的职业技能等级证书目录，根据专业建设的情况，积极选择符合专业（群）及产业链的发展需求、含金量高的职业等级证书进行试点。</w:t>
      </w:r>
    </w:p>
    <w:p>
      <w:pPr>
        <w:pageBreakBefore w:val="0"/>
        <w:kinsoku/>
        <w:wordWrap/>
        <w:overflowPunct/>
        <w:topLinePunct w:val="0"/>
        <w:bidi w:val="0"/>
        <w:spacing w:line="596" w:lineRule="exact"/>
        <w:ind w:firstLine="642"/>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试点专业需具备以下条件：</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1.</w:t>
      </w:r>
      <w:r>
        <w:rPr>
          <w:rFonts w:hint="eastAsia" w:ascii="仿宋_GB2312" w:hAnsi="仿宋_GB2312" w:eastAsia="仿宋_GB2312" w:cs="仿宋_GB2312"/>
          <w:color w:val="000000"/>
          <w:sz w:val="32"/>
          <w:szCs w:val="32"/>
          <w:lang w:bidi="ar"/>
        </w:rPr>
        <w:t>开设有与拟参与试点证书对应的专业，近</w:t>
      </w:r>
      <w:r>
        <w:rPr>
          <w:rFonts w:ascii="仿宋_GB2312" w:hAnsi="仿宋_GB2312" w:eastAsia="仿宋_GB2312" w:cs="仿宋_GB2312"/>
          <w:color w:val="000000"/>
          <w:sz w:val="32"/>
          <w:szCs w:val="32"/>
          <w:lang w:bidi="ar"/>
        </w:rPr>
        <w:t>3</w:t>
      </w:r>
      <w:r>
        <w:rPr>
          <w:rFonts w:hint="eastAsia" w:ascii="仿宋_GB2312" w:hAnsi="仿宋_GB2312" w:eastAsia="仿宋_GB2312" w:cs="仿宋_GB2312"/>
          <w:color w:val="000000"/>
          <w:sz w:val="32"/>
          <w:szCs w:val="32"/>
          <w:lang w:bidi="ar"/>
        </w:rPr>
        <w:t>年连续招生，具备一定相关领域职业培训经验。</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2.</w:t>
      </w:r>
      <w:r>
        <w:rPr>
          <w:rFonts w:hint="eastAsia" w:ascii="仿宋_GB2312" w:hAnsi="仿宋_GB2312" w:eastAsia="仿宋_GB2312" w:cs="仿宋_GB2312"/>
          <w:color w:val="000000"/>
          <w:sz w:val="32"/>
          <w:szCs w:val="32"/>
          <w:lang w:bidi="ar"/>
        </w:rPr>
        <w:t>拟参与试点的专业建设基础好，人才培养质量高，贯彻落实职业教育国家教学标准有力，有较为完备的专业人才培养方案和满足教学、培训需要的教学资源。</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3.</w:t>
      </w:r>
      <w:r>
        <w:rPr>
          <w:rFonts w:hint="eastAsia" w:ascii="仿宋_GB2312" w:hAnsi="仿宋_GB2312" w:eastAsia="仿宋_GB2312" w:cs="仿宋_GB2312"/>
          <w:color w:val="000000"/>
          <w:sz w:val="32"/>
          <w:szCs w:val="32"/>
          <w:lang w:bidi="ar"/>
        </w:rPr>
        <w:t>拟参与试点的专业有具备培训能力的专兼职师资队伍，其中“双师型”教师不少于</w:t>
      </w:r>
      <w:r>
        <w:rPr>
          <w:rFonts w:ascii="仿宋_GB2312" w:hAnsi="仿宋_GB2312" w:eastAsia="仿宋_GB2312" w:cs="仿宋_GB2312"/>
          <w:color w:val="000000"/>
          <w:sz w:val="32"/>
          <w:szCs w:val="32"/>
          <w:lang w:bidi="ar"/>
        </w:rPr>
        <w:t>50%</w:t>
      </w:r>
      <w:r>
        <w:rPr>
          <w:rFonts w:hint="eastAsia" w:ascii="仿宋_GB2312" w:hAnsi="仿宋_GB2312" w:eastAsia="仿宋_GB2312" w:cs="仿宋_GB2312"/>
          <w:color w:val="000000"/>
          <w:sz w:val="32"/>
          <w:szCs w:val="32"/>
          <w:lang w:bidi="ar"/>
        </w:rPr>
        <w:t>，行业企业专家比例不低于</w:t>
      </w:r>
      <w:r>
        <w:rPr>
          <w:rFonts w:ascii="仿宋_GB2312" w:hAnsi="仿宋_GB2312" w:eastAsia="仿宋_GB2312" w:cs="仿宋_GB2312"/>
          <w:color w:val="000000"/>
          <w:sz w:val="32"/>
          <w:szCs w:val="32"/>
          <w:lang w:bidi="ar"/>
        </w:rPr>
        <w:t>20%</w:t>
      </w:r>
      <w:r>
        <w:rPr>
          <w:rFonts w:hint="eastAsia" w:ascii="仿宋_GB2312" w:hAnsi="仿宋_GB2312" w:eastAsia="仿宋_GB2312" w:cs="仿宋_GB2312"/>
          <w:color w:val="000000"/>
          <w:sz w:val="32"/>
          <w:szCs w:val="32"/>
          <w:lang w:bidi="ar"/>
        </w:rPr>
        <w:t>，具有满足模块化教学需要的结构化师资教学团队。</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4.</w:t>
      </w:r>
      <w:r>
        <w:rPr>
          <w:rFonts w:hint="eastAsia" w:ascii="仿宋_GB2312" w:hAnsi="仿宋_GB2312" w:eastAsia="仿宋_GB2312" w:cs="仿宋_GB2312"/>
          <w:color w:val="000000"/>
          <w:sz w:val="32"/>
          <w:szCs w:val="32"/>
          <w:lang w:bidi="ar"/>
        </w:rPr>
        <w:t>具有满足证书培训需要的教学条件和实习实训设施设备。</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5.</w:t>
      </w:r>
      <w:r>
        <w:rPr>
          <w:rFonts w:hint="eastAsia" w:ascii="仿宋_GB2312" w:hAnsi="仿宋_GB2312" w:eastAsia="仿宋_GB2312" w:cs="仿宋_GB2312"/>
          <w:color w:val="000000"/>
          <w:sz w:val="32"/>
          <w:szCs w:val="32"/>
          <w:lang w:bidi="ar"/>
        </w:rPr>
        <w:t>制度体系健全，教学管理规范，团队保障有力。</w:t>
      </w:r>
    </w:p>
    <w:p>
      <w:pPr>
        <w:pageBreakBefore w:val="0"/>
        <w:widowControl/>
        <w:kinsoku/>
        <w:wordWrap/>
        <w:overflowPunct/>
        <w:topLinePunct w:val="0"/>
        <w:bidi w:val="0"/>
        <w:spacing w:line="596" w:lineRule="exact"/>
        <w:ind w:firstLine="643" w:firstLineChars="200"/>
        <w:jc w:val="left"/>
        <w:outlineLvl w:val="9"/>
        <w:rPr>
          <w:rFonts w:ascii="仿宋_GB2312" w:hAnsi="仿宋_GB2312" w:eastAsia="仿宋_GB2312" w:cs="仿宋_GB2312"/>
          <w:b/>
          <w:bCs/>
          <w:color w:val="000000"/>
          <w:kern w:val="0"/>
          <w:sz w:val="32"/>
          <w:szCs w:val="32"/>
          <w:lang w:bidi="ar"/>
        </w:rPr>
      </w:pPr>
      <w:r>
        <w:rPr>
          <w:rFonts w:ascii="仿宋_GB2312" w:hAnsi="仿宋_GB2312" w:eastAsia="仿宋_GB2312" w:cs="仿宋_GB2312"/>
          <w:b/>
          <w:bCs/>
          <w:color w:val="000000"/>
          <w:kern w:val="0"/>
          <w:sz w:val="32"/>
          <w:szCs w:val="32"/>
          <w:lang w:bidi="ar"/>
        </w:rPr>
        <w:t>(</w:t>
      </w:r>
      <w:r>
        <w:rPr>
          <w:rFonts w:hint="eastAsia" w:ascii="仿宋_GB2312" w:hAnsi="仿宋_GB2312" w:eastAsia="仿宋_GB2312" w:cs="仿宋_GB2312"/>
          <w:b/>
          <w:bCs/>
          <w:color w:val="000000"/>
          <w:kern w:val="0"/>
          <w:sz w:val="32"/>
          <w:szCs w:val="32"/>
          <w:lang w:bidi="ar"/>
        </w:rPr>
        <w:t>二）积极开展书证融通、课证融通工作</w:t>
      </w:r>
    </w:p>
    <w:p>
      <w:pPr>
        <w:pStyle w:val="14"/>
        <w:pageBreakBefore w:val="0"/>
        <w:shd w:val="clear" w:color="auto" w:fill="FFFFFF"/>
        <w:kinsoku/>
        <w:wordWrap/>
        <w:overflowPunct/>
        <w:topLinePunct w:val="0"/>
        <w:bidi w:val="0"/>
        <w:spacing w:beforeAutospacing="0" w:afterAutospacing="0" w:line="596" w:lineRule="exac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b/>
          <w:bCs/>
          <w:color w:val="000000"/>
          <w:sz w:val="32"/>
          <w:szCs w:val="32"/>
          <w:lang w:bidi="ar"/>
        </w:rPr>
        <w:t xml:space="preserve"> </w:t>
      </w:r>
      <w:r>
        <w:rPr>
          <w:rFonts w:ascii="仿宋_GB2312" w:hAnsi="仿宋_GB2312" w:eastAsia="仿宋_GB2312" w:cs="仿宋_GB2312"/>
          <w:color w:val="000000"/>
          <w:sz w:val="32"/>
          <w:szCs w:val="32"/>
          <w:lang w:bidi="ar"/>
        </w:rPr>
        <w:t>1.</w:t>
      </w:r>
      <w:r>
        <w:rPr>
          <w:rFonts w:hint="eastAsia" w:ascii="仿宋_GB2312" w:hAnsi="仿宋_GB2312" w:eastAsia="仿宋_GB2312" w:cs="仿宋_GB2312"/>
          <w:color w:val="000000"/>
          <w:sz w:val="32"/>
          <w:szCs w:val="32"/>
          <w:lang w:bidi="ar"/>
        </w:rPr>
        <w:t>修订人才培养方案。统筹专业（群）资源，各专业（群）做好专业教学标准和职业技能等级标准（中级）的对接。按照职业技能等级标准和专业教学标准要求，对本专业（群）职业面向、培养目标、培养规格、毕业要求等专业人才培养关键要素进行全面梳理、科学定位。重构</w:t>
      </w:r>
      <w:r>
        <w:rPr>
          <w:rFonts w:ascii="仿宋_GB2312" w:hAnsi="仿宋_GB2312" w:eastAsia="仿宋_GB2312" w:cs="仿宋_GB2312"/>
          <w:color w:val="000000"/>
          <w:sz w:val="32"/>
          <w:szCs w:val="32"/>
          <w:lang w:bidi="ar"/>
        </w:rPr>
        <w:t>1</w:t>
      </w:r>
      <w:r>
        <w:rPr>
          <w:rFonts w:hint="eastAsia" w:ascii="仿宋_GB2312" w:hAnsi="仿宋_GB2312" w:eastAsia="仿宋_GB2312" w:cs="仿宋_GB2312"/>
          <w:color w:val="000000"/>
          <w:sz w:val="32"/>
          <w:szCs w:val="32"/>
          <w:lang w:bidi="ar"/>
        </w:rPr>
        <w:t>与</w:t>
      </w:r>
      <w:r>
        <w:rPr>
          <w:rFonts w:ascii="仿宋_GB2312" w:hAnsi="仿宋_GB2312" w:eastAsia="仿宋_GB2312" w:cs="仿宋_GB2312"/>
          <w:color w:val="000000"/>
          <w:sz w:val="32"/>
          <w:szCs w:val="32"/>
          <w:lang w:bidi="ar"/>
        </w:rPr>
        <w:t>X</w:t>
      </w:r>
      <w:r>
        <w:rPr>
          <w:rFonts w:hint="eastAsia" w:ascii="仿宋_GB2312" w:hAnsi="仿宋_GB2312" w:eastAsia="仿宋_GB2312" w:cs="仿宋_GB2312"/>
          <w:color w:val="000000"/>
          <w:sz w:val="32"/>
          <w:szCs w:val="32"/>
          <w:lang w:bidi="ar"/>
        </w:rPr>
        <w:t>深度融合的专业人才培养方案。对于已经制定并完成的人才培养方案，应将证书培训内容有机融入，可作为课程或内容的置换、补充、强化。</w:t>
      </w:r>
    </w:p>
    <w:p>
      <w:pPr>
        <w:pStyle w:val="14"/>
        <w:pageBreakBefore w:val="0"/>
        <w:shd w:val="clear" w:color="auto" w:fill="FFFFFF"/>
        <w:kinsoku/>
        <w:wordWrap/>
        <w:overflowPunct/>
        <w:topLinePunct w:val="0"/>
        <w:bidi w:val="0"/>
        <w:spacing w:beforeAutospacing="0" w:afterAutospacing="0" w:line="495" w:lineRule="atLeast"/>
        <w:ind w:firstLine="640" w:firstLineChars="2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2.</w:t>
      </w:r>
      <w:r>
        <w:rPr>
          <w:rFonts w:hint="eastAsia" w:ascii="仿宋_GB2312" w:hAnsi="仿宋_GB2312" w:eastAsia="仿宋_GB2312" w:cs="仿宋_GB2312"/>
          <w:color w:val="000000"/>
          <w:sz w:val="32"/>
          <w:szCs w:val="32"/>
          <w:lang w:bidi="ar"/>
        </w:rPr>
        <w:t>重构“课证融通”课程体系。在分析现有教学内容基础上，确定已经纳入教学的和将来能够在教学中完成的职业技能等级标准内容，然后将标准内容转化为若干门专业（核心）课程并纳入专业课程体系，或转化为若干教学模块纳入部分专业（核心）课程教学内容，融入专业人才培养方案和课程体系，每个专业需根据证书要求制定若干门专业课程标准。</w:t>
      </w:r>
    </w:p>
    <w:p>
      <w:pPr>
        <w:pStyle w:val="14"/>
        <w:pageBreakBefore w:val="0"/>
        <w:shd w:val="clear" w:color="auto" w:fill="FFFFFF"/>
        <w:kinsoku/>
        <w:wordWrap/>
        <w:overflowPunct/>
        <w:topLinePunct w:val="0"/>
        <w:bidi w:val="0"/>
        <w:spacing w:beforeAutospacing="0" w:afterAutospacing="0" w:line="495" w:lineRule="atLeast"/>
        <w:ind w:firstLine="600"/>
        <w:outlineLvl w:val="9"/>
        <w:rPr>
          <w:rFonts w:ascii="仿宋_GB2312" w:hAnsi="仿宋_GB2312" w:eastAsia="仿宋_GB2312" w:cs="仿宋_GB2312"/>
          <w:color w:val="000000"/>
          <w:sz w:val="32"/>
          <w:szCs w:val="32"/>
          <w:lang w:bidi="ar"/>
        </w:rPr>
      </w:pPr>
      <w:r>
        <w:rPr>
          <w:rFonts w:ascii="仿宋_GB2312" w:hAnsi="仿宋_GB2312" w:eastAsia="仿宋_GB2312" w:cs="仿宋_GB2312"/>
          <w:color w:val="000000"/>
          <w:sz w:val="32"/>
          <w:szCs w:val="32"/>
          <w:lang w:bidi="ar"/>
        </w:rPr>
        <w:t>3.</w:t>
      </w:r>
      <w:r>
        <w:rPr>
          <w:rFonts w:hint="eastAsia" w:ascii="仿宋_GB2312" w:hAnsi="仿宋_GB2312" w:eastAsia="仿宋_GB2312" w:cs="仿宋_GB2312"/>
          <w:color w:val="000000"/>
          <w:sz w:val="32"/>
          <w:szCs w:val="32"/>
          <w:lang w:bidi="ar"/>
        </w:rPr>
        <w:t>创新人才培养模式。主要采用两种人才培养模式取得</w:t>
      </w:r>
      <w:r>
        <w:rPr>
          <w:rFonts w:ascii="仿宋_GB2312" w:hAnsi="仿宋_GB2312" w:eastAsia="仿宋_GB2312" w:cs="仿宋_GB2312"/>
          <w:color w:val="000000"/>
          <w:sz w:val="32"/>
          <w:szCs w:val="32"/>
          <w:lang w:bidi="ar"/>
        </w:rPr>
        <w:t>X</w:t>
      </w:r>
      <w:r>
        <w:rPr>
          <w:rFonts w:hint="eastAsia" w:ascii="仿宋_GB2312" w:hAnsi="仿宋_GB2312" w:eastAsia="仿宋_GB2312" w:cs="仿宋_GB2312"/>
          <w:color w:val="000000"/>
          <w:sz w:val="32"/>
          <w:szCs w:val="32"/>
          <w:lang w:bidi="ar"/>
        </w:rPr>
        <w:t>证书。一是通过培训、评价使学生获得若干职业技能等级证书；二是探索将相关专业课程考试与职业技能等级考核统筹安排，同步考试（评价），获得学历证书相应学分和职业技能等级证书。各试点专业学生至少应取得一项与专业技能相对应的职业技能等级证书，相应要求纳入到人才培养方案。各专业切实要深化教学方式方法改革，提高人才培养的灵活性、适应性、针对性。</w:t>
      </w:r>
    </w:p>
    <w:p>
      <w:pPr>
        <w:pageBreakBefore w:val="0"/>
        <w:kinsoku/>
        <w:wordWrap/>
        <w:overflowPunct/>
        <w:topLinePunct w:val="0"/>
        <w:bidi w:val="0"/>
        <w:spacing w:line="360" w:lineRule="auto"/>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 xml:space="preserve">  </w:t>
      </w:r>
      <w:r>
        <w:rPr>
          <w:rFonts w:ascii="仿宋_GB2312" w:hAnsi="仿宋_GB2312" w:eastAsia="仿宋_GB2312" w:cs="仿宋_GB2312"/>
          <w:b/>
          <w:bCs/>
          <w:color w:val="000000"/>
          <w:kern w:val="0"/>
          <w:sz w:val="32"/>
          <w:szCs w:val="32"/>
          <w:lang w:bidi="ar"/>
        </w:rPr>
        <w:t xml:space="preserve">  </w:t>
      </w:r>
      <w:r>
        <w:rPr>
          <w:rFonts w:hint="eastAsia" w:ascii="仿宋_GB2312" w:hAnsi="仿宋_GB2312" w:eastAsia="仿宋_GB2312" w:cs="仿宋_GB2312"/>
          <w:b/>
          <w:bCs/>
          <w:color w:val="000000"/>
          <w:kern w:val="0"/>
          <w:sz w:val="32"/>
          <w:szCs w:val="32"/>
          <w:lang w:bidi="ar"/>
        </w:rPr>
        <w:t>（三）加强教学资源建设和教学方法改革</w:t>
      </w:r>
    </w:p>
    <w:p>
      <w:pPr>
        <w:pStyle w:val="26"/>
        <w:pageBreakBefore w:val="0"/>
        <w:kinsoku/>
        <w:wordWrap/>
        <w:overflowPunct/>
        <w:topLinePunct w:val="0"/>
        <w:bidi w:val="0"/>
        <w:spacing w:line="360" w:lineRule="auto"/>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1.</w:t>
      </w:r>
      <w:r>
        <w:rPr>
          <w:rFonts w:hint="eastAsia" w:hAnsi="仿宋_GB2312" w:cs="仿宋_GB2312"/>
          <w:b w:val="0"/>
          <w:color w:val="000000"/>
          <w:kern w:val="0"/>
          <w:sz w:val="32"/>
          <w:szCs w:val="32"/>
          <w:lang w:bidi="ar"/>
        </w:rPr>
        <w:t>加强教学资源建设。结合培训教材与培训标准，开发基于企业真实项目、数据、案例的培训资源，开发培训讲义、培训课件，建立培训资源平台，形成立体化新形态的育训资源。</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2.</w:t>
      </w:r>
      <w:r>
        <w:rPr>
          <w:rFonts w:hint="eastAsia" w:hAnsi="仿宋_GB2312" w:cs="仿宋_GB2312"/>
          <w:b w:val="0"/>
          <w:color w:val="000000"/>
          <w:kern w:val="0"/>
          <w:sz w:val="32"/>
          <w:szCs w:val="32"/>
          <w:lang w:bidi="ar"/>
        </w:rPr>
        <w:t>加强教学方法改革。充分利用在线教学平台，开展线上教学与培训服务，推进分工协作的模块化教学模式、混合式教学模式、项目教学等以学生为主体的教学方法改革，提升培训效果和培训质量。</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3.</w:t>
      </w:r>
      <w:r>
        <w:rPr>
          <w:rFonts w:hint="eastAsia" w:hAnsi="仿宋_GB2312" w:cs="仿宋_GB2312"/>
          <w:b w:val="0"/>
          <w:color w:val="000000"/>
          <w:kern w:val="0"/>
          <w:sz w:val="32"/>
          <w:szCs w:val="32"/>
          <w:lang w:bidi="ar"/>
        </w:rPr>
        <w:t>借鉴职业技术等级证书的考核方法，改革课程考核方式，将口试、项目考核等多种考核评价方式纳入课程考核，促进学习目标的达成。</w:t>
      </w:r>
    </w:p>
    <w:p>
      <w:pPr>
        <w:pStyle w:val="26"/>
        <w:pageBreakBefore w:val="0"/>
        <w:kinsoku/>
        <w:wordWrap/>
        <w:overflowPunct/>
        <w:topLinePunct w:val="0"/>
        <w:bidi w:val="0"/>
        <w:ind w:firstLine="643"/>
        <w:outlineLvl w:val="9"/>
        <w:rPr>
          <w:rFonts w:hAnsi="仿宋_GB2312" w:cs="仿宋_GB2312"/>
          <w:bCs/>
          <w:color w:val="000000"/>
          <w:kern w:val="0"/>
          <w:sz w:val="32"/>
          <w:szCs w:val="32"/>
          <w:lang w:bidi="ar"/>
        </w:rPr>
      </w:pPr>
      <w:r>
        <w:rPr>
          <w:rFonts w:hint="eastAsia" w:hAnsi="仿宋_GB2312" w:cs="仿宋_GB2312"/>
          <w:bCs/>
          <w:color w:val="000000"/>
          <w:kern w:val="0"/>
          <w:sz w:val="32"/>
          <w:szCs w:val="32"/>
          <w:lang w:bidi="ar"/>
        </w:rPr>
        <w:t>（四）加强师资队伍建设</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int="eastAsia" w:hAnsi="仿宋_GB2312" w:cs="仿宋_GB2312"/>
          <w:b w:val="0"/>
          <w:color w:val="000000"/>
          <w:kern w:val="0"/>
          <w:sz w:val="32"/>
          <w:szCs w:val="32"/>
          <w:lang w:bidi="ar"/>
        </w:rPr>
        <w:t>各试点专业要培养培训一支能够准确把握</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证书制度先进理念、深入研究专业技能等级标准、做好专业教学整体设计，满足新技术、新工艺、新规范、新技能培养培训需求的教学创新团队。</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1.</w:t>
      </w:r>
      <w:r>
        <w:rPr>
          <w:rFonts w:hint="eastAsia" w:hAnsi="仿宋_GB2312" w:cs="仿宋_GB2312"/>
          <w:b w:val="0"/>
          <w:color w:val="000000"/>
          <w:kern w:val="0"/>
          <w:sz w:val="32"/>
          <w:szCs w:val="32"/>
          <w:lang w:bidi="ar"/>
        </w:rPr>
        <w:t>加强专业带头人培养。专业带头人要加强</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证书制度新理念的学习，准确把握试点工作的背景与意义、职业技能等级证书及标准的内涵及要求，带领专业团队做好人才培养方案开发等试点工作的顶层设计，并编制人才培养方案。</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2.</w:t>
      </w:r>
      <w:r>
        <w:rPr>
          <w:rFonts w:hint="eastAsia" w:hAnsi="仿宋_GB2312" w:cs="仿宋_GB2312"/>
          <w:b w:val="0"/>
          <w:color w:val="000000"/>
          <w:kern w:val="0"/>
          <w:sz w:val="32"/>
          <w:szCs w:val="32"/>
          <w:lang w:bidi="ar"/>
        </w:rPr>
        <w:t>加强专业骨干教师培养。组织教师参加教师素质提高计划项目、参与职业技能等级标准培训等形式，提高专业骨干教师实施教学、培训和考核评价能力。各试点专业至少</w:t>
      </w:r>
      <w:r>
        <w:rPr>
          <w:rFonts w:hAnsi="仿宋_GB2312" w:cs="仿宋_GB2312"/>
          <w:b w:val="0"/>
          <w:color w:val="000000"/>
          <w:kern w:val="0"/>
          <w:sz w:val="32"/>
          <w:szCs w:val="32"/>
          <w:lang w:bidi="ar"/>
        </w:rPr>
        <w:t>3</w:t>
      </w:r>
      <w:r>
        <w:rPr>
          <w:rFonts w:hint="eastAsia" w:hAnsi="仿宋_GB2312" w:cs="仿宋_GB2312"/>
          <w:b w:val="0"/>
          <w:color w:val="000000"/>
          <w:kern w:val="0"/>
          <w:sz w:val="32"/>
          <w:szCs w:val="32"/>
          <w:lang w:bidi="ar"/>
        </w:rPr>
        <w:t>名教师获得</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证书考评员资格证书。</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sectPr>
          <w:pgSz w:w="11906" w:h="16838"/>
          <w:pgMar w:top="2098" w:right="1474" w:bottom="1984" w:left="1587" w:header="851" w:footer="850" w:gutter="0"/>
          <w:pgNumType w:fmt="decimal"/>
          <w:cols w:space="720" w:num="1"/>
          <w:docGrid w:type="lines" w:linePitch="324" w:charSpace="0"/>
        </w:sectPr>
      </w:pPr>
      <w:r>
        <w:rPr>
          <w:rFonts w:hAnsi="仿宋_GB2312" w:cs="仿宋_GB2312"/>
          <w:b w:val="0"/>
          <w:color w:val="000000"/>
          <w:kern w:val="0"/>
          <w:sz w:val="32"/>
          <w:szCs w:val="32"/>
          <w:lang w:bidi="ar"/>
        </w:rPr>
        <w:t>3.</w:t>
      </w:r>
      <w:r>
        <w:rPr>
          <w:rFonts w:hint="eastAsia" w:hAnsi="仿宋_GB2312" w:cs="仿宋_GB2312"/>
          <w:b w:val="0"/>
          <w:color w:val="000000"/>
          <w:kern w:val="0"/>
          <w:sz w:val="32"/>
          <w:szCs w:val="32"/>
          <w:lang w:bidi="ar"/>
        </w:rPr>
        <w:t>加强校外兼职教师的聘任。引进培训评价组织培训教师或</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int="eastAsia" w:hAnsi="仿宋_GB2312" w:cs="仿宋_GB2312"/>
          <w:b w:val="0"/>
          <w:color w:val="000000"/>
          <w:kern w:val="0"/>
          <w:sz w:val="32"/>
          <w:szCs w:val="32"/>
          <w:lang w:bidi="ar"/>
        </w:rPr>
        <w:t>行业企业兼职教师，优化师资队伍结构，全面提高专业师资队伍的教学与培训能力。</w:t>
      </w:r>
    </w:p>
    <w:p>
      <w:pPr>
        <w:pStyle w:val="26"/>
        <w:pageBreakBefore w:val="0"/>
        <w:kinsoku/>
        <w:wordWrap/>
        <w:overflowPunct/>
        <w:topLinePunct w:val="0"/>
        <w:bidi w:val="0"/>
        <w:ind w:firstLine="643"/>
        <w:outlineLvl w:val="9"/>
        <w:rPr>
          <w:rFonts w:hAnsi="仿宋_GB2312" w:cs="仿宋_GB2312"/>
          <w:bCs/>
          <w:color w:val="000000"/>
          <w:kern w:val="0"/>
          <w:sz w:val="32"/>
          <w:szCs w:val="32"/>
          <w:lang w:bidi="ar"/>
        </w:rPr>
      </w:pPr>
      <w:r>
        <w:rPr>
          <w:rFonts w:hint="eastAsia" w:hAnsi="仿宋_GB2312" w:cs="仿宋_GB2312"/>
          <w:bCs/>
          <w:color w:val="000000"/>
          <w:kern w:val="0"/>
          <w:sz w:val="32"/>
          <w:szCs w:val="32"/>
          <w:lang w:bidi="ar"/>
        </w:rPr>
        <w:t>（五）探索建立学习成果认定转换制度</w:t>
      </w:r>
    </w:p>
    <w:p>
      <w:pPr>
        <w:pageBreakBefore w:val="0"/>
        <w:kinsoku/>
        <w:wordWrap/>
        <w:overflowPunct/>
        <w:topLinePunct w:val="0"/>
        <w:bidi w:val="0"/>
        <w:snapToGrid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1.</w:t>
      </w:r>
      <w:r>
        <w:rPr>
          <w:rFonts w:hint="eastAsia" w:ascii="仿宋_GB2312" w:hAnsi="仿宋_GB2312" w:eastAsia="仿宋_GB2312" w:cs="仿宋_GB2312"/>
          <w:color w:val="000000"/>
          <w:kern w:val="0"/>
          <w:sz w:val="32"/>
          <w:szCs w:val="32"/>
          <w:lang w:bidi="ar"/>
        </w:rPr>
        <w:t>开展职业教育国家学分银行学习成果存储工作</w:t>
      </w:r>
    </w:p>
    <w:p>
      <w:pPr>
        <w:pageBreakBefore w:val="0"/>
        <w:kinsoku/>
        <w:wordWrap/>
        <w:overflowPunct/>
        <w:topLinePunct w:val="0"/>
        <w:bidi w:val="0"/>
        <w:snapToGrid w:val="0"/>
        <w:spacing w:line="596" w:lineRule="exact"/>
        <w:ind w:firstLine="640" w:firstLineChars="20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建立参与培训学生个人学习账户。对学历证书和职业技能等级证书所体现的学习成果进行登记和存储，计入个人学习账号。</w:t>
      </w:r>
    </w:p>
    <w:p>
      <w:pPr>
        <w:pStyle w:val="26"/>
        <w:pageBreakBefore w:val="0"/>
        <w:kinsoku/>
        <w:wordWrap/>
        <w:overflowPunct/>
        <w:topLinePunct w:val="0"/>
        <w:bidi w:val="0"/>
        <w:spacing w:line="596" w:lineRule="exact"/>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2.</w:t>
      </w:r>
      <w:r>
        <w:rPr>
          <w:rFonts w:hint="eastAsia" w:hAnsi="仿宋_GB2312" w:cs="仿宋_GB2312"/>
          <w:b w:val="0"/>
          <w:color w:val="000000"/>
          <w:kern w:val="0"/>
          <w:sz w:val="32"/>
          <w:szCs w:val="32"/>
          <w:lang w:bidi="ar"/>
        </w:rPr>
        <w:t>学习成果认定转换</w:t>
      </w:r>
    </w:p>
    <w:p>
      <w:pPr>
        <w:pStyle w:val="26"/>
        <w:pageBreakBefore w:val="0"/>
        <w:kinsoku/>
        <w:wordWrap/>
        <w:overflowPunct/>
        <w:topLinePunct w:val="0"/>
        <w:bidi w:val="0"/>
        <w:spacing w:line="596" w:lineRule="exact"/>
        <w:ind w:firstLine="640"/>
        <w:outlineLvl w:val="9"/>
        <w:rPr>
          <w:rFonts w:hAnsi="仿宋_GB2312" w:cs="仿宋_GB2312"/>
          <w:b w:val="0"/>
          <w:color w:val="000000"/>
          <w:kern w:val="0"/>
          <w:sz w:val="32"/>
          <w:szCs w:val="32"/>
          <w:lang w:bidi="ar"/>
        </w:rPr>
      </w:pPr>
      <w:r>
        <w:rPr>
          <w:rFonts w:hint="eastAsia" w:hAnsi="仿宋_GB2312" w:cs="仿宋_GB2312"/>
          <w:b w:val="0"/>
          <w:color w:val="000000"/>
          <w:kern w:val="0"/>
          <w:sz w:val="32"/>
          <w:szCs w:val="32"/>
          <w:lang w:bidi="ar"/>
        </w:rPr>
        <w:t>各试点专业尝试建立学习成果的认定、积累与转换。学生和社会成员在按规定程序在试点专业接受相关专业学历教育时，可按规定兑换学分，免修相应课程或模块，促进学历证书与职业技能等级证书互通。</w:t>
      </w:r>
    </w:p>
    <w:p>
      <w:pPr>
        <w:pStyle w:val="26"/>
        <w:pageBreakBefore w:val="0"/>
        <w:numPr>
          <w:ilvl w:val="0"/>
          <w:numId w:val="12"/>
        </w:numPr>
        <w:kinsoku/>
        <w:wordWrap/>
        <w:overflowPunct/>
        <w:topLinePunct w:val="0"/>
        <w:bidi w:val="0"/>
        <w:spacing w:line="596" w:lineRule="exact"/>
        <w:ind w:firstLine="643"/>
        <w:outlineLvl w:val="9"/>
        <w:rPr>
          <w:rFonts w:hAnsi="仿宋_GB2312" w:cs="仿宋_GB2312"/>
          <w:bCs/>
          <w:color w:val="000000"/>
          <w:kern w:val="0"/>
          <w:sz w:val="32"/>
          <w:szCs w:val="32"/>
          <w:lang w:bidi="ar"/>
        </w:rPr>
      </w:pPr>
      <w:r>
        <w:rPr>
          <w:rFonts w:hint="eastAsia" w:hAnsi="仿宋_GB2312" w:cs="仿宋_GB2312"/>
          <w:bCs/>
          <w:color w:val="000000"/>
          <w:kern w:val="0"/>
          <w:sz w:val="32"/>
          <w:szCs w:val="32"/>
          <w:lang w:bidi="ar"/>
        </w:rPr>
        <w:t>积极开展高质量职业培训</w:t>
      </w:r>
    </w:p>
    <w:p>
      <w:pPr>
        <w:pStyle w:val="26"/>
        <w:pageBreakBefore w:val="0"/>
        <w:kinsoku/>
        <w:wordWrap/>
        <w:overflowPunct/>
        <w:topLinePunct w:val="0"/>
        <w:bidi w:val="0"/>
        <w:spacing w:line="596" w:lineRule="exact"/>
        <w:ind w:firstLine="640"/>
        <w:outlineLvl w:val="9"/>
        <w:rPr>
          <w:rFonts w:hAnsi="仿宋_GB2312" w:cs="仿宋_GB2312"/>
          <w:b w:val="0"/>
          <w:color w:val="000000"/>
          <w:kern w:val="0"/>
          <w:sz w:val="32"/>
          <w:szCs w:val="32"/>
          <w:lang w:bidi="ar"/>
        </w:rPr>
      </w:pPr>
      <w:r>
        <w:rPr>
          <w:rFonts w:hAnsi="仿宋_GB2312" w:cs="仿宋_GB2312"/>
          <w:b w:val="0"/>
          <w:color w:val="000000"/>
          <w:kern w:val="0"/>
          <w:sz w:val="32"/>
          <w:szCs w:val="32"/>
          <w:lang w:bidi="ar"/>
        </w:rPr>
        <w:t xml:space="preserve"> </w:t>
      </w:r>
      <w:r>
        <w:rPr>
          <w:rFonts w:hint="eastAsia" w:hAnsi="仿宋_GB2312" w:cs="仿宋_GB2312"/>
          <w:b w:val="0"/>
          <w:color w:val="000000"/>
          <w:kern w:val="0"/>
          <w:sz w:val="32"/>
          <w:szCs w:val="32"/>
          <w:lang w:bidi="ar"/>
        </w:rPr>
        <w:t>统筹安排校内外各类职业技能等级证书培训及考核，一是根据社会、市场和学生职业技能等级考证需要，对专业课程未涵盖的内容或需要特别强化的实训，组织开展专门培训。二是在面向本校学生开展培训的同时，积极为社会成员提供培训服务。定期发布职业技能等级证书培训公告，组织社会成员培训报考。培训内容要反映典型岗位（群）所需的职业素养、专业知识和职业技能，体现社会、市场、企业和学生个人发展需求。培训内容的考核方式要灵活多样，强化对完成典型工作任务能力的考核。</w:t>
      </w:r>
    </w:p>
    <w:p>
      <w:pPr>
        <w:pageBreakBefore w:val="0"/>
        <w:kinsoku/>
        <w:wordWrap/>
        <w:overflowPunct/>
        <w:topLinePunct w:val="0"/>
        <w:bidi w:val="0"/>
        <w:snapToGrid w:val="0"/>
        <w:spacing w:line="596" w:lineRule="exact"/>
        <w:ind w:firstLine="643" w:firstLineChars="200"/>
        <w:jc w:val="left"/>
        <w:outlineLvl w:val="9"/>
        <w:rPr>
          <w:rFonts w:ascii="黑体" w:hAnsi="黑体" w:eastAsia="黑体" w:cs="黑体"/>
          <w:b/>
          <w:bCs/>
          <w:color w:val="000000"/>
          <w:kern w:val="0"/>
          <w:sz w:val="32"/>
          <w:szCs w:val="32"/>
          <w:lang w:bidi="ar"/>
        </w:rPr>
        <w:sectPr>
          <w:footerReference r:id="rId42" w:type="default"/>
          <w:pgSz w:w="11906" w:h="16838"/>
          <w:pgMar w:top="2098" w:right="1474" w:bottom="1984" w:left="1587" w:header="851" w:footer="850" w:gutter="0"/>
          <w:pgNumType w:fmt="decimal"/>
          <w:cols w:space="720" w:num="1"/>
          <w:docGrid w:type="lines" w:linePitch="324" w:charSpace="0"/>
        </w:sectPr>
      </w:pPr>
    </w:p>
    <w:p>
      <w:pPr>
        <w:pageBreakBefore w:val="0"/>
        <w:kinsoku/>
        <w:wordWrap/>
        <w:overflowPunct/>
        <w:topLinePunct w:val="0"/>
        <w:bidi w:val="0"/>
        <w:snapToGrid w:val="0"/>
        <w:spacing w:line="596" w:lineRule="exact"/>
        <w:ind w:firstLine="643" w:firstLineChars="200"/>
        <w:jc w:val="left"/>
        <w:outlineLvl w:val="9"/>
        <w:rPr>
          <w:rFonts w:ascii="黑体" w:hAnsi="黑体" w:eastAsia="黑体" w:cs="黑体"/>
          <w:b/>
          <w:bCs/>
          <w:color w:val="000000"/>
          <w:kern w:val="0"/>
          <w:sz w:val="32"/>
          <w:szCs w:val="32"/>
          <w:lang w:bidi="ar"/>
        </w:rPr>
      </w:pPr>
      <w:r>
        <w:rPr>
          <w:rFonts w:hint="eastAsia" w:ascii="黑体" w:hAnsi="黑体" w:eastAsia="黑体" w:cs="黑体"/>
          <w:b/>
          <w:bCs/>
          <w:color w:val="000000"/>
          <w:kern w:val="0"/>
          <w:sz w:val="32"/>
          <w:szCs w:val="32"/>
          <w:lang w:bidi="ar"/>
        </w:rPr>
        <w:t>三、保障措施</w:t>
      </w:r>
    </w:p>
    <w:p>
      <w:pPr>
        <w:pageBreakBefore w:val="0"/>
        <w:kinsoku/>
        <w:wordWrap/>
        <w:overflowPunct/>
        <w:topLinePunct w:val="0"/>
        <w:bidi w:val="0"/>
        <w:snapToGrid w:val="0"/>
        <w:spacing w:line="596" w:lineRule="exact"/>
        <w:ind w:firstLine="64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（一）组织保障</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int="eastAsia" w:hAnsi="仿宋_GB2312" w:cs="仿宋_GB2312"/>
          <w:b w:val="0"/>
          <w:color w:val="000000"/>
          <w:kern w:val="0"/>
          <w:sz w:val="32"/>
          <w:szCs w:val="32"/>
          <w:lang w:bidi="ar"/>
        </w:rPr>
        <w:t>成立学校</w:t>
      </w:r>
      <w:r>
        <w:rPr>
          <w:rFonts w:hAnsi="仿宋_GB2312" w:cs="仿宋_GB2312"/>
          <w:b w:val="0"/>
          <w:color w:val="000000"/>
          <w:kern w:val="0"/>
          <w:sz w:val="32"/>
          <w:szCs w:val="32"/>
          <w:lang w:bidi="ar"/>
        </w:rPr>
        <w:t xml:space="preserve">1+X </w:t>
      </w:r>
      <w:r>
        <w:rPr>
          <w:rFonts w:hint="eastAsia" w:hAnsi="仿宋_GB2312" w:cs="仿宋_GB2312"/>
          <w:b w:val="0"/>
          <w:color w:val="000000"/>
          <w:kern w:val="0"/>
          <w:sz w:val="32"/>
          <w:szCs w:val="32"/>
          <w:lang w:bidi="ar"/>
        </w:rPr>
        <w:t>证书制度试点工作领导小组及二级学院</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证书制度试点工作专项工作组，统筹领导、协调资源、全面推进学校职业技能等级证书制度试点工作。</w:t>
      </w:r>
    </w:p>
    <w:p>
      <w:pPr>
        <w:pageBreakBefore w:val="0"/>
        <w:kinsoku/>
        <w:wordWrap/>
        <w:overflowPunct/>
        <w:topLinePunct w:val="0"/>
        <w:bidi w:val="0"/>
        <w:snapToGrid w:val="0"/>
        <w:spacing w:line="596" w:lineRule="exact"/>
        <w:ind w:firstLine="64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（二）制度保障</w:t>
      </w:r>
    </w:p>
    <w:p>
      <w:pPr>
        <w:pStyle w:val="26"/>
        <w:pageBreakBefore w:val="0"/>
        <w:kinsoku/>
        <w:wordWrap/>
        <w:overflowPunct/>
        <w:topLinePunct w:val="0"/>
        <w:bidi w:val="0"/>
        <w:ind w:firstLine="640"/>
        <w:outlineLvl w:val="9"/>
        <w:rPr>
          <w:rFonts w:hAnsi="仿宋_GB2312" w:cs="仿宋_GB2312"/>
          <w:b w:val="0"/>
          <w:color w:val="000000"/>
          <w:kern w:val="0"/>
          <w:sz w:val="32"/>
          <w:szCs w:val="32"/>
          <w:lang w:bidi="ar"/>
        </w:rPr>
      </w:pPr>
      <w:r>
        <w:rPr>
          <w:rFonts w:hint="eastAsia" w:hAnsi="仿宋_GB2312" w:cs="仿宋_GB2312"/>
          <w:b w:val="0"/>
          <w:color w:val="000000"/>
          <w:kern w:val="0"/>
          <w:sz w:val="32"/>
          <w:szCs w:val="32"/>
          <w:lang w:bidi="ar"/>
        </w:rPr>
        <w:t>制定并完善相关制度，将</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证书试点相关工作任务纳入学校教学工作考核项目，将</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证书改革成效作为部门绩效考核、领导班子绩效考核、教师个人绩效考核的重要指标。</w:t>
      </w:r>
    </w:p>
    <w:p>
      <w:pPr>
        <w:pageBreakBefore w:val="0"/>
        <w:kinsoku/>
        <w:wordWrap/>
        <w:overflowPunct/>
        <w:topLinePunct w:val="0"/>
        <w:bidi w:val="0"/>
        <w:snapToGrid w:val="0"/>
        <w:spacing w:line="596" w:lineRule="exact"/>
        <w:ind w:firstLine="64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（三）场地保障</w:t>
      </w:r>
    </w:p>
    <w:p>
      <w:pPr>
        <w:pageBreakBefore w:val="0"/>
        <w:kinsoku/>
        <w:wordWrap/>
        <w:overflowPunct/>
        <w:topLinePunct w:val="0"/>
        <w:bidi w:val="0"/>
        <w:snapToGrid w:val="0"/>
        <w:spacing w:line="596" w:lineRule="exact"/>
        <w:ind w:firstLine="640"/>
        <w:jc w:val="left"/>
        <w:outlineLvl w:val="9"/>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充分利用校内综合性实训基地，多途径扩大校外生产性实践基地，统筹现有资源和项目、新增资源和项目，建设符合考核站点要求的综合性“教</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训</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培</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考”一体化基地。</w:t>
      </w:r>
    </w:p>
    <w:p>
      <w:pPr>
        <w:pageBreakBefore w:val="0"/>
        <w:kinsoku/>
        <w:wordWrap/>
        <w:overflowPunct/>
        <w:topLinePunct w:val="0"/>
        <w:bidi w:val="0"/>
        <w:snapToGrid w:val="0"/>
        <w:spacing w:line="596" w:lineRule="exact"/>
        <w:ind w:firstLine="640"/>
        <w:jc w:val="left"/>
        <w:outlineLvl w:val="9"/>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（四）经费保障</w:t>
      </w:r>
    </w:p>
    <w:p>
      <w:pPr>
        <w:pStyle w:val="26"/>
        <w:pageBreakBefore w:val="0"/>
        <w:kinsoku/>
        <w:wordWrap/>
        <w:overflowPunct/>
        <w:topLinePunct w:val="0"/>
        <w:bidi w:val="0"/>
        <w:ind w:firstLine="640"/>
        <w:outlineLvl w:val="9"/>
        <w:rPr>
          <w:rFonts w:hint="eastAsia" w:hAnsi="仿宋_GB2312" w:cs="仿宋_GB2312"/>
          <w:b w:val="0"/>
          <w:color w:val="000000"/>
          <w:kern w:val="0"/>
          <w:sz w:val="32"/>
          <w:szCs w:val="32"/>
          <w:lang w:bidi="ar"/>
        </w:rPr>
      </w:pPr>
      <w:r>
        <w:rPr>
          <w:rFonts w:hint="eastAsia" w:hAnsi="仿宋_GB2312" w:cs="仿宋_GB2312"/>
          <w:b w:val="0"/>
          <w:color w:val="000000"/>
          <w:kern w:val="0"/>
          <w:sz w:val="32"/>
          <w:szCs w:val="32"/>
          <w:lang w:bidi="ar"/>
        </w:rPr>
        <w:t>学校将</w:t>
      </w:r>
      <w:r>
        <w:rPr>
          <w:rFonts w:hAnsi="仿宋_GB2312" w:cs="仿宋_GB2312"/>
          <w:b w:val="0"/>
          <w:color w:val="000000"/>
          <w:kern w:val="0"/>
          <w:sz w:val="32"/>
          <w:szCs w:val="32"/>
          <w:lang w:bidi="ar"/>
        </w:rPr>
        <w:t>1+X</w:t>
      </w:r>
      <w:r>
        <w:rPr>
          <w:rFonts w:hint="eastAsia" w:hAnsi="仿宋_GB2312" w:cs="仿宋_GB2312"/>
          <w:b w:val="0"/>
          <w:color w:val="000000"/>
          <w:kern w:val="0"/>
          <w:sz w:val="32"/>
          <w:szCs w:val="32"/>
          <w:lang w:bidi="ar"/>
        </w:rPr>
        <w:t>证书制度试点工作纳入学校经费预算，对此项工作给予专项经费支持。学校将针对不同专业自身软硬件条件的差异，结合试点专业提供的建设方案、教学建设项目和经费预算，组织专家对教学建设项目和经费预算进行论证，给予专业以适当的建设经费。</w:t>
      </w:r>
    </w:p>
    <w:p>
      <w:pPr>
        <w:pStyle w:val="26"/>
        <w:pageBreakBefore w:val="0"/>
        <w:kinsoku/>
        <w:wordWrap/>
        <w:overflowPunct/>
        <w:topLinePunct w:val="0"/>
        <w:bidi w:val="0"/>
        <w:ind w:firstLine="640"/>
        <w:outlineLvl w:val="9"/>
        <w:rPr>
          <w:rFonts w:hint="eastAsia" w:hAnsi="仿宋_GB2312" w:cs="仿宋_GB2312"/>
          <w:b w:val="0"/>
          <w:color w:val="000000"/>
          <w:kern w:val="0"/>
          <w:sz w:val="32"/>
          <w:szCs w:val="32"/>
          <w:lang w:bidi="ar"/>
        </w:rPr>
      </w:pPr>
    </w:p>
    <w:p>
      <w:pPr>
        <w:pStyle w:val="26"/>
        <w:pageBreakBefore w:val="0"/>
        <w:kinsoku/>
        <w:wordWrap/>
        <w:overflowPunct/>
        <w:topLinePunct w:val="0"/>
        <w:bidi w:val="0"/>
        <w:ind w:left="0" w:leftChars="0" w:firstLine="0" w:firstLineChars="0"/>
        <w:outlineLvl w:val="9"/>
        <w:rPr>
          <w:rFonts w:hAnsi="仿宋_GB2312" w:cs="仿宋_GB2312"/>
          <w:b w:val="0"/>
          <w:color w:val="000000"/>
          <w:kern w:val="0"/>
          <w:sz w:val="32"/>
          <w:szCs w:val="32"/>
          <w:lang w:bidi="ar"/>
        </w:rPr>
      </w:pPr>
    </w:p>
    <w:p>
      <w:pPr>
        <w:pageBreakBefore w:val="0"/>
        <w:kinsoku/>
        <w:wordWrap/>
        <w:overflowPunct/>
        <w:topLinePunct w:val="0"/>
        <w:bidi w:val="0"/>
        <w:spacing w:line="590" w:lineRule="exact"/>
        <w:outlineLvl w:val="9"/>
        <w:rPr>
          <w:rFonts w:ascii="仿宋_GB2312" w:eastAsia="仿宋_GB2312"/>
          <w:szCs w:val="28"/>
        </w:rPr>
      </w:pPr>
      <w:r>
        <w:rPr>
          <w:rFonts w:ascii="仿宋_GB2312" w:eastAsia="仿宋_GB2312"/>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line="596" w:lineRule="exact"/>
        <w:ind w:firstLine="723" w:firstLineChars="200"/>
        <w:jc w:val="center"/>
        <w:textAlignment w:val="auto"/>
        <w:outlineLvl w:val="0"/>
        <w:rPr>
          <w:rFonts w:hint="eastAsia" w:asciiTheme="minorEastAsia" w:hAnsiTheme="minorEastAsia" w:eastAsiaTheme="minorEastAsia" w:cstheme="minorEastAsia"/>
          <w:b/>
          <w:color w:val="000000"/>
          <w:kern w:val="0"/>
          <w:sz w:val="36"/>
          <w:szCs w:val="36"/>
        </w:rPr>
      </w:pPr>
      <w:bookmarkStart w:id="490" w:name="_Toc14648"/>
      <w:bookmarkStart w:id="491" w:name="_Toc18200"/>
      <w:bookmarkStart w:id="492" w:name="_Toc10148"/>
      <w:bookmarkStart w:id="493" w:name="_GoBack"/>
      <w:bookmarkEnd w:id="493"/>
      <w:r>
        <w:rPr>
          <w:rFonts w:hint="eastAsia" w:asciiTheme="minorEastAsia" w:hAnsiTheme="minorEastAsia" w:eastAsiaTheme="minorEastAsia" w:cstheme="minorEastAsia"/>
          <w:b/>
          <w:color w:val="000000"/>
          <w:kern w:val="0"/>
          <w:sz w:val="36"/>
          <w:szCs w:val="36"/>
        </w:rPr>
        <w:t>柳州职业技术学院1+X证书试点工作经费管理办法</w:t>
      </w:r>
      <w:bookmarkEnd w:id="490"/>
      <w:bookmarkEnd w:id="491"/>
      <w:bookmarkEnd w:id="492"/>
    </w:p>
    <w:p>
      <w:pPr>
        <w:pageBreakBefore w:val="0"/>
        <w:kinsoku/>
        <w:wordWrap/>
        <w:overflowPunct/>
        <w:topLinePunct w:val="0"/>
        <w:bidi w:val="0"/>
        <w:jc w:val="center"/>
        <w:outlineLvl w:val="9"/>
        <w:rPr>
          <w:rFonts w:ascii="仿宋_GB2312" w:eastAsia="仿宋_GB2312"/>
          <w:szCs w:val="28"/>
        </w:rPr>
      </w:pPr>
      <w:r>
        <w:rPr>
          <w:rFonts w:hint="eastAsia" w:ascii="仿宋_GB2312" w:eastAsia="仿宋_GB2312"/>
          <w:szCs w:val="28"/>
        </w:rPr>
        <w:t>柳职院教字〔</w:t>
      </w:r>
      <w:r>
        <w:rPr>
          <w:rFonts w:ascii="仿宋_GB2312" w:eastAsia="仿宋_GB2312"/>
          <w:szCs w:val="28"/>
        </w:rPr>
        <w:t>2020</w:t>
      </w:r>
      <w:r>
        <w:rPr>
          <w:rFonts w:hint="eastAsia" w:ascii="仿宋_GB2312" w:eastAsia="仿宋_GB2312"/>
          <w:szCs w:val="28"/>
        </w:rPr>
        <w:t>〕</w:t>
      </w:r>
      <w:r>
        <w:rPr>
          <w:rFonts w:ascii="仿宋_GB2312" w:eastAsia="仿宋_GB2312"/>
          <w:szCs w:val="28"/>
        </w:rPr>
        <w:t>35</w:t>
      </w:r>
      <w:r>
        <w:rPr>
          <w:rFonts w:hint="eastAsia" w:ascii="仿宋_GB2312" w:eastAsia="仿宋_GB2312"/>
          <w:szCs w:val="28"/>
        </w:rPr>
        <w:t>号</w:t>
      </w:r>
    </w:p>
    <w:p>
      <w:pPr>
        <w:pageBreakBefore w:val="0"/>
        <w:kinsoku/>
        <w:wordWrap/>
        <w:overflowPunct/>
        <w:topLinePunct w:val="0"/>
        <w:bidi w:val="0"/>
        <w:spacing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第一章</w:t>
      </w: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总则</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第一条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根据《关于推进</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证书制度试点工作的指导意见》（教职成厅函〔</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号）和《教育部办公厅等四部门关于进一步做好在院校实施</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证书制度试点有关经费使用管理工作的通知》（教财厅函〔</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号）文件精神，为了进一步促进学校</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证书试点各项经费的规范、有效，充分调动广大教师参与</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证书试点工作的积极性，特制定本办法。</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证书试点经费主要开支包括三大类，第一类经费是</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证书试点考核站点建设费用；第二类经费是</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证书试点考试组织工作量（含牵头证书单位的组织工作量）；第三类经费是教师开展培训的工作量。</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第三条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证书中央奖补资金做到专款专用，用于学校</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试点工作的经费支出，如师资培训、设备采购、证书考核等。</w:t>
      </w:r>
    </w:p>
    <w:p>
      <w:pPr>
        <w:pageBreakBefore w:val="0"/>
        <w:numPr>
          <w:ilvl w:val="0"/>
          <w:numId w:val="13"/>
        </w:numPr>
        <w:kinsoku/>
        <w:wordWrap/>
        <w:overflowPunct/>
        <w:topLinePunct w:val="0"/>
        <w:bidi w:val="0"/>
        <w:spacing w:before="120" w:beforeLines="50" w:line="596" w:lineRule="exact"/>
        <w:jc w:val="center"/>
        <w:outlineLvl w:val="9"/>
        <w:rPr>
          <w:rFonts w:ascii="仿宋_GB2312" w:hAnsi="仿宋_GB2312" w:eastAsia="仿宋_GB2312" w:cs="仿宋_GB2312"/>
          <w:b/>
          <w:bCs/>
          <w:sz w:val="32"/>
          <w:szCs w:val="32"/>
        </w:rPr>
      </w:pPr>
      <w:r>
        <w:rPr>
          <w:rFonts w:ascii="仿宋_GB2312" w:hAnsi="仿宋_GB2312" w:eastAsia="仿宋_GB2312" w:cs="仿宋_GB2312"/>
          <w:b/>
          <w:bCs/>
          <w:sz w:val="32"/>
          <w:szCs w:val="32"/>
        </w:rPr>
        <w:t>1+X</w:t>
      </w:r>
      <w:r>
        <w:rPr>
          <w:rFonts w:hint="eastAsia" w:ascii="仿宋_GB2312" w:hAnsi="仿宋_GB2312" w:eastAsia="仿宋_GB2312" w:cs="仿宋_GB2312"/>
          <w:b/>
          <w:bCs/>
          <w:sz w:val="32"/>
          <w:szCs w:val="32"/>
        </w:rPr>
        <w:t>证书试点考核站点建设费用的管理</w:t>
      </w:r>
    </w:p>
    <w:p>
      <w:pPr>
        <w:pageBreakBefore w:val="0"/>
        <w:kinsoku/>
        <w:wordWrap/>
        <w:overflowPunct/>
        <w:topLinePunct w:val="0"/>
        <w:bidi w:val="0"/>
        <w:spacing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（第一类经费）</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第四条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证书试点考核站点建设费用（第一类经费），主要包括考核站点设备购置、环境布置等费用，纳入学校年度预算，从学校</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专项建设经费中支出。</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第五条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证书试点考核站点建设费用，由</w:t>
      </w:r>
      <w:r>
        <w:rPr>
          <w:rFonts w:ascii="仿宋_GB2312" w:hAnsi="仿宋_GB2312" w:eastAsia="仿宋_GB2312" w:cs="仿宋_GB2312"/>
          <w:sz w:val="32"/>
          <w:szCs w:val="32"/>
        </w:rPr>
        <w:t>X</w:t>
      </w:r>
      <w:r>
        <w:rPr>
          <w:rFonts w:hint="eastAsia" w:ascii="仿宋_GB2312" w:hAnsi="仿宋_GB2312" w:eastAsia="仿宋_GB2312" w:cs="仿宋_GB2312"/>
          <w:sz w:val="32"/>
          <w:szCs w:val="32"/>
        </w:rPr>
        <w:t>证书试点实施部门根据</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证书试点的需要，提出考核站点建设方案及预算，经过学校</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考核站点建设项目论证、校长办公会审议后方能按照招标采购规定进行设备采购及相关建设。</w:t>
      </w:r>
    </w:p>
    <w:p>
      <w:pPr>
        <w:pageBreakBefore w:val="0"/>
        <w:numPr>
          <w:ilvl w:val="0"/>
          <w:numId w:val="13"/>
        </w:numPr>
        <w:kinsoku/>
        <w:wordWrap/>
        <w:overflowPunct/>
        <w:topLinePunct w:val="0"/>
        <w:bidi w:val="0"/>
        <w:spacing w:before="120" w:beforeLines="50" w:line="596" w:lineRule="exact"/>
        <w:jc w:val="center"/>
        <w:outlineLvl w:val="9"/>
        <w:rPr>
          <w:rFonts w:ascii="仿宋_GB2312" w:hAnsi="仿宋_GB2312" w:eastAsia="仿宋_GB2312" w:cs="仿宋_GB2312"/>
          <w:b/>
          <w:bCs/>
          <w:sz w:val="32"/>
          <w:szCs w:val="32"/>
        </w:rPr>
      </w:pPr>
      <w:r>
        <w:rPr>
          <w:rFonts w:ascii="仿宋_GB2312" w:hAnsi="仿宋_GB2312" w:eastAsia="仿宋_GB2312" w:cs="仿宋_GB2312"/>
          <w:b/>
          <w:bCs/>
          <w:sz w:val="32"/>
          <w:szCs w:val="32"/>
        </w:rPr>
        <w:t>1+X</w:t>
      </w:r>
      <w:r>
        <w:rPr>
          <w:rFonts w:hint="eastAsia" w:ascii="仿宋_GB2312" w:hAnsi="仿宋_GB2312" w:eastAsia="仿宋_GB2312" w:cs="仿宋_GB2312"/>
          <w:b/>
          <w:bCs/>
          <w:sz w:val="32"/>
          <w:szCs w:val="32"/>
        </w:rPr>
        <w:t>证书试点考试组织工作量</w:t>
      </w:r>
    </w:p>
    <w:p>
      <w:pPr>
        <w:pageBreakBefore w:val="0"/>
        <w:kinsoku/>
        <w:wordWrap/>
        <w:overflowPunct/>
        <w:topLinePunct w:val="0"/>
        <w:bidi w:val="0"/>
        <w:spacing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（第二类经费）</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第六条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证书试点考试组织工作量，指组织学生考试报名及系统平台信息录入核对，考试场地、设备、耗材、考试资料等相关考务工作组织所产生的工作量。</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第七条</w:t>
      </w:r>
      <w:r>
        <w:rPr>
          <w:rFonts w:ascii="仿宋_GB2312" w:hAnsi="仿宋_GB2312" w:eastAsia="仿宋_GB2312" w:cs="仿宋_GB2312"/>
          <w:sz w:val="32"/>
          <w:szCs w:val="32"/>
        </w:rPr>
        <w:t xml:space="preserve"> 1+X</w:t>
      </w:r>
      <w:r>
        <w:rPr>
          <w:rFonts w:hint="eastAsia" w:ascii="仿宋_GB2312" w:hAnsi="仿宋_GB2312" w:eastAsia="仿宋_GB2312" w:cs="仿宋_GB2312"/>
          <w:sz w:val="32"/>
          <w:szCs w:val="32"/>
        </w:rPr>
        <w:t>证书试点考试组织工作量实行项目包干制。每个证书考试组织工作量</w:t>
      </w:r>
      <w:r>
        <w:rPr>
          <w:rFonts w:ascii="仿宋_GB2312" w:hAnsi="仿宋_GB2312" w:eastAsia="仿宋_GB2312" w:cs="仿宋_GB2312"/>
          <w:sz w:val="32"/>
          <w:szCs w:val="32"/>
        </w:rPr>
        <w:t>1500</w:t>
      </w:r>
      <w:r>
        <w:rPr>
          <w:rFonts w:hint="eastAsia" w:ascii="仿宋_GB2312" w:hAnsi="仿宋_GB2312" w:eastAsia="仿宋_GB2312" w:cs="仿宋_GB2312"/>
          <w:sz w:val="32"/>
          <w:szCs w:val="32"/>
        </w:rPr>
        <w:t>元，从学校奖励性绩效经费支出，参照学校《柳州职业技术学院社会服务项目劳务费管理办法（试行）》执行。若评价组织机构拨付有考试组织工作量，则按照签订的协议进行考试工作量的支出，学校不再支付该证书的考试组织工作量。</w:t>
      </w:r>
    </w:p>
    <w:p>
      <w:pPr>
        <w:pageBreakBefore w:val="0"/>
        <w:numPr>
          <w:ilvl w:val="0"/>
          <w:numId w:val="13"/>
        </w:numPr>
        <w:kinsoku/>
        <w:wordWrap/>
        <w:overflowPunct/>
        <w:topLinePunct w:val="0"/>
        <w:bidi w:val="0"/>
        <w:spacing w:before="120" w:beforeLines="50"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教师开展培训的工作量</w:t>
      </w:r>
    </w:p>
    <w:p>
      <w:pPr>
        <w:pageBreakBefore w:val="0"/>
        <w:kinsoku/>
        <w:wordWrap/>
        <w:overflowPunct/>
        <w:topLinePunct w:val="0"/>
        <w:bidi w:val="0"/>
        <w:spacing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（第三类经费）</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第八条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教师开展培训的工作量包括针对校内学生开展的</w:t>
      </w:r>
      <w:r>
        <w:rPr>
          <w:rFonts w:ascii="仿宋_GB2312" w:hAnsi="仿宋_GB2312" w:eastAsia="仿宋_GB2312" w:cs="仿宋_GB2312"/>
          <w:sz w:val="32"/>
          <w:szCs w:val="32"/>
        </w:rPr>
        <w:t>X</w:t>
      </w:r>
      <w:r>
        <w:rPr>
          <w:rFonts w:hint="eastAsia" w:ascii="仿宋_GB2312" w:hAnsi="仿宋_GB2312" w:eastAsia="仿宋_GB2312" w:cs="仿宋_GB2312"/>
          <w:sz w:val="32"/>
          <w:szCs w:val="32"/>
        </w:rPr>
        <w:t>证书培训及针对校外人员开展的</w:t>
      </w:r>
      <w:r>
        <w:rPr>
          <w:rFonts w:ascii="仿宋_GB2312" w:hAnsi="仿宋_GB2312" w:eastAsia="仿宋_GB2312" w:cs="仿宋_GB2312"/>
          <w:sz w:val="32"/>
          <w:szCs w:val="32"/>
        </w:rPr>
        <w:t>X</w:t>
      </w:r>
      <w:r>
        <w:rPr>
          <w:rFonts w:hint="eastAsia" w:ascii="仿宋_GB2312" w:hAnsi="仿宋_GB2312" w:eastAsia="仿宋_GB2312" w:cs="仿宋_GB2312"/>
          <w:sz w:val="32"/>
          <w:szCs w:val="32"/>
        </w:rPr>
        <w:t>证书培训。</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第九条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针对校内学生开展的</w:t>
      </w:r>
      <w:r>
        <w:rPr>
          <w:rFonts w:ascii="仿宋_GB2312" w:hAnsi="仿宋_GB2312" w:eastAsia="仿宋_GB2312" w:cs="仿宋_GB2312"/>
          <w:sz w:val="32"/>
          <w:szCs w:val="32"/>
        </w:rPr>
        <w:t>X</w:t>
      </w:r>
      <w:r>
        <w:rPr>
          <w:rFonts w:hint="eastAsia" w:ascii="仿宋_GB2312" w:hAnsi="仿宋_GB2312" w:eastAsia="仿宋_GB2312" w:cs="仿宋_GB2312"/>
          <w:sz w:val="32"/>
          <w:szCs w:val="32"/>
        </w:rPr>
        <w:t>证书培训，以选修课的方式开设，教师的工作量按照学校课酬标准执行，工作量计入年度教学工作量。</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针对校外人员开展的</w:t>
      </w:r>
      <w:r>
        <w:rPr>
          <w:rFonts w:ascii="仿宋_GB2312" w:hAnsi="仿宋_GB2312" w:eastAsia="仿宋_GB2312" w:cs="仿宋_GB2312"/>
          <w:sz w:val="32"/>
          <w:szCs w:val="32"/>
        </w:rPr>
        <w:t>X</w:t>
      </w:r>
      <w:r>
        <w:rPr>
          <w:rFonts w:hint="eastAsia" w:ascii="仿宋_GB2312" w:hAnsi="仿宋_GB2312" w:eastAsia="仿宋_GB2312" w:cs="仿宋_GB2312"/>
          <w:sz w:val="32"/>
          <w:szCs w:val="32"/>
        </w:rPr>
        <w:t>证书培训，教师工作量参照学校《柳州职业技术学院社会服务项目劳务费管理办法（试行）》执行。</w:t>
      </w:r>
    </w:p>
    <w:p>
      <w:pPr>
        <w:pageBreakBefore w:val="0"/>
        <w:numPr>
          <w:ilvl w:val="0"/>
          <w:numId w:val="13"/>
        </w:numPr>
        <w:kinsoku/>
        <w:wordWrap/>
        <w:overflowPunct/>
        <w:topLinePunct w:val="0"/>
        <w:bidi w:val="0"/>
        <w:spacing w:before="120" w:beforeLines="50"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绩效考核与奖励</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第十一条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证书试点的开展工作纳入学校重点教学工作，纳入二级学院教学工作考核。</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第十二条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教师开展</w:t>
      </w:r>
      <w:r>
        <w:rPr>
          <w:rFonts w:ascii="仿宋_GB2312" w:hAnsi="仿宋_GB2312" w:eastAsia="仿宋_GB2312" w:cs="仿宋_GB2312"/>
          <w:sz w:val="32"/>
          <w:szCs w:val="32"/>
        </w:rPr>
        <w:t>1+X</w:t>
      </w:r>
      <w:r>
        <w:rPr>
          <w:rFonts w:hint="eastAsia" w:ascii="仿宋_GB2312" w:hAnsi="仿宋_GB2312" w:eastAsia="仿宋_GB2312" w:cs="仿宋_GB2312"/>
          <w:sz w:val="32"/>
          <w:szCs w:val="32"/>
        </w:rPr>
        <w:t>证书培训工作作为教学及改革工作的重要部分，纳入二级学院年度绩效分配，具体分配标准由二级学院根据自身特点确定，标准应在二级学院公示无异议后报学校人事处执行。</w:t>
      </w:r>
    </w:p>
    <w:p>
      <w:pPr>
        <w:pageBreakBefore w:val="0"/>
        <w:numPr>
          <w:ilvl w:val="0"/>
          <w:numId w:val="13"/>
        </w:numPr>
        <w:kinsoku/>
        <w:wordWrap/>
        <w:overflowPunct/>
        <w:topLinePunct w:val="0"/>
        <w:bidi w:val="0"/>
        <w:spacing w:before="120" w:beforeLines="50" w:line="596" w:lineRule="exact"/>
        <w:jc w:val="center"/>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附</w:t>
      </w: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则</w:t>
      </w:r>
    </w:p>
    <w:p>
      <w:pPr>
        <w:pageBreakBefore w:val="0"/>
        <w:tabs>
          <w:tab w:val="left" w:pos="0"/>
        </w:tabs>
        <w:kinsoku/>
        <w:wordWrap/>
        <w:overflowPunct/>
        <w:topLinePunct w:val="0"/>
        <w:bidi w:val="0"/>
        <w:spacing w:line="596" w:lineRule="exact"/>
        <w:ind w:firstLine="643" w:firstLineChars="200"/>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第十三条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本办法解释权归教务与实训管理处。</w:t>
      </w:r>
    </w:p>
    <w:p>
      <w:pPr>
        <w:pageBreakBefore w:val="0"/>
        <w:tabs>
          <w:tab w:val="left" w:pos="0"/>
        </w:tabs>
        <w:kinsoku/>
        <w:wordWrap/>
        <w:overflowPunct/>
        <w:topLinePunct w:val="0"/>
        <w:bidi w:val="0"/>
        <w:spacing w:line="596" w:lineRule="exact"/>
        <w:ind w:firstLine="643"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第十四条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本办法自印发之日起执行，此前发布的有关规定与本办法不一致的，依本办法执行。</w:t>
      </w:r>
    </w:p>
    <w:p>
      <w:pPr>
        <w:pageBreakBefore w:val="0"/>
        <w:tabs>
          <w:tab w:val="left" w:pos="0"/>
        </w:tabs>
        <w:kinsoku/>
        <w:wordWrap/>
        <w:overflowPunct/>
        <w:topLinePunct w:val="0"/>
        <w:bidi w:val="0"/>
        <w:spacing w:line="596" w:lineRule="exact"/>
        <w:ind w:firstLine="640" w:firstLineChars="200"/>
        <w:outlineLvl w:val="9"/>
        <w:rPr>
          <w:rFonts w:hint="eastAsia" w:ascii="仿宋_GB2312" w:hAnsi="仿宋_GB2312" w:eastAsia="仿宋_GB2312" w:cs="仿宋_GB2312"/>
          <w:sz w:val="32"/>
          <w:szCs w:val="32"/>
        </w:rPr>
      </w:pPr>
    </w:p>
    <w:p>
      <w:pPr>
        <w:pageBreakBefore w:val="0"/>
        <w:tabs>
          <w:tab w:val="left" w:pos="0"/>
        </w:tabs>
        <w:kinsoku/>
        <w:wordWrap/>
        <w:overflowPunct/>
        <w:topLinePunct w:val="0"/>
        <w:bidi w:val="0"/>
        <w:spacing w:line="596" w:lineRule="exact"/>
        <w:ind w:firstLine="640" w:firstLineChars="200"/>
        <w:outlineLvl w:val="9"/>
        <w:rPr>
          <w:rFonts w:hint="eastAsia" w:ascii="仿宋_GB2312" w:hAnsi="仿宋_GB2312" w:eastAsia="仿宋_GB2312" w:cs="仿宋_GB2312"/>
          <w:sz w:val="32"/>
          <w:szCs w:val="32"/>
        </w:rPr>
      </w:pPr>
    </w:p>
    <w:p>
      <w:pPr>
        <w:pageBreakBefore w:val="0"/>
        <w:tabs>
          <w:tab w:val="left" w:pos="0"/>
        </w:tabs>
        <w:kinsoku/>
        <w:wordWrap/>
        <w:overflowPunct/>
        <w:topLinePunct w:val="0"/>
        <w:bidi w:val="0"/>
        <w:spacing w:line="596" w:lineRule="exact"/>
        <w:ind w:firstLine="640" w:firstLineChars="200"/>
        <w:outlineLvl w:val="9"/>
        <w:rPr>
          <w:rFonts w:hint="eastAsia" w:ascii="仿宋_GB2312" w:hAnsi="仿宋_GB2312" w:eastAsia="仿宋_GB2312" w:cs="仿宋_GB2312"/>
          <w:sz w:val="32"/>
          <w:szCs w:val="32"/>
        </w:rPr>
      </w:pPr>
    </w:p>
    <w:p>
      <w:pPr>
        <w:pageBreakBefore w:val="0"/>
        <w:tabs>
          <w:tab w:val="left" w:pos="0"/>
        </w:tabs>
        <w:kinsoku/>
        <w:wordWrap/>
        <w:overflowPunct/>
        <w:topLinePunct w:val="0"/>
        <w:bidi w:val="0"/>
        <w:spacing w:line="596" w:lineRule="exact"/>
        <w:ind w:firstLine="640" w:firstLineChars="200"/>
        <w:outlineLvl w:val="9"/>
        <w:rPr>
          <w:rFonts w:hint="eastAsia" w:ascii="仿宋_GB2312" w:hAnsi="仿宋_GB2312" w:eastAsia="仿宋_GB2312" w:cs="仿宋_GB2312"/>
          <w:sz w:val="32"/>
          <w:szCs w:val="32"/>
        </w:rPr>
      </w:pPr>
    </w:p>
    <w:p>
      <w:pPr>
        <w:pageBreakBefore w:val="0"/>
        <w:tabs>
          <w:tab w:val="left" w:pos="0"/>
        </w:tabs>
        <w:kinsoku/>
        <w:wordWrap/>
        <w:overflowPunct/>
        <w:topLinePunct w:val="0"/>
        <w:bidi w:val="0"/>
        <w:spacing w:line="596" w:lineRule="exact"/>
        <w:ind w:firstLine="640" w:firstLineChars="200"/>
        <w:outlineLvl w:val="9"/>
        <w:rPr>
          <w:rFonts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kinsoku/>
        <w:wordWrap/>
        <w:overflowPunct/>
        <w:topLinePunct w:val="0"/>
        <w:bidi w:val="0"/>
        <w:spacing w:line="360" w:lineRule="auto"/>
        <w:jc w:val="left"/>
        <w:outlineLvl w:val="9"/>
        <w:rPr>
          <w:rFonts w:hint="eastAsia" w:ascii="仿宋_GB2312" w:hAnsi="仿宋_GB2312" w:eastAsia="仿宋_GB2312" w:cs="仿宋_GB2312"/>
          <w:sz w:val="32"/>
          <w:szCs w:val="32"/>
        </w:rPr>
      </w:pPr>
    </w:p>
    <w:p>
      <w:pPr>
        <w:pageBreakBefore w:val="0"/>
        <w:widowControl/>
        <w:kinsoku/>
        <w:overflowPunct/>
        <w:topLinePunct w:val="0"/>
        <w:bidi w:val="0"/>
        <w:adjustRightInd w:val="0"/>
        <w:snapToGrid w:val="0"/>
        <w:jc w:val="left"/>
        <w:outlineLvl w:val="9"/>
        <w:rPr>
          <w:rFonts w:ascii="黑体" w:hAnsi="宋体" w:eastAsia="黑体"/>
          <w:b/>
          <w:sz w:val="30"/>
          <w:szCs w:val="30"/>
        </w:rPr>
      </w:pPr>
    </w:p>
    <w:p/>
    <w:sectPr>
      <w:headerReference r:id="rId43" w:type="default"/>
      <w:footerReference r:id="rId4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汉仪粗仿宋简">
    <w:altName w:val="宋体"/>
    <w:panose1 w:val="00000000000000000000"/>
    <w:charset w:val="86"/>
    <w:family w:val="auto"/>
    <w:pitch w:val="default"/>
    <w:sig w:usb0="00000000" w:usb1="00000000" w:usb2="00000012"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ZFangSong-Z02">
    <w:altName w:val="宋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script"/>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等线">
    <w:panose1 w:val="02010600030101010101"/>
    <w:charset w:val="86"/>
    <w:family w:val="script"/>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sz w:val="2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separate"/>
    </w:r>
    <w:r>
      <w:rPr>
        <w:rStyle w:val="16"/>
      </w:rPr>
      <w:t>36</w:t>
    </w:r>
    <w:r>
      <w:fldChar w:fldCharType="end"/>
    </w:r>
  </w:p>
  <w:p>
    <w:pPr>
      <w:pStyle w:val="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宋体" w:hAnsi="宋体"/>
        <w:sz w:val="28"/>
        <w:szCs w:val="28"/>
      </w:rPr>
    </w:pPr>
    <w:r>
      <w:rPr>
        <w:sz w:val="2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80</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108 -</w:t>
    </w:r>
    <w:r>
      <w:rPr>
        <w:rFonts w:ascii="宋体" w:hAnsi="宋体"/>
        <w:sz w:val="28"/>
        <w:szCs w:val="2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宋体" w:hAnsi="宋体"/>
        <w:sz w:val="28"/>
        <w:szCs w:val="28"/>
      </w:rPr>
    </w:pPr>
    <w:r>
      <w:rPr>
        <w:sz w:val="2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宋体" w:hAnsi="宋体"/>
        <w:sz w:val="28"/>
        <w:szCs w:val="28"/>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6"/>
                            </w:rPr>
                          </w:pPr>
                          <w:r>
                            <w:rPr>
                              <w:rStyle w:val="16"/>
                            </w:rPr>
                            <w:fldChar w:fldCharType="begin"/>
                          </w:r>
                          <w:r>
                            <w:rPr>
                              <w:rStyle w:val="16"/>
                            </w:rPr>
                            <w:instrText xml:space="preserve">PAGE  </w:instrText>
                          </w:r>
                          <w:r>
                            <w:rPr>
                              <w:rStyle w:val="16"/>
                            </w:rPr>
                            <w:fldChar w:fldCharType="separate"/>
                          </w:r>
                          <w:r>
                            <w:rPr>
                              <w:rStyle w:val="16"/>
                            </w:rPr>
                            <w:t>22</w:t>
                          </w:r>
                          <w:r>
                            <w:rPr>
                              <w:rStyle w:val="1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9"/>
                      <w:rPr>
                        <w:rStyle w:val="16"/>
                      </w:rPr>
                    </w:pPr>
                    <w:r>
                      <w:rPr>
                        <w:rStyle w:val="16"/>
                      </w:rPr>
                      <w:fldChar w:fldCharType="begin"/>
                    </w:r>
                    <w:r>
                      <w:rPr>
                        <w:rStyle w:val="16"/>
                      </w:rPr>
                      <w:instrText xml:space="preserve">PAGE  </w:instrText>
                    </w:r>
                    <w:r>
                      <w:rPr>
                        <w:rStyle w:val="16"/>
                      </w:rPr>
                      <w:fldChar w:fldCharType="separate"/>
                    </w:r>
                    <w:r>
                      <w:rPr>
                        <w:rStyle w:val="16"/>
                      </w:rPr>
                      <w:t>22</w:t>
                    </w:r>
                    <w:r>
                      <w:rPr>
                        <w:rStyle w:val="16"/>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114 -</w:t>
    </w:r>
    <w:r>
      <w:rPr>
        <w:rFonts w:ascii="宋体" w:hAnsi="宋体"/>
        <w:sz w:val="28"/>
        <w:szCs w:val="2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hint="eastAsia" w:ascii="宋体" w:hAnsi="宋体"/>
        <w:sz w:val="28"/>
        <w:szCs w:val="28"/>
      </w:rPr>
    </w:pPr>
    <w:r>
      <w:rPr>
        <w:sz w:val="2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117</w:t>
                    </w:r>
                    <w:r>
                      <w:rPr>
                        <w:rFonts w:hint="eastAsia"/>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215</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194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4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6Nh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o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e6NhwVAgAAF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rPr>
        <w:sz w:val="20"/>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ascii="宋体" w:hAnsi="宋体"/>
        <w:sz w:val="28"/>
        <w:szCs w:val="28"/>
        <w:lang w:eastAsia="zh-CN"/>
      </w:rPr>
    </w:pPr>
    <w:r>
      <w:rPr>
        <w:sz w:val="2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eastAsia="zh-CN"/>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54 -</w:t>
    </w:r>
    <w:r>
      <w:rPr>
        <w:rFonts w:ascii="宋体" w:hAnsi="宋体"/>
        <w:sz w:val="28"/>
        <w:szCs w:val="28"/>
      </w:rPr>
      <w:fldChar w:fldCharType="end"/>
    </w:r>
    <w:r>
      <w:rPr>
        <w:rFonts w:ascii="宋体" w:hAnsi="宋体" w:cs="宋体"/>
        <w:kern w:val="0"/>
        <w:sz w:val="24"/>
        <w:szCs w:val="24"/>
      </w:rPr>
      <mc:AlternateContent>
        <mc:Choice Requires="wps">
          <w:drawing>
            <wp:anchor distT="0" distB="0" distL="114300" distR="114300" simplePos="0" relativeHeight="251707392" behindDoc="0" locked="0" layoutInCell="1" allowOverlap="1">
              <wp:simplePos x="0" y="0"/>
              <wp:positionH relativeFrom="column">
                <wp:posOffset>574675</wp:posOffset>
              </wp:positionH>
              <wp:positionV relativeFrom="paragraph">
                <wp:posOffset>6049010</wp:posOffset>
              </wp:positionV>
              <wp:extent cx="678180" cy="539750"/>
              <wp:effectExtent l="0" t="0" r="7620" b="12700"/>
              <wp:wrapNone/>
              <wp:docPr id="153" name="文本框 24"/>
              <wp:cNvGraphicFramePr/>
              <a:graphic xmlns:a="http://schemas.openxmlformats.org/drawingml/2006/main">
                <a:graphicData uri="http://schemas.microsoft.com/office/word/2010/wordprocessingShape">
                  <wps:wsp>
                    <wps:cNvSpPr txBox="1"/>
                    <wps:spPr>
                      <a:xfrm>
                        <a:off x="0" y="0"/>
                        <a:ext cx="678180" cy="539750"/>
                      </a:xfrm>
                      <a:prstGeom prst="rect">
                        <a:avLst/>
                      </a:prstGeom>
                      <a:solidFill>
                        <a:srgbClr val="FFFFFF"/>
                      </a:solidFill>
                      <a:ln>
                        <a:noFill/>
                      </a:ln>
                    </wps:spPr>
                    <wps:txbx>
                      <w:txbxContent>
                        <w:p>
                          <w:pPr>
                            <w:pStyle w:val="9"/>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54 -</w:t>
                          </w:r>
                          <w:r>
                            <w:rPr>
                              <w:rFonts w:hint="eastAsia" w:ascii="宋体" w:hAnsi="宋体"/>
                              <w:sz w:val="28"/>
                              <w:szCs w:val="28"/>
                            </w:rPr>
                            <w:fldChar w:fldCharType="end"/>
                          </w:r>
                        </w:p>
                      </w:txbxContent>
                    </wps:txbx>
                    <wps:bodyPr vert="vert" upright="1">
                      <a:spAutoFit/>
                    </wps:bodyPr>
                  </wps:wsp>
                </a:graphicData>
              </a:graphic>
            </wp:anchor>
          </w:drawing>
        </mc:Choice>
        <mc:Fallback>
          <w:pict>
            <v:shape id="文本框 24" o:spid="_x0000_s1026" o:spt="202" type="#_x0000_t202" style="position:absolute;left:0pt;margin-left:45.25pt;margin-top:476.3pt;height:42.5pt;width:53.4pt;z-index:251707392;mso-width-relative:page;mso-height-relative:page;" fillcolor="#FFFFFF" filled="t" stroked="f" coordsize="21600,21600" o:gfxdata="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Nrjw2wAAAAsBAAAPAAAAAAAAAAEAIAAAACIAAABkcnMvZG93bnJldi54bWxQ&#10;SwECFAAUAAAACACHTuJAa+JjA7sBAABRAwAADgAAAAAAAAABACAAAAAqAQAAZHJzL2Uyb0RvYy54&#10;bWxQSwUGAAAAAAYABgBZAQAAVwUAAAAA&#10;">
              <v:fill on="t" focussize="0,0"/>
              <v:stroke on="f"/>
              <v:imagedata o:title=""/>
              <o:lock v:ext="edit" aspectratio="f"/>
              <v:textbox style="layout-flow:vertical;mso-fit-shape-to-text:t;">
                <w:txbxContent>
                  <w:p>
                    <w:pPr>
                      <w:pStyle w:val="9"/>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54 -</w:t>
                    </w:r>
                    <w:r>
                      <w:rPr>
                        <w:rFonts w:hint="eastAsia" w:ascii="宋体" w:hAnsi="宋体"/>
                        <w:sz w:val="28"/>
                        <w:szCs w:val="28"/>
                      </w:rPr>
                      <w:fldChar w:fldCharType="end"/>
                    </w:r>
                  </w:p>
                </w:txbxContent>
              </v:textbox>
            </v:shape>
          </w:pict>
        </mc:Fallback>
      </mc:AlternateContent>
    </w:r>
    <w:r>
      <w:rPr>
        <w:rFonts w:ascii="宋体" w:hAnsi="宋体" w:cs="宋体"/>
        <w:kern w:val="0"/>
        <w:sz w:val="24"/>
        <w:szCs w:val="24"/>
      </w:rPr>
      <mc:AlternateContent>
        <mc:Choice Requires="wps">
          <w:drawing>
            <wp:anchor distT="0" distB="0" distL="114300" distR="114300" simplePos="0" relativeHeight="251706368" behindDoc="0" locked="0" layoutInCell="1" allowOverlap="1">
              <wp:simplePos x="0" y="0"/>
              <wp:positionH relativeFrom="column">
                <wp:posOffset>574675</wp:posOffset>
              </wp:positionH>
              <wp:positionV relativeFrom="paragraph">
                <wp:posOffset>6049010</wp:posOffset>
              </wp:positionV>
              <wp:extent cx="678180" cy="539750"/>
              <wp:effectExtent l="0" t="0" r="7620" b="12700"/>
              <wp:wrapNone/>
              <wp:docPr id="154" name="文本框 25"/>
              <wp:cNvGraphicFramePr/>
              <a:graphic xmlns:a="http://schemas.openxmlformats.org/drawingml/2006/main">
                <a:graphicData uri="http://schemas.microsoft.com/office/word/2010/wordprocessingShape">
                  <wps:wsp>
                    <wps:cNvSpPr txBox="1"/>
                    <wps:spPr>
                      <a:xfrm>
                        <a:off x="0" y="0"/>
                        <a:ext cx="678180" cy="539750"/>
                      </a:xfrm>
                      <a:prstGeom prst="rect">
                        <a:avLst/>
                      </a:prstGeom>
                      <a:solidFill>
                        <a:srgbClr val="FFFFFF"/>
                      </a:solidFill>
                      <a:ln>
                        <a:noFill/>
                      </a:ln>
                    </wps:spPr>
                    <wps:txbx>
                      <w:txbxContent>
                        <w:p>
                          <w:pPr>
                            <w:pStyle w:val="9"/>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54 -</w:t>
                          </w:r>
                          <w:r>
                            <w:rPr>
                              <w:rFonts w:hint="eastAsia" w:ascii="宋体" w:hAnsi="宋体"/>
                              <w:sz w:val="28"/>
                              <w:szCs w:val="28"/>
                            </w:rPr>
                            <w:fldChar w:fldCharType="end"/>
                          </w:r>
                        </w:p>
                      </w:txbxContent>
                    </wps:txbx>
                    <wps:bodyPr vert="vert" upright="1">
                      <a:spAutoFit/>
                    </wps:bodyPr>
                  </wps:wsp>
                </a:graphicData>
              </a:graphic>
            </wp:anchor>
          </w:drawing>
        </mc:Choice>
        <mc:Fallback>
          <w:pict>
            <v:shape id="文本框 25" o:spid="_x0000_s1026" o:spt="202" type="#_x0000_t202" style="position:absolute;left:0pt;margin-left:45.25pt;margin-top:476.3pt;height:42.5pt;width:53.4pt;z-index:251706368;mso-width-relative:page;mso-height-relative:page;" fillcolor="#FFFFFF" filled="t" stroked="f" coordsize="21600,21600" o:gfxdata="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Nrjw2wAAAAsBAAAPAAAAAAAAAAEAIAAAACIAAABkcnMvZG93bnJldi54bWxQ&#10;SwECFAAUAAAACACHTuJAGQuOWbsBAABRAwAADgAAAAAAAAABACAAAAAqAQAAZHJzL2Uyb0RvYy54&#10;bWxQSwUGAAAAAAYABgBZAQAAVwUAAAAA&#10;">
              <v:fill on="t" focussize="0,0"/>
              <v:stroke on="f"/>
              <v:imagedata o:title=""/>
              <o:lock v:ext="edit" aspectratio="f"/>
              <v:textbox style="layout-flow:vertical;mso-fit-shape-to-text:t;">
                <w:txbxContent>
                  <w:p>
                    <w:pPr>
                      <w:pStyle w:val="9"/>
                      <w:jc w:val="right"/>
                      <w:rPr>
                        <w:rFonts w:ascii="宋体" w:hAnsi="宋体"/>
                        <w:sz w:val="28"/>
                        <w:szCs w:val="28"/>
                      </w:rPr>
                    </w:pP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lang w:val="zh-CN"/>
                      </w:rPr>
                      <w:t>-</w:t>
                    </w:r>
                    <w:r>
                      <w:rPr>
                        <w:rFonts w:ascii="宋体" w:hAnsi="宋体"/>
                        <w:sz w:val="28"/>
                        <w:szCs w:val="28"/>
                      </w:rPr>
                      <w:t xml:space="preserve"> 54 -</w:t>
                    </w:r>
                    <w:r>
                      <w:rPr>
                        <w:rFonts w:hint="eastAsia" w:ascii="宋体" w:hAnsi="宋体"/>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8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8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left="7000"/>
      <w:rPr>
        <w:b/>
      </w:rPr>
    </w:pPr>
    <w:r>
      <mc:AlternateContent>
        <mc:Choice Requires="wps">
          <w:drawing>
            <wp:anchor distT="0" distB="0" distL="114300" distR="114300" simplePos="0" relativeHeight="251828224" behindDoc="0" locked="0" layoutInCell="1" allowOverlap="1">
              <wp:simplePos x="0" y="0"/>
              <wp:positionH relativeFrom="column">
                <wp:posOffset>-462915</wp:posOffset>
              </wp:positionH>
              <wp:positionV relativeFrom="paragraph">
                <wp:posOffset>207010</wp:posOffset>
              </wp:positionV>
              <wp:extent cx="421640" cy="539750"/>
              <wp:effectExtent l="0" t="0" r="16510" b="12700"/>
              <wp:wrapNone/>
              <wp:docPr id="156" name="Text Box 3"/>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110 -</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Text Box 3" o:spid="_x0000_s1026" o:spt="202" type="#_x0000_t202" style="position:absolute;left:0pt;margin-left:-36.45pt;margin-top:16.3pt;height:42.5pt;width:33.2pt;z-index:251828224;mso-width-relative:page;mso-height-relative:page;" fillcolor="#FFFFFF" filled="t" stroked="f" coordsize="21600,21600" o:gfxdata="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RP1ltoAAAAJAQAADwAAAAAAAAABACAAAAAiAAAAZHJz&#10;L2Rvd25yZXYueG1sUEsBAhQAFAAAAAgAh07iQKAjJVUCAgAA/gMAAA4AAAAAAAAAAQAgAAAAKQEA&#10;AGRycy9lMm9Eb2MueG1sUEsFBgAAAAAGAAYAWQEAAJ0FAAAAAA==&#10;">
              <v:fill on="t" focussize="0,0"/>
              <v:stroke on="f"/>
              <v:imagedata o:title=""/>
              <o:lock v:ext="edit" aspectratio="f"/>
              <v:textbox style="layout-flow:vertical;mso-fit-shape-to-text:t;">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110 -</w:t>
                    </w:r>
                    <w:r>
                      <w:rPr>
                        <w:rFonts w:ascii="宋体" w:hAnsi="宋体"/>
                        <w:sz w:val="28"/>
                        <w:szCs w:val="28"/>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left="7000"/>
      <w:rPr>
        <w:b/>
      </w:rPr>
    </w:pPr>
    <w:r>
      <mc:AlternateContent>
        <mc:Choice Requires="wps">
          <w:drawing>
            <wp:anchor distT="0" distB="0" distL="114300" distR="114300" simplePos="0" relativeHeight="251882496" behindDoc="0" locked="0" layoutInCell="1" allowOverlap="1">
              <wp:simplePos x="0" y="0"/>
              <wp:positionH relativeFrom="column">
                <wp:posOffset>-462915</wp:posOffset>
              </wp:positionH>
              <wp:positionV relativeFrom="paragraph">
                <wp:posOffset>207010</wp:posOffset>
              </wp:positionV>
              <wp:extent cx="421640" cy="539750"/>
              <wp:effectExtent l="0" t="0" r="16510" b="12700"/>
              <wp:wrapNone/>
              <wp:docPr id="173" name="Text Box 3"/>
              <wp:cNvGraphicFramePr/>
              <a:graphic xmlns:a="http://schemas.openxmlformats.org/drawingml/2006/main">
                <a:graphicData uri="http://schemas.microsoft.com/office/word/2010/wordprocessingShape">
                  <wps:wsp>
                    <wps:cNvSpPr txBox="1">
                      <a:spLocks noChangeArrowheads="1"/>
                    </wps:cNvSpPr>
                    <wps:spPr bwMode="auto">
                      <a:xfrm>
                        <a:off x="0" y="0"/>
                        <a:ext cx="421640" cy="539750"/>
                      </a:xfrm>
                      <a:prstGeom prst="rect">
                        <a:avLst/>
                      </a:prstGeom>
                      <a:solidFill>
                        <a:srgbClr val="FFFFFF"/>
                      </a:solidFill>
                      <a:ln>
                        <a:noFill/>
                      </a:ln>
                      <a:effectLst/>
                    </wps:spPr>
                    <wps:txbx>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218</w:t>
                          </w:r>
                          <w:r>
                            <w:rPr>
                              <w:rFonts w:ascii="宋体" w:hAnsi="宋体"/>
                              <w:sz w:val="28"/>
                              <w:szCs w:val="28"/>
                            </w:rPr>
                            <w:fldChar w:fldCharType="end"/>
                          </w:r>
                        </w:p>
                      </w:txbxContent>
                    </wps:txbx>
                    <wps:bodyPr rot="0" vert="vert" wrap="square" lIns="91440" tIns="45720" rIns="91440" bIns="45720" anchor="t" anchorCtr="0" upright="1">
                      <a:spAutoFit/>
                    </wps:bodyPr>
                  </wps:wsp>
                </a:graphicData>
              </a:graphic>
            </wp:anchor>
          </w:drawing>
        </mc:Choice>
        <mc:Fallback>
          <w:pict>
            <v:shape id="Text Box 3" o:spid="_x0000_s1026" o:spt="202" type="#_x0000_t202" style="position:absolute;left:0pt;margin-left:-36.45pt;margin-top:16.3pt;height:42.5pt;width:33.2pt;z-index:251882496;mso-width-relative:page;mso-height-relative:page;" fillcolor="#FFFFFF" filled="t" stroked="f" coordsize="21600,21600" o:gfxdata="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E/WW2gAAAAkBAAAPAAAAAAAAAAEAIAAAACIAAABkcnMv&#10;ZG93bnJldi54bWxQSwECFAAUAAAACACHTuJAjaiZXgECAAD+AwAADgAAAAAAAAABACAAAAApAQAA&#10;ZHJzL2Uyb0RvYy54bWxQSwUGAAAAAAYABgBZAQAAnAUAAAAA&#10;">
              <v:fill on="t" focussize="0,0"/>
              <v:stroke on="f"/>
              <v:imagedata o:title=""/>
              <o:lock v:ext="edit" aspectratio="f"/>
              <v:textbox style="layout-flow:vertical;mso-fit-shape-to-text:t;">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218</w:t>
                    </w:r>
                    <w:r>
                      <w:rPr>
                        <w:rFonts w:ascii="宋体" w:hAnsi="宋体"/>
                        <w:sz w:val="28"/>
                        <w:szCs w:val="28"/>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mc:AlternateContent>
        <mc:Choice Requires="wps">
          <w:drawing>
            <wp:anchor distT="0" distB="0" distL="114300" distR="114300" simplePos="0" relativeHeight="251710464" behindDoc="0" locked="0" layoutInCell="1" allowOverlap="1">
              <wp:simplePos x="0" y="0"/>
              <wp:positionH relativeFrom="column">
                <wp:posOffset>-358775</wp:posOffset>
              </wp:positionH>
              <wp:positionV relativeFrom="paragraph">
                <wp:posOffset>173990</wp:posOffset>
              </wp:positionV>
              <wp:extent cx="362585" cy="539750"/>
              <wp:effectExtent l="0" t="0" r="18415" b="12700"/>
              <wp:wrapNone/>
              <wp:docPr id="2" name="文本框 2"/>
              <wp:cNvGraphicFramePr/>
              <a:graphic xmlns:a="http://schemas.openxmlformats.org/drawingml/2006/main">
                <a:graphicData uri="http://schemas.microsoft.com/office/word/2010/wordprocessingShape">
                  <wps:wsp>
                    <wps:cNvSpPr txBox="1"/>
                    <wps:spPr>
                      <a:xfrm>
                        <a:off x="0" y="0"/>
                        <a:ext cx="362585" cy="539750"/>
                      </a:xfrm>
                      <a:prstGeom prst="rect">
                        <a:avLst/>
                      </a:prstGeom>
                      <a:solidFill>
                        <a:srgbClr val="FFFFFF"/>
                      </a:solidFill>
                      <a:ln>
                        <a:noFill/>
                      </a:ln>
                    </wps:spPr>
                    <wps:txbx>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14 -</w:t>
                          </w:r>
                          <w:r>
                            <w:rPr>
                              <w:rFonts w:ascii="宋体" w:hAnsi="宋体"/>
                              <w:sz w:val="28"/>
                              <w:szCs w:val="28"/>
                            </w:rPr>
                            <w:fldChar w:fldCharType="end"/>
                          </w:r>
                        </w:p>
                      </w:txbxContent>
                    </wps:txbx>
                    <wps:bodyPr vert="vert" upright="1"/>
                  </wps:wsp>
                </a:graphicData>
              </a:graphic>
            </wp:anchor>
          </w:drawing>
        </mc:Choice>
        <mc:Fallback>
          <w:pict>
            <v:shape id="_x0000_s1026" o:spid="_x0000_s1026" o:spt="202" type="#_x0000_t202" style="position:absolute;left:0pt;margin-left:-28.25pt;margin-top:13.7pt;height:42.5pt;width:28.55pt;z-index:251710464;mso-width-relative:page;mso-height-relative:page;" fillcolor="#FFFFFF" filled="t" stroked="f" coordsize="21600,21600" o:gfxdata="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YsHddYAAAAH&#10;AQAADwAAAAAAAAABACAAAAAiAAAAZHJzL2Rvd25yZXYueG1sUEsBAhQAFAAAAAgAh07iQE4gu+is&#10;AQAANAMAAA4AAAAAAAAAAQAgAAAAJQEAAGRycy9lMm9Eb2MueG1sUEsFBgAAAAAGAAYAWQEAAEMF&#10;AAAAAA==&#10;">
              <v:fill on="t" focussize="0,0"/>
              <v:stroke on="f"/>
              <v:imagedata o:title=""/>
              <o:lock v:ext="edit" aspectratio="f"/>
              <v:textbox style="layout-flow:vertical;">
                <w:txbxContent>
                  <w:p>
                    <w:pPr>
                      <w:pStyle w:val="9"/>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14 -</w:t>
                    </w:r>
                    <w:r>
                      <w:rPr>
                        <w:rFonts w:ascii="宋体" w:hAnsi="宋体"/>
                        <w:sz w:val="28"/>
                        <w:szCs w:val="28"/>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8B27FC"/>
    <w:multiLevelType w:val="singleLevel"/>
    <w:tmpl w:val="838B27FC"/>
    <w:lvl w:ilvl="0" w:tentative="0">
      <w:start w:val="6"/>
      <w:numFmt w:val="chineseCounting"/>
      <w:suff w:val="nothing"/>
      <w:lvlText w:val="%1、"/>
      <w:lvlJc w:val="left"/>
      <w:rPr>
        <w:rFonts w:hint="eastAsia"/>
      </w:rPr>
    </w:lvl>
  </w:abstractNum>
  <w:abstractNum w:abstractNumId="1">
    <w:nsid w:val="872ED3E6"/>
    <w:multiLevelType w:val="singleLevel"/>
    <w:tmpl w:val="872ED3E6"/>
    <w:lvl w:ilvl="0" w:tentative="0">
      <w:start w:val="1"/>
      <w:numFmt w:val="chineseCounting"/>
      <w:suff w:val="nothing"/>
      <w:lvlText w:val="%1、"/>
      <w:lvlJc w:val="left"/>
      <w:rPr>
        <w:rFonts w:hint="eastAsia"/>
      </w:rPr>
    </w:lvl>
  </w:abstractNum>
  <w:abstractNum w:abstractNumId="2">
    <w:nsid w:val="88BF76F1"/>
    <w:multiLevelType w:val="singleLevel"/>
    <w:tmpl w:val="88BF76F1"/>
    <w:lvl w:ilvl="0" w:tentative="0">
      <w:start w:val="6"/>
      <w:numFmt w:val="chineseCounting"/>
      <w:suff w:val="nothing"/>
      <w:lvlText w:val="（%1）"/>
      <w:lvlJc w:val="left"/>
      <w:rPr>
        <w:rFonts w:hint="eastAsia" w:cs="Times New Roman"/>
      </w:rPr>
    </w:lvl>
  </w:abstractNum>
  <w:abstractNum w:abstractNumId="3">
    <w:nsid w:val="B033B9F9"/>
    <w:multiLevelType w:val="singleLevel"/>
    <w:tmpl w:val="B033B9F9"/>
    <w:lvl w:ilvl="0" w:tentative="0">
      <w:start w:val="1"/>
      <w:numFmt w:val="chineseCounting"/>
      <w:suff w:val="nothing"/>
      <w:lvlText w:val="（%1）"/>
      <w:lvlJc w:val="left"/>
      <w:rPr>
        <w:rFonts w:hint="eastAsia"/>
      </w:rPr>
    </w:lvl>
  </w:abstractNum>
  <w:abstractNum w:abstractNumId="4">
    <w:nsid w:val="B5015A88"/>
    <w:multiLevelType w:val="singleLevel"/>
    <w:tmpl w:val="B5015A88"/>
    <w:lvl w:ilvl="0" w:tentative="0">
      <w:start w:val="1"/>
      <w:numFmt w:val="chineseCounting"/>
      <w:suff w:val="nothing"/>
      <w:lvlText w:val="（%1）"/>
      <w:lvlJc w:val="left"/>
      <w:rPr>
        <w:rFonts w:hint="eastAsia" w:cs="Times New Roman"/>
      </w:rPr>
    </w:lvl>
  </w:abstractNum>
  <w:abstractNum w:abstractNumId="5">
    <w:nsid w:val="BA905DC8"/>
    <w:multiLevelType w:val="singleLevel"/>
    <w:tmpl w:val="BA905DC8"/>
    <w:lvl w:ilvl="0" w:tentative="0">
      <w:start w:val="2"/>
      <w:numFmt w:val="chineseCounting"/>
      <w:suff w:val="space"/>
      <w:lvlText w:val="第%1章"/>
      <w:lvlJc w:val="left"/>
      <w:rPr>
        <w:rFonts w:hint="eastAsia"/>
      </w:rPr>
    </w:lvl>
  </w:abstractNum>
  <w:abstractNum w:abstractNumId="6">
    <w:nsid w:val="CC549328"/>
    <w:multiLevelType w:val="singleLevel"/>
    <w:tmpl w:val="CC549328"/>
    <w:lvl w:ilvl="0" w:tentative="0">
      <w:start w:val="2"/>
      <w:numFmt w:val="chineseCounting"/>
      <w:suff w:val="nothing"/>
      <w:lvlText w:val="%1、"/>
      <w:lvlJc w:val="left"/>
      <w:rPr>
        <w:rFonts w:hint="eastAsia"/>
      </w:rPr>
    </w:lvl>
  </w:abstractNum>
  <w:abstractNum w:abstractNumId="7">
    <w:nsid w:val="D299763E"/>
    <w:multiLevelType w:val="singleLevel"/>
    <w:tmpl w:val="D299763E"/>
    <w:lvl w:ilvl="0" w:tentative="0">
      <w:start w:val="1"/>
      <w:numFmt w:val="chineseCounting"/>
      <w:suff w:val="nothing"/>
      <w:lvlText w:val="（%1）"/>
      <w:lvlJc w:val="left"/>
      <w:rPr>
        <w:rFonts w:hint="eastAsia"/>
      </w:rPr>
    </w:lvl>
  </w:abstractNum>
  <w:abstractNum w:abstractNumId="8">
    <w:nsid w:val="FA106801"/>
    <w:multiLevelType w:val="singleLevel"/>
    <w:tmpl w:val="FA106801"/>
    <w:lvl w:ilvl="0" w:tentative="0">
      <w:start w:val="2"/>
      <w:numFmt w:val="chineseCounting"/>
      <w:suff w:val="space"/>
      <w:lvlText w:val="第%1章"/>
      <w:lvlJc w:val="left"/>
      <w:rPr>
        <w:rFonts w:hint="eastAsia" w:cs="Times New Roman"/>
      </w:rPr>
    </w:lvl>
  </w:abstractNum>
  <w:abstractNum w:abstractNumId="9">
    <w:nsid w:val="03DD13C1"/>
    <w:multiLevelType w:val="singleLevel"/>
    <w:tmpl w:val="03DD13C1"/>
    <w:lvl w:ilvl="0" w:tentative="0">
      <w:start w:val="4"/>
      <w:numFmt w:val="chineseCounting"/>
      <w:suff w:val="nothing"/>
      <w:lvlText w:val="%1、"/>
      <w:lvlJc w:val="left"/>
      <w:rPr>
        <w:rFonts w:hint="eastAsia"/>
      </w:rPr>
    </w:lvl>
  </w:abstractNum>
  <w:abstractNum w:abstractNumId="10">
    <w:nsid w:val="2178CA21"/>
    <w:multiLevelType w:val="singleLevel"/>
    <w:tmpl w:val="2178CA21"/>
    <w:lvl w:ilvl="0" w:tentative="0">
      <w:start w:val="1"/>
      <w:numFmt w:val="decimal"/>
      <w:lvlText w:val="%1."/>
      <w:lvlJc w:val="left"/>
      <w:pPr>
        <w:tabs>
          <w:tab w:val="left" w:pos="312"/>
        </w:tabs>
      </w:pPr>
    </w:lvl>
  </w:abstractNum>
  <w:abstractNum w:abstractNumId="11">
    <w:nsid w:val="6A00B549"/>
    <w:multiLevelType w:val="singleLevel"/>
    <w:tmpl w:val="6A00B549"/>
    <w:lvl w:ilvl="0" w:tentative="0">
      <w:start w:val="1"/>
      <w:numFmt w:val="bullet"/>
      <w:lvlText w:val="·"/>
      <w:lvlJc w:val="left"/>
      <w:pPr>
        <w:ind w:left="420" w:hanging="420"/>
      </w:pPr>
      <w:rPr>
        <w:rFonts w:hint="default" w:ascii="宋体" w:hAnsi="宋体" w:eastAsia="宋体" w:cs="宋体"/>
      </w:rPr>
    </w:lvl>
  </w:abstractNum>
  <w:abstractNum w:abstractNumId="12">
    <w:nsid w:val="717E490F"/>
    <w:multiLevelType w:val="multilevel"/>
    <w:tmpl w:val="717E490F"/>
    <w:lvl w:ilvl="0" w:tentative="0">
      <w:start w:val="1"/>
      <w:numFmt w:val="japaneseCounting"/>
      <w:lvlText w:val="第%1条"/>
      <w:lvlJc w:val="left"/>
      <w:pPr>
        <w:ind w:left="1723" w:hanging="1080"/>
      </w:pPr>
      <w:rPr>
        <w:rFonts w:hint="default" w:cs="仿宋"/>
        <w:b/>
        <w:color w:val="00000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12"/>
  </w:num>
  <w:num w:numId="2">
    <w:abstractNumId w:val="5"/>
  </w:num>
  <w:num w:numId="3">
    <w:abstractNumId w:val="1"/>
  </w:num>
  <w:num w:numId="4">
    <w:abstractNumId w:val="7"/>
  </w:num>
  <w:num w:numId="5">
    <w:abstractNumId w:val="10"/>
  </w:num>
  <w:num w:numId="6">
    <w:abstractNumId w:val="9"/>
  </w:num>
  <w:num w:numId="7">
    <w:abstractNumId w:val="3"/>
  </w:num>
  <w:num w:numId="8">
    <w:abstractNumId w:val="6"/>
  </w:num>
  <w:num w:numId="9">
    <w:abstractNumId w:val="0"/>
  </w:num>
  <w:num w:numId="10">
    <w:abstractNumId w:val="11"/>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8A211D"/>
    <w:rsid w:val="0D7E13C6"/>
    <w:rsid w:val="1A491B09"/>
    <w:rsid w:val="22A27B04"/>
    <w:rsid w:val="23CB2466"/>
    <w:rsid w:val="42916E27"/>
    <w:rsid w:val="49E1779D"/>
    <w:rsid w:val="4B8A211D"/>
    <w:rsid w:val="65E10255"/>
    <w:rsid w:val="6BFE6E47"/>
    <w:rsid w:val="783B5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spacing w:line="369" w:lineRule="atLeast"/>
      <w:jc w:val="center"/>
      <w:outlineLvl w:val="0"/>
    </w:pPr>
    <w:rPr>
      <w:rFonts w:ascii="宋体" w:hAnsi="宋体"/>
      <w:b/>
      <w:bCs/>
      <w:color w:val="000000"/>
      <w:sz w:val="28"/>
      <w:szCs w:val="30"/>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uiPriority w:val="0"/>
  </w:style>
  <w:style w:type="table" w:default="1" w:styleId="17">
    <w:name w:val="Normal Table"/>
    <w:semiHidden/>
    <w:uiPriority w:val="0"/>
    <w:tblPr>
      <w:tblLayout w:type="fixed"/>
      <w:tblCellMar>
        <w:top w:w="0" w:type="dxa"/>
        <w:left w:w="108" w:type="dxa"/>
        <w:bottom w:w="0" w:type="dxa"/>
        <w:right w:w="108" w:type="dxa"/>
      </w:tblCellMar>
    </w:tblPr>
  </w:style>
  <w:style w:type="paragraph" w:styleId="4">
    <w:name w:val="Body Text First Indent"/>
    <w:basedOn w:val="5"/>
    <w:unhideWhenUsed/>
    <w:qFormat/>
    <w:uiPriority w:val="0"/>
    <w:pPr>
      <w:ind w:firstLine="420" w:firstLineChars="100"/>
    </w:pPr>
  </w:style>
  <w:style w:type="paragraph" w:styleId="5">
    <w:name w:val="Body Text"/>
    <w:basedOn w:val="1"/>
    <w:qFormat/>
    <w:uiPriority w:val="1"/>
    <w:pPr>
      <w:ind w:left="109"/>
    </w:pPr>
    <w:rPr>
      <w:rFonts w:ascii="宋体" w:hAnsi="宋体" w:eastAsia="宋体" w:cs="宋体"/>
      <w:sz w:val="32"/>
      <w:szCs w:val="32"/>
      <w:lang w:val="zh-CN" w:eastAsia="zh-CN" w:bidi="zh-CN"/>
    </w:rPr>
  </w:style>
  <w:style w:type="paragraph" w:styleId="6">
    <w:name w:val="caption"/>
    <w:basedOn w:val="1"/>
    <w:next w:val="1"/>
    <w:qFormat/>
    <w:uiPriority w:val="35"/>
    <w:pPr>
      <w:spacing w:line="336" w:lineRule="auto"/>
      <w:ind w:firstLine="562" w:firstLineChars="200"/>
    </w:pPr>
    <w:rPr>
      <w:rFonts w:ascii="Arial" w:hAnsi="Arial" w:eastAsia="黑体"/>
      <w:sz w:val="20"/>
    </w:rPr>
  </w:style>
  <w:style w:type="paragraph" w:styleId="7">
    <w:name w:val="annotation text"/>
    <w:basedOn w:val="1"/>
    <w:qFormat/>
    <w:uiPriority w:val="99"/>
    <w:pPr>
      <w:jc w:val="left"/>
    </w:pPr>
    <w:rPr>
      <w:sz w:val="21"/>
    </w:rPr>
  </w:style>
  <w:style w:type="paragraph" w:styleId="8">
    <w:name w:val="toc 3"/>
    <w:basedOn w:val="1"/>
    <w:next w:val="1"/>
    <w:semiHidden/>
    <w:qFormat/>
    <w:uiPriority w:val="0"/>
    <w:pPr>
      <w:tabs>
        <w:tab w:val="right" w:leader="dot" w:pos="9060"/>
      </w:tabs>
      <w:ind w:firstLine="560" w:firstLineChars="200"/>
    </w:pPr>
    <w:rPr>
      <w:rFonts w:eastAsia="汉仪粗仿宋简"/>
      <w:szCs w:val="28"/>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character" w:styleId="16">
    <w:name w:val="page number"/>
    <w:basedOn w:val="15"/>
    <w:qFormat/>
    <w:uiPriority w:val="0"/>
  </w:style>
  <w:style w:type="table" w:styleId="18">
    <w:name w:val="Table Grid"/>
    <w:basedOn w:val="1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9">
    <w:name w:val="List Paragraph"/>
    <w:basedOn w:val="1"/>
    <w:qFormat/>
    <w:uiPriority w:val="34"/>
    <w:pPr>
      <w:ind w:firstLine="420" w:firstLineChars="200"/>
    </w:pPr>
    <w:rPr>
      <w:rFonts w:ascii="Calibri" w:hAnsi="Calibri"/>
      <w:sz w:val="21"/>
      <w:szCs w:val="22"/>
    </w:rPr>
  </w:style>
  <w:style w:type="paragraph" w:customStyle="1" w:styleId="20">
    <w:name w:val="文件标题"/>
    <w:basedOn w:val="1"/>
    <w:qFormat/>
    <w:uiPriority w:val="0"/>
    <w:pPr>
      <w:spacing w:line="560" w:lineRule="exact"/>
      <w:jc w:val="center"/>
    </w:pPr>
    <w:rPr>
      <w:rFonts w:ascii="方正小标宋_GBK" w:hAnsi="方正小标宋_GBK" w:eastAsia="方正小标宋_GBK"/>
      <w:sz w:val="44"/>
      <w:szCs w:val="44"/>
    </w:rPr>
  </w:style>
  <w:style w:type="paragraph" w:customStyle="1" w:styleId="2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Body text|1"/>
    <w:basedOn w:val="1"/>
    <w:qFormat/>
    <w:uiPriority w:val="0"/>
    <w:pPr>
      <w:spacing w:line="398" w:lineRule="auto"/>
      <w:ind w:firstLine="400"/>
    </w:pPr>
    <w:rPr>
      <w:rFonts w:ascii="宋体" w:hAnsi="宋体" w:cs="宋体"/>
      <w:szCs w:val="28"/>
      <w:lang w:val="zh-TW" w:eastAsia="zh-TW" w:bidi="zh-TW"/>
    </w:rPr>
  </w:style>
  <w:style w:type="paragraph" w:customStyle="1" w:styleId="23">
    <w:name w:val="表格中的样式"/>
    <w:basedOn w:val="1"/>
    <w:qFormat/>
    <w:uiPriority w:val="0"/>
    <w:pPr>
      <w:jc w:val="left"/>
    </w:pPr>
    <w:rPr>
      <w:rFonts w:ascii="宋体" w:hAnsi="宋体"/>
      <w:szCs w:val="21"/>
    </w:rPr>
  </w:style>
  <w:style w:type="paragraph" w:customStyle="1" w:styleId="24">
    <w:name w:val="表格样式"/>
    <w:basedOn w:val="1"/>
    <w:qFormat/>
    <w:uiPriority w:val="0"/>
    <w:pPr>
      <w:widowControl/>
      <w:snapToGrid w:val="0"/>
      <w:spacing w:line="276" w:lineRule="auto"/>
    </w:pPr>
    <w:rPr>
      <w:rFonts w:ascii="宋体" w:hAnsi="宋体" w:eastAsiaTheme="minorEastAsia" w:cstheme="minorBidi"/>
      <w:kern w:val="0"/>
      <w:sz w:val="21"/>
      <w:szCs w:val="21"/>
      <w:lang w:eastAsia="en-US" w:bidi="en-US"/>
    </w:rPr>
  </w:style>
  <w:style w:type="paragraph" w:customStyle="1" w:styleId="25">
    <w:name w:val="表格2"/>
    <w:basedOn w:val="1"/>
    <w:qFormat/>
    <w:uiPriority w:val="0"/>
    <w:pPr>
      <w:widowControl/>
      <w:spacing w:beforeLines="50" w:afterLines="50" w:line="276" w:lineRule="auto"/>
      <w:jc w:val="left"/>
    </w:pPr>
    <w:rPr>
      <w:rFonts w:ascii="Calibri" w:hAnsi="Calibri"/>
    </w:rPr>
  </w:style>
  <w:style w:type="paragraph" w:customStyle="1" w:styleId="26">
    <w:name w:val="标题一"/>
    <w:basedOn w:val="1"/>
    <w:qFormat/>
    <w:uiPriority w:val="0"/>
    <w:pPr>
      <w:ind w:firstLine="200" w:firstLineChars="200"/>
    </w:pPr>
    <w:rPr>
      <w:rFonts w:ascii="仿宋_GB2312" w:hAnsi="仿宋" w:eastAsia="仿宋_GB2312"/>
      <w:b/>
      <w:szCs w:val="28"/>
    </w:rPr>
  </w:style>
  <w:style w:type="paragraph" w:customStyle="1" w:styleId="27">
    <w:name w:val="Default"/>
    <w:qFormat/>
    <w:uiPriority w:val="0"/>
    <w:pPr>
      <w:widowControl w:val="0"/>
      <w:autoSpaceDE w:val="0"/>
      <w:autoSpaceDN w:val="0"/>
      <w:adjustRightInd w:val="0"/>
    </w:pPr>
    <w:rPr>
      <w:rFonts w:ascii="FZFangSong-Z02" w:hAnsi="Times New Roman" w:eastAsia="FZFangSong-Z02" w:cs="FZFangSong-Z02"/>
      <w:color w:val="000000"/>
      <w:sz w:val="24"/>
      <w:szCs w:val="24"/>
      <w:lang w:val="en-US" w:eastAsia="zh-CN" w:bidi="ar-SA"/>
    </w:rPr>
  </w:style>
  <w:style w:type="paragraph" w:customStyle="1" w:styleId="28">
    <w:name w:val="列出段落1"/>
    <w:basedOn w:val="1"/>
    <w:qFormat/>
    <w:uiPriority w:val="34"/>
    <w:pPr>
      <w:ind w:firstLine="420" w:firstLineChars="200"/>
    </w:pPr>
    <w:rPr>
      <w:rFonts w:ascii="Calibri" w:hAnsi="Calibri"/>
      <w:sz w:val="21"/>
      <w:szCs w:val="22"/>
    </w:rPr>
  </w:style>
  <w:style w:type="paragraph" w:customStyle="1" w:styleId="29">
    <w:name w:val="普通(网站)1"/>
    <w:basedOn w:val="1"/>
    <w:qFormat/>
    <w:uiPriority w:val="0"/>
    <w:pPr>
      <w:widowControl/>
      <w:spacing w:before="100" w:beforeAutospacing="1" w:after="100" w:afterAutospacing="1"/>
      <w:ind w:left="420" w:hanging="420"/>
      <w:jc w:val="left"/>
    </w:pPr>
    <w:rPr>
      <w:rFonts w:ascii="宋体" w:hAnsi="宋体" w:cs="宋体"/>
      <w:kern w:val="0"/>
      <w:sz w:val="24"/>
    </w:rPr>
  </w:style>
  <w:style w:type="paragraph" w:customStyle="1" w:styleId="30">
    <w:name w:val="Table Paragraph"/>
    <w:basedOn w:val="1"/>
    <w:qFormat/>
    <w:uiPriority w:val="1"/>
    <w:pPr>
      <w:spacing w:before="59"/>
    </w:pPr>
    <w:rPr>
      <w:rFonts w:ascii="Calibri" w:hAnsi="Calibri" w:eastAsia="Calibri" w:cs="Calibri"/>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footer" Target="footer3.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25.xml"/><Relationship Id="rId43" Type="http://schemas.openxmlformats.org/officeDocument/2006/relationships/header" Target="header17.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footer" Target="footer2.xml"/><Relationship Id="rId39" Type="http://schemas.openxmlformats.org/officeDocument/2006/relationships/header" Target="header16.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header" Target="header15.xml"/><Relationship Id="rId34" Type="http://schemas.openxmlformats.org/officeDocument/2006/relationships/header" Target="header14.xml"/><Relationship Id="rId33" Type="http://schemas.openxmlformats.org/officeDocument/2006/relationships/header" Target="header13.xml"/><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footer" Target="footer17.xml"/><Relationship Id="rId3" Type="http://schemas.openxmlformats.org/officeDocument/2006/relationships/footer" Target="foot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header" Target="header10.xml"/><Relationship Id="rId25" Type="http://schemas.openxmlformats.org/officeDocument/2006/relationships/header" Target="header9.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2022-03-25T07:19:00Z</dcterms:created>
  <dc:creator>邓雨辰</dc:creator>
  <cp:lastModifiedBy>邓雨辰</cp:lastModifiedBy>
  <dcterms:modified xsi:type="dcterms:W3CDTF">2022-04-15T01:43:29Z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