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A1517">
      <w:pPr>
        <w:spacing w:line="360" w:lineRule="auto"/>
        <w:ind w:firstLine="562" w:firstLineChars="200"/>
        <w:jc w:val="center"/>
        <w:rPr>
          <w:rFonts w:hint="eastAsia" w:ascii="宋体" w:hAnsi="宋体" w:eastAsia="宋体"/>
          <w:b/>
          <w:bCs/>
          <w:sz w:val="28"/>
          <w:szCs w:val="28"/>
        </w:rPr>
      </w:pPr>
    </w:p>
    <w:p w14:paraId="36BEF025">
      <w:pPr>
        <w:bidi w:val="0"/>
        <w:spacing w:line="360" w:lineRule="auto"/>
        <w:jc w:val="center"/>
        <w:outlineLvl w:val="0"/>
        <w:rPr>
          <w:rFonts w:hint="eastAsia" w:ascii="华文中宋" w:hAnsi="华文中宋" w:eastAsia="华文中宋" w:cs="华文中宋"/>
          <w:b/>
          <w:bCs/>
          <w:sz w:val="44"/>
          <w:szCs w:val="44"/>
          <w:lang w:eastAsia="zh-CN"/>
        </w:rPr>
      </w:pPr>
      <w:bookmarkStart w:id="0" w:name="_Toc16497"/>
      <w:r>
        <w:rPr>
          <w:rFonts w:hint="eastAsia" w:ascii="华文中宋" w:hAnsi="华文中宋" w:eastAsia="华文中宋" w:cs="华文中宋"/>
          <w:b/>
          <w:bCs/>
          <w:sz w:val="44"/>
          <w:szCs w:val="44"/>
          <w:lang w:eastAsia="zh-CN"/>
        </w:rPr>
        <w:t>第</w:t>
      </w:r>
      <w:r>
        <w:rPr>
          <w:rFonts w:hint="eastAsia" w:ascii="华文中宋" w:hAnsi="华文中宋" w:eastAsia="华文中宋" w:cs="华文中宋"/>
          <w:b/>
          <w:bCs/>
          <w:sz w:val="44"/>
          <w:szCs w:val="44"/>
          <w:lang w:val="en-US" w:eastAsia="zh-CN"/>
        </w:rPr>
        <w:t>四</w:t>
      </w:r>
      <w:r>
        <w:rPr>
          <w:rFonts w:hint="eastAsia" w:ascii="华文中宋" w:hAnsi="华文中宋" w:eastAsia="华文中宋" w:cs="华文中宋"/>
          <w:b/>
          <w:bCs/>
          <w:sz w:val="44"/>
          <w:szCs w:val="44"/>
          <w:lang w:eastAsia="zh-CN"/>
        </w:rPr>
        <w:t>届全国新能源汽车关键技术技能大赛</w:t>
      </w:r>
      <w:bookmarkEnd w:id="0"/>
    </w:p>
    <w:p w14:paraId="794F84DD">
      <w:pPr>
        <w:bidi w:val="0"/>
        <w:spacing w:line="360" w:lineRule="auto"/>
        <w:jc w:val="center"/>
        <w:outlineLvl w:val="0"/>
        <w:rPr>
          <w:rFonts w:hint="eastAsia" w:ascii="华文中宋" w:hAnsi="华文中宋" w:eastAsia="华文中宋" w:cs="华文中宋"/>
          <w:b/>
          <w:bCs/>
          <w:sz w:val="44"/>
          <w:szCs w:val="44"/>
          <w:lang w:eastAsia="zh-CN"/>
        </w:rPr>
      </w:pPr>
      <w:bookmarkStart w:id="1" w:name="_Toc363"/>
      <w:r>
        <w:rPr>
          <w:rFonts w:hint="eastAsia" w:ascii="华文中宋" w:hAnsi="华文中宋" w:eastAsia="华文中宋" w:cs="华文中宋"/>
          <w:b/>
          <w:bCs/>
          <w:sz w:val="44"/>
          <w:szCs w:val="44"/>
          <w:lang w:eastAsia="zh-CN"/>
        </w:rPr>
        <w:t>广西选拔赛</w:t>
      </w:r>
      <w:bookmarkEnd w:id="1"/>
    </w:p>
    <w:p w14:paraId="734CC3BB">
      <w:pPr>
        <w:bidi w:val="0"/>
        <w:spacing w:line="360" w:lineRule="auto"/>
        <w:jc w:val="center"/>
        <w:rPr>
          <w:rFonts w:hint="eastAsia" w:ascii="华文中宋" w:hAnsi="华文中宋" w:eastAsia="华文中宋" w:cs="华文中宋"/>
          <w:b/>
          <w:bCs/>
          <w:sz w:val="40"/>
          <w:szCs w:val="40"/>
          <w:lang w:val="en-AU" w:eastAsia="zh-CN"/>
        </w:rPr>
      </w:pPr>
      <w:r>
        <w:rPr>
          <w:rFonts w:hint="eastAsia" w:ascii="华文中宋" w:hAnsi="华文中宋" w:eastAsia="华文中宋" w:cs="华文中宋"/>
          <w:b/>
          <w:bCs/>
          <w:sz w:val="40"/>
          <w:szCs w:val="40"/>
          <w:lang w:val="en-AU" w:eastAsia="zh-CN"/>
        </w:rPr>
        <w:t>汽车维修检验工（智能载运综合技术方向）</w:t>
      </w:r>
    </w:p>
    <w:p w14:paraId="1522DA77">
      <w:pPr>
        <w:bidi w:val="0"/>
        <w:spacing w:line="360" w:lineRule="auto"/>
        <w:jc w:val="center"/>
        <w:rPr>
          <w:rFonts w:hint="eastAsia" w:ascii="华文中宋" w:hAnsi="华文中宋" w:eastAsia="华文中宋" w:cs="华文中宋"/>
          <w:b/>
          <w:bCs/>
          <w:sz w:val="40"/>
          <w:szCs w:val="40"/>
          <w:lang w:val="en-AU" w:eastAsia="zh-CN"/>
        </w:rPr>
      </w:pPr>
      <w:bookmarkStart w:id="89" w:name="_GoBack"/>
      <w:bookmarkEnd w:id="89"/>
      <w:r>
        <w:rPr>
          <w:rFonts w:hint="eastAsia" w:ascii="华文中宋" w:hAnsi="华文中宋" w:eastAsia="华文中宋" w:cs="华文中宋"/>
          <w:b/>
          <w:bCs/>
          <w:sz w:val="40"/>
          <w:szCs w:val="40"/>
          <w:lang w:val="en-US" w:eastAsia="zh-CN"/>
        </w:rPr>
        <w:t xml:space="preserve">  </w:t>
      </w:r>
      <w:r>
        <w:rPr>
          <w:rFonts w:hint="eastAsia" w:ascii="华文中宋" w:hAnsi="华文中宋" w:eastAsia="华文中宋" w:cs="华文中宋"/>
          <w:b/>
          <w:bCs/>
          <w:sz w:val="40"/>
          <w:szCs w:val="40"/>
          <w:lang w:val="en-AU" w:eastAsia="zh-CN"/>
        </w:rPr>
        <w:t>技术工作文件</w:t>
      </w:r>
    </w:p>
    <w:p w14:paraId="713830E9">
      <w:pPr>
        <w:pStyle w:val="6"/>
        <w:spacing w:line="360" w:lineRule="auto"/>
        <w:rPr>
          <w:rFonts w:hint="eastAsia" w:ascii="仿宋" w:hAnsi="仿宋" w:eastAsia="仿宋" w:cs="仿宋"/>
          <w:sz w:val="28"/>
          <w:szCs w:val="28"/>
        </w:rPr>
      </w:pPr>
    </w:p>
    <w:p w14:paraId="77271477">
      <w:pPr>
        <w:pStyle w:val="6"/>
        <w:spacing w:line="360" w:lineRule="auto"/>
        <w:rPr>
          <w:rFonts w:hint="eastAsia" w:ascii="仿宋" w:hAnsi="仿宋" w:eastAsia="仿宋" w:cs="仿宋"/>
          <w:sz w:val="28"/>
          <w:szCs w:val="28"/>
          <w:lang w:eastAsia="zh-CN"/>
        </w:rPr>
      </w:pPr>
    </w:p>
    <w:p w14:paraId="499B6038">
      <w:pPr>
        <w:pStyle w:val="6"/>
        <w:spacing w:line="360" w:lineRule="auto"/>
        <w:rPr>
          <w:rFonts w:hint="eastAsia" w:ascii="仿宋" w:hAnsi="仿宋" w:eastAsia="仿宋" w:cs="仿宋"/>
          <w:sz w:val="28"/>
          <w:szCs w:val="28"/>
          <w:lang w:eastAsia="zh-CN"/>
        </w:rPr>
      </w:pPr>
    </w:p>
    <w:p w14:paraId="64B172FA">
      <w:pPr>
        <w:pStyle w:val="6"/>
        <w:spacing w:line="360" w:lineRule="auto"/>
        <w:rPr>
          <w:rFonts w:hint="eastAsia" w:ascii="仿宋" w:hAnsi="仿宋" w:eastAsia="仿宋" w:cs="仿宋"/>
          <w:sz w:val="28"/>
          <w:szCs w:val="28"/>
          <w:lang w:eastAsia="zh-CN"/>
        </w:rPr>
      </w:pPr>
    </w:p>
    <w:p w14:paraId="6F186B4D">
      <w:pPr>
        <w:pStyle w:val="6"/>
        <w:spacing w:line="360" w:lineRule="auto"/>
        <w:rPr>
          <w:rFonts w:hint="eastAsia" w:ascii="仿宋" w:hAnsi="仿宋" w:eastAsia="仿宋" w:cs="仿宋"/>
          <w:sz w:val="28"/>
          <w:szCs w:val="28"/>
          <w:lang w:eastAsia="zh-CN"/>
        </w:rPr>
      </w:pPr>
    </w:p>
    <w:p w14:paraId="6A80B6EF">
      <w:pPr>
        <w:pStyle w:val="6"/>
        <w:spacing w:line="360" w:lineRule="auto"/>
        <w:rPr>
          <w:rFonts w:hint="eastAsia" w:ascii="仿宋" w:hAnsi="仿宋" w:eastAsia="仿宋" w:cs="仿宋"/>
          <w:sz w:val="28"/>
          <w:szCs w:val="28"/>
          <w:lang w:eastAsia="zh-CN"/>
        </w:rPr>
      </w:pPr>
    </w:p>
    <w:p w14:paraId="21973DAB">
      <w:pPr>
        <w:pStyle w:val="6"/>
        <w:spacing w:line="360" w:lineRule="auto"/>
        <w:rPr>
          <w:rFonts w:hint="eastAsia" w:ascii="仿宋" w:hAnsi="仿宋" w:eastAsia="仿宋" w:cs="仿宋"/>
          <w:sz w:val="28"/>
          <w:szCs w:val="28"/>
          <w:lang w:eastAsia="zh-CN"/>
        </w:rPr>
      </w:pPr>
    </w:p>
    <w:p w14:paraId="76CDBC60">
      <w:pPr>
        <w:pStyle w:val="6"/>
        <w:spacing w:line="360" w:lineRule="auto"/>
        <w:rPr>
          <w:rFonts w:hint="eastAsia" w:ascii="仿宋" w:hAnsi="仿宋" w:eastAsia="仿宋" w:cs="仿宋"/>
          <w:sz w:val="28"/>
          <w:szCs w:val="28"/>
          <w:lang w:eastAsia="zh-CN"/>
        </w:rPr>
      </w:pPr>
    </w:p>
    <w:p w14:paraId="5A700A7C">
      <w:pPr>
        <w:pStyle w:val="6"/>
        <w:spacing w:line="360" w:lineRule="auto"/>
        <w:rPr>
          <w:rFonts w:hint="eastAsia" w:ascii="仿宋" w:hAnsi="仿宋" w:eastAsia="仿宋" w:cs="仿宋"/>
          <w:sz w:val="28"/>
          <w:szCs w:val="28"/>
          <w:lang w:eastAsia="zh-CN"/>
        </w:rPr>
      </w:pPr>
    </w:p>
    <w:p w14:paraId="12618EC2">
      <w:pPr>
        <w:spacing w:before="104" w:line="360" w:lineRule="auto"/>
        <w:jc w:val="center"/>
        <w:outlineLvl w:val="0"/>
        <w:rPr>
          <w:rFonts w:hint="eastAsia" w:ascii="宋体" w:hAnsi="宋体" w:eastAsia="宋体" w:cs="宋体"/>
          <w:b/>
          <w:bCs/>
          <w:spacing w:val="-3"/>
          <w:position w:val="20"/>
          <w:sz w:val="32"/>
          <w:szCs w:val="32"/>
          <w:lang w:eastAsia="zh-CN"/>
        </w:rPr>
      </w:pPr>
      <w:bookmarkStart w:id="2" w:name="_Toc4926"/>
      <w:r>
        <w:rPr>
          <w:rFonts w:hint="eastAsia" w:ascii="宋体" w:hAnsi="宋体" w:eastAsia="宋体" w:cs="宋体"/>
          <w:b/>
          <w:bCs/>
          <w:spacing w:val="-3"/>
          <w:position w:val="20"/>
          <w:sz w:val="32"/>
          <w:szCs w:val="32"/>
          <w:lang w:eastAsia="zh-CN"/>
        </w:rPr>
        <w:t>第</w:t>
      </w:r>
      <w:r>
        <w:rPr>
          <w:rFonts w:hint="eastAsia" w:ascii="宋体" w:hAnsi="宋体" w:eastAsia="宋体" w:cs="宋体"/>
          <w:b/>
          <w:bCs/>
          <w:spacing w:val="-3"/>
          <w:position w:val="20"/>
          <w:sz w:val="32"/>
          <w:szCs w:val="32"/>
          <w:lang w:val="en-US" w:eastAsia="zh-CN"/>
        </w:rPr>
        <w:t>四</w:t>
      </w:r>
      <w:r>
        <w:rPr>
          <w:rFonts w:hint="eastAsia" w:ascii="宋体" w:hAnsi="宋体" w:eastAsia="宋体" w:cs="宋体"/>
          <w:b/>
          <w:bCs/>
          <w:spacing w:val="-3"/>
          <w:position w:val="20"/>
          <w:sz w:val="32"/>
          <w:szCs w:val="32"/>
          <w:lang w:eastAsia="zh-CN"/>
        </w:rPr>
        <w:t>届全国新能源汽车关键技术技能大赛广西选拔赛</w:t>
      </w:r>
      <w:bookmarkEnd w:id="2"/>
    </w:p>
    <w:p w14:paraId="49C2CA43">
      <w:pPr>
        <w:spacing w:before="104" w:line="360" w:lineRule="auto"/>
        <w:jc w:val="center"/>
        <w:outlineLvl w:val="0"/>
        <w:rPr>
          <w:rFonts w:hint="eastAsia" w:ascii="宋体" w:hAnsi="宋体" w:eastAsia="宋体" w:cs="宋体"/>
          <w:b/>
          <w:bCs/>
          <w:sz w:val="32"/>
          <w:szCs w:val="32"/>
          <w:lang w:eastAsia="zh-CN"/>
        </w:rPr>
      </w:pPr>
      <w:bookmarkStart w:id="3" w:name="_Toc1772"/>
      <w:r>
        <w:rPr>
          <w:rFonts w:hint="eastAsia" w:ascii="宋体" w:hAnsi="宋体" w:eastAsia="宋体" w:cs="宋体"/>
          <w:b/>
          <w:bCs/>
          <w:spacing w:val="-3"/>
          <w:position w:val="20"/>
          <w:sz w:val="32"/>
          <w:szCs w:val="32"/>
          <w:lang w:eastAsia="zh-CN"/>
        </w:rPr>
        <w:t>组委会技术工作组</w:t>
      </w:r>
      <w:bookmarkEnd w:id="3"/>
    </w:p>
    <w:p w14:paraId="2FCE43DD">
      <w:pPr>
        <w:spacing w:line="360" w:lineRule="auto"/>
        <w:jc w:val="center"/>
        <w:rPr>
          <w:rFonts w:hint="eastAsia" w:ascii="宋体" w:hAnsi="宋体" w:eastAsia="宋体" w:cs="宋体"/>
          <w:b/>
          <w:bCs/>
          <w:spacing w:val="-2"/>
          <w:sz w:val="32"/>
          <w:szCs w:val="32"/>
          <w:lang w:eastAsia="zh-CN"/>
        </w:rPr>
      </w:pPr>
      <w:r>
        <w:rPr>
          <w:rFonts w:hint="eastAsia" w:ascii="宋体" w:hAnsi="宋体" w:eastAsia="宋体" w:cs="宋体"/>
          <w:b/>
          <w:bCs/>
          <w:spacing w:val="-2"/>
          <w:sz w:val="32"/>
          <w:szCs w:val="32"/>
          <w:lang w:eastAsia="zh-CN"/>
        </w:rPr>
        <w:t>202</w:t>
      </w:r>
      <w:r>
        <w:rPr>
          <w:rFonts w:hint="eastAsia" w:ascii="宋体" w:hAnsi="宋体" w:eastAsia="宋体" w:cs="宋体"/>
          <w:b/>
          <w:bCs/>
          <w:spacing w:val="-2"/>
          <w:sz w:val="32"/>
          <w:szCs w:val="32"/>
          <w:lang w:val="en-US" w:eastAsia="zh-CN"/>
        </w:rPr>
        <w:t>4</w:t>
      </w:r>
      <w:r>
        <w:rPr>
          <w:rFonts w:hint="eastAsia" w:ascii="宋体" w:hAnsi="宋体" w:eastAsia="宋体" w:cs="宋体"/>
          <w:b/>
          <w:bCs/>
          <w:spacing w:val="-2"/>
          <w:sz w:val="32"/>
          <w:szCs w:val="32"/>
          <w:lang w:eastAsia="zh-CN"/>
        </w:rPr>
        <w:t>年</w:t>
      </w:r>
      <w:r>
        <w:rPr>
          <w:rFonts w:hint="eastAsia" w:ascii="宋体" w:hAnsi="宋体" w:eastAsia="宋体" w:cs="宋体"/>
          <w:b/>
          <w:bCs/>
          <w:spacing w:val="-2"/>
          <w:sz w:val="32"/>
          <w:szCs w:val="32"/>
          <w:lang w:val="en-US" w:eastAsia="zh-CN"/>
        </w:rPr>
        <w:t>9</w:t>
      </w:r>
      <w:r>
        <w:rPr>
          <w:rFonts w:hint="eastAsia" w:ascii="宋体" w:hAnsi="宋体" w:eastAsia="宋体" w:cs="宋体"/>
          <w:b/>
          <w:bCs/>
          <w:spacing w:val="-2"/>
          <w:sz w:val="32"/>
          <w:szCs w:val="32"/>
          <w:lang w:eastAsia="zh-CN"/>
        </w:rPr>
        <w:t>月</w:t>
      </w:r>
    </w:p>
    <w:p w14:paraId="1B1ED3B7">
      <w:pPr>
        <w:pStyle w:val="2"/>
        <w:rPr>
          <w:rFonts w:hint="eastAsia" w:ascii="宋体" w:hAnsi="宋体" w:eastAsia="宋体" w:cs="宋体"/>
          <w:b/>
          <w:bCs/>
          <w:spacing w:val="-2"/>
          <w:sz w:val="32"/>
          <w:szCs w:val="32"/>
          <w:lang w:eastAsia="zh-CN"/>
        </w:rPr>
      </w:pPr>
    </w:p>
    <w:p w14:paraId="04D15640">
      <w:pPr>
        <w:pStyle w:val="2"/>
        <w:rPr>
          <w:rFonts w:hint="eastAsia" w:ascii="宋体" w:hAnsi="宋体" w:eastAsia="宋体" w:cs="宋体"/>
          <w:b/>
          <w:bCs/>
          <w:spacing w:val="-2"/>
          <w:sz w:val="32"/>
          <w:szCs w:val="32"/>
          <w:lang w:eastAsia="zh-CN"/>
        </w:rPr>
      </w:pPr>
    </w:p>
    <w:p w14:paraId="0B9B7A9F">
      <w:pPr>
        <w:pStyle w:val="2"/>
        <w:rPr>
          <w:rFonts w:hint="eastAsia" w:ascii="宋体" w:hAnsi="宋体" w:eastAsia="宋体" w:cs="宋体"/>
          <w:b/>
          <w:bCs/>
          <w:spacing w:val="-2"/>
          <w:sz w:val="32"/>
          <w:szCs w:val="32"/>
          <w:lang w:eastAsia="zh-CN"/>
        </w:rPr>
      </w:pPr>
    </w:p>
    <w:p w14:paraId="4D48F56F">
      <w:pPr>
        <w:pStyle w:val="2"/>
        <w:rPr>
          <w:rFonts w:hint="eastAsia" w:ascii="宋体" w:hAnsi="宋体" w:eastAsia="宋体" w:cs="宋体"/>
          <w:b/>
          <w:bCs/>
          <w:spacing w:val="-2"/>
          <w:sz w:val="32"/>
          <w:szCs w:val="32"/>
          <w:lang w:eastAsia="zh-CN"/>
        </w:rPr>
      </w:pPr>
    </w:p>
    <w:p w14:paraId="5D998FB6">
      <w:pPr>
        <w:pStyle w:val="2"/>
        <w:rPr>
          <w:rFonts w:hint="eastAsia" w:ascii="宋体" w:hAnsi="宋体" w:eastAsia="宋体" w:cs="宋体"/>
          <w:b/>
          <w:bCs/>
          <w:spacing w:val="-2"/>
          <w:sz w:val="32"/>
          <w:szCs w:val="32"/>
          <w:lang w:eastAsia="zh-CN"/>
        </w:rPr>
      </w:pPr>
    </w:p>
    <w:p w14:paraId="4A640E83">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sectPr>
          <w:footerReference r:id="rId3" w:type="default"/>
          <w:pgSz w:w="11905" w:h="16834"/>
          <w:pgMar w:top="1430" w:right="1300" w:bottom="0" w:left="1785" w:header="227" w:footer="283" w:gutter="0"/>
          <w:pgNumType w:start="1"/>
          <w:cols w:space="720" w:num="1"/>
          <w:docGrid w:linePitch="286" w:charSpace="0"/>
        </w:sectPr>
      </w:pPr>
    </w:p>
    <w:sdt>
      <w:sdtPr>
        <w:rPr>
          <w:rFonts w:ascii="宋体" w:hAnsi="宋体" w:eastAsia="宋体" w:cstheme="minorBidi"/>
          <w:kern w:val="2"/>
          <w:sz w:val="21"/>
          <w:szCs w:val="22"/>
          <w:lang w:val="en-US" w:eastAsia="zh-CN" w:bidi="ar-SA"/>
        </w:rPr>
        <w:id w:val="147465701"/>
        <w15:color w:val="DBDBDB"/>
        <w:docPartObj>
          <w:docPartGallery w:val="Table of Contents"/>
          <w:docPartUnique/>
        </w:docPartObj>
      </w:sdtPr>
      <w:sdtEndPr>
        <w:rPr>
          <w:rFonts w:hint="eastAsia" w:ascii="宋体" w:hAnsi="宋体" w:eastAsia="宋体" w:cs="宋体"/>
          <w:bCs/>
          <w:spacing w:val="-2"/>
          <w:kern w:val="2"/>
          <w:sz w:val="18"/>
          <w:szCs w:val="32"/>
          <w:lang w:val="en-US" w:eastAsia="zh-CN" w:bidi="ar-SA"/>
        </w:rPr>
      </w:sdtEndPr>
      <w:sdtContent>
        <w:p w14:paraId="36B19F2F">
          <w:pPr>
            <w:spacing w:before="0" w:beforeLines="0" w:after="0" w:afterLines="0" w:line="240" w:lineRule="auto"/>
            <w:ind w:left="0" w:leftChars="0" w:right="0" w:rightChars="0" w:firstLine="0" w:firstLineChars="0"/>
            <w:jc w:val="center"/>
            <w:rPr>
              <w:sz w:val="44"/>
              <w:szCs w:val="48"/>
            </w:rPr>
          </w:pPr>
          <w:r>
            <w:rPr>
              <w:rFonts w:ascii="宋体" w:hAnsi="宋体" w:eastAsia="宋体"/>
              <w:sz w:val="44"/>
              <w:szCs w:val="48"/>
            </w:rPr>
            <w:t>目</w:t>
          </w:r>
          <w:r>
            <w:rPr>
              <w:rFonts w:hint="eastAsia" w:ascii="宋体" w:hAnsi="宋体" w:eastAsia="宋体"/>
              <w:sz w:val="44"/>
              <w:szCs w:val="48"/>
              <w:lang w:val="en-US" w:eastAsia="zh-CN"/>
            </w:rPr>
            <w:t xml:space="preserve">  </w:t>
          </w:r>
          <w:r>
            <w:rPr>
              <w:rFonts w:ascii="宋体" w:hAnsi="宋体" w:eastAsia="宋体"/>
              <w:sz w:val="44"/>
              <w:szCs w:val="48"/>
            </w:rPr>
            <w:t>录</w:t>
          </w:r>
        </w:p>
        <w:p w14:paraId="14FDD53B">
          <w:pPr>
            <w:pStyle w:val="9"/>
            <w:tabs>
              <w:tab w:val="right" w:leader="dot" w:pos="8820"/>
            </w:tabs>
          </w:pPr>
          <w:r>
            <w:rPr>
              <w:rFonts w:hint="eastAsia" w:ascii="宋体" w:hAnsi="宋体" w:eastAsia="宋体" w:cs="宋体"/>
              <w:b/>
              <w:bCs/>
              <w:spacing w:val="-2"/>
              <w:kern w:val="2"/>
              <w:sz w:val="32"/>
              <w:szCs w:val="32"/>
              <w:lang w:val="en-US" w:eastAsia="zh-CN" w:bidi="ar-SA"/>
            </w:rPr>
            <w:fldChar w:fldCharType="begin"/>
          </w:r>
          <w:r>
            <w:rPr>
              <w:rFonts w:hint="eastAsia" w:ascii="宋体" w:hAnsi="宋体" w:eastAsia="宋体" w:cs="宋体"/>
              <w:b/>
              <w:bCs/>
              <w:spacing w:val="-2"/>
              <w:kern w:val="2"/>
              <w:sz w:val="32"/>
              <w:szCs w:val="32"/>
              <w:lang w:val="en-US" w:eastAsia="zh-CN" w:bidi="ar-SA"/>
            </w:rPr>
            <w:instrText xml:space="preserve">TOC \o "1-3" \h \u </w:instrText>
          </w:r>
          <w:r>
            <w:rPr>
              <w:rFonts w:hint="eastAsia" w:ascii="宋体" w:hAnsi="宋体" w:eastAsia="宋体" w:cs="宋体"/>
              <w:b/>
              <w:bCs/>
              <w:spacing w:val="-2"/>
              <w:kern w:val="2"/>
              <w:sz w:val="32"/>
              <w:szCs w:val="32"/>
              <w:lang w:val="en-US" w:eastAsia="zh-CN" w:bidi="ar-SA"/>
            </w:rPr>
            <w:fldChar w:fldCharType="separate"/>
          </w:r>
        </w:p>
        <w:p w14:paraId="1080278A">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_Toc31262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一、项目描述</w:t>
          </w:r>
          <w:r>
            <w:tab/>
          </w:r>
          <w:r>
            <w:fldChar w:fldCharType="begin"/>
          </w:r>
          <w:r>
            <w:instrText xml:space="preserve"> PAGEREF _Toc31262 \h </w:instrText>
          </w:r>
          <w:r>
            <w:fldChar w:fldCharType="separate"/>
          </w:r>
          <w:r>
            <w:t>2</w:t>
          </w:r>
          <w:r>
            <w:fldChar w:fldCharType="end"/>
          </w:r>
          <w:r>
            <w:rPr>
              <w:rFonts w:hint="eastAsia" w:ascii="宋体" w:hAnsi="宋体" w:eastAsia="宋体" w:cs="宋体"/>
              <w:bCs/>
              <w:spacing w:val="-2"/>
              <w:kern w:val="2"/>
              <w:szCs w:val="32"/>
              <w:lang w:val="en-US" w:eastAsia="zh-CN" w:bidi="ar-SA"/>
            </w:rPr>
            <w:fldChar w:fldCharType="end"/>
          </w:r>
        </w:p>
        <w:p w14:paraId="4BEA1D0C">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_Toc6340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（一）技术基本描述</w:t>
          </w:r>
          <w:r>
            <w:tab/>
          </w:r>
          <w:r>
            <w:fldChar w:fldCharType="begin"/>
          </w:r>
          <w:r>
            <w:instrText xml:space="preserve"> PAGEREF _Toc6340 \h </w:instrText>
          </w:r>
          <w:r>
            <w:fldChar w:fldCharType="separate"/>
          </w:r>
          <w:r>
            <w:t>2</w:t>
          </w:r>
          <w:r>
            <w:fldChar w:fldCharType="end"/>
          </w:r>
          <w:r>
            <w:rPr>
              <w:rFonts w:hint="eastAsia" w:ascii="宋体" w:hAnsi="宋体" w:eastAsia="宋体" w:cs="宋体"/>
              <w:bCs/>
              <w:spacing w:val="-2"/>
              <w:kern w:val="2"/>
              <w:szCs w:val="32"/>
              <w:lang w:val="en-US" w:eastAsia="zh-CN" w:bidi="ar-SA"/>
            </w:rPr>
            <w:fldChar w:fldCharType="end"/>
          </w:r>
        </w:p>
        <w:p w14:paraId="7936D6C9">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_Toc25263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（二）技术能力要求</w:t>
          </w:r>
          <w:r>
            <w:tab/>
          </w:r>
          <w:r>
            <w:fldChar w:fldCharType="begin"/>
          </w:r>
          <w:r>
            <w:instrText xml:space="preserve"> PAGEREF _Toc25263 \h </w:instrText>
          </w:r>
          <w:r>
            <w:fldChar w:fldCharType="separate"/>
          </w:r>
          <w:r>
            <w:t>3</w:t>
          </w:r>
          <w:r>
            <w:fldChar w:fldCharType="end"/>
          </w:r>
          <w:r>
            <w:rPr>
              <w:rFonts w:hint="eastAsia" w:ascii="宋体" w:hAnsi="宋体" w:eastAsia="宋体" w:cs="宋体"/>
              <w:bCs/>
              <w:spacing w:val="-2"/>
              <w:kern w:val="2"/>
              <w:szCs w:val="32"/>
              <w:lang w:val="en-US" w:eastAsia="zh-CN" w:bidi="ar-SA"/>
            </w:rPr>
            <w:fldChar w:fldCharType="end"/>
          </w:r>
        </w:p>
        <w:p w14:paraId="5F064180">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_Toc27205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（三）基本知识要求</w:t>
          </w:r>
          <w:r>
            <w:tab/>
          </w:r>
          <w:r>
            <w:fldChar w:fldCharType="begin"/>
          </w:r>
          <w:r>
            <w:instrText xml:space="preserve"> PAGEREF _Toc27205 \h </w:instrText>
          </w:r>
          <w:r>
            <w:fldChar w:fldCharType="separate"/>
          </w:r>
          <w:r>
            <w:t>3</w:t>
          </w:r>
          <w:r>
            <w:fldChar w:fldCharType="end"/>
          </w:r>
          <w:r>
            <w:rPr>
              <w:rFonts w:hint="eastAsia" w:ascii="宋体" w:hAnsi="宋体" w:eastAsia="宋体" w:cs="宋体"/>
              <w:bCs/>
              <w:spacing w:val="-2"/>
              <w:kern w:val="2"/>
              <w:szCs w:val="32"/>
              <w:lang w:val="en-US" w:eastAsia="zh-CN" w:bidi="ar-SA"/>
            </w:rPr>
            <w:fldChar w:fldCharType="end"/>
          </w:r>
        </w:p>
        <w:p w14:paraId="34FDF81B">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_Toc24067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（四）职业素养与安全要求</w:t>
          </w:r>
          <w:r>
            <w:tab/>
          </w:r>
          <w:r>
            <w:fldChar w:fldCharType="begin"/>
          </w:r>
          <w:r>
            <w:instrText xml:space="preserve"> PAGEREF _Toc24067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66FB6922">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_Toc16238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二、竞赛题目</w:t>
          </w:r>
          <w:r>
            <w:tab/>
          </w:r>
          <w:r>
            <w:fldChar w:fldCharType="begin"/>
          </w:r>
          <w:r>
            <w:instrText xml:space="preserve"> PAGEREF _Toc16238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4BFD0252">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_Toc23962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（一）竞赛分组</w:t>
          </w:r>
          <w:r>
            <w:tab/>
          </w:r>
          <w:r>
            <w:fldChar w:fldCharType="begin"/>
          </w:r>
          <w:r>
            <w:instrText xml:space="preserve"> PAGEREF _Toc23962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7E74FFA3">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_Toc248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（二）竞赛形式</w:t>
          </w:r>
          <w:r>
            <w:tab/>
          </w:r>
          <w:r>
            <w:fldChar w:fldCharType="begin"/>
          </w:r>
          <w:r>
            <w:instrText xml:space="preserve"> PAGEREF _Toc248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70FE88E0">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_Toc3499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（三）命题标准</w:t>
          </w:r>
          <w:r>
            <w:tab/>
          </w:r>
          <w:r>
            <w:fldChar w:fldCharType="begin"/>
          </w:r>
          <w:r>
            <w:instrText xml:space="preserve"> PAGEREF _Toc3499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0B26749D">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_Toc29149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（四）命题内容与竞赛时间</w:t>
          </w:r>
          <w:r>
            <w:tab/>
          </w:r>
          <w:r>
            <w:fldChar w:fldCharType="begin"/>
          </w:r>
          <w:r>
            <w:instrText xml:space="preserve"> PAGEREF _Toc29149 \h </w:instrText>
          </w:r>
          <w:r>
            <w:fldChar w:fldCharType="separate"/>
          </w:r>
          <w:r>
            <w:t>4</w:t>
          </w:r>
          <w:r>
            <w:fldChar w:fldCharType="end"/>
          </w:r>
          <w:r>
            <w:rPr>
              <w:rFonts w:hint="eastAsia" w:ascii="宋体" w:hAnsi="宋体" w:eastAsia="宋体" w:cs="宋体"/>
              <w:bCs/>
              <w:spacing w:val="-2"/>
              <w:kern w:val="2"/>
              <w:szCs w:val="32"/>
              <w:lang w:val="en-US" w:eastAsia="zh-CN" w:bidi="ar-SA"/>
            </w:rPr>
            <w:fldChar w:fldCharType="end"/>
          </w:r>
        </w:p>
        <w:p w14:paraId="0A67DC59">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_Toc6738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三、评判方式</w:t>
          </w:r>
          <w:r>
            <w:tab/>
          </w:r>
          <w:r>
            <w:fldChar w:fldCharType="begin"/>
          </w:r>
          <w:r>
            <w:instrText xml:space="preserve"> PAGEREF _Toc6738 \h </w:instrText>
          </w:r>
          <w:r>
            <w:fldChar w:fldCharType="separate"/>
          </w:r>
          <w:r>
            <w:t>5</w:t>
          </w:r>
          <w:r>
            <w:fldChar w:fldCharType="end"/>
          </w:r>
          <w:r>
            <w:rPr>
              <w:rFonts w:hint="eastAsia" w:ascii="宋体" w:hAnsi="宋体" w:eastAsia="宋体" w:cs="宋体"/>
              <w:bCs/>
              <w:spacing w:val="-2"/>
              <w:kern w:val="2"/>
              <w:szCs w:val="32"/>
              <w:lang w:val="en-US" w:eastAsia="zh-CN" w:bidi="ar-SA"/>
            </w:rPr>
            <w:fldChar w:fldCharType="end"/>
          </w:r>
        </w:p>
        <w:p w14:paraId="34FB311C">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_Toc1539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（一）评判流程</w:t>
          </w:r>
          <w:r>
            <w:tab/>
          </w:r>
          <w:r>
            <w:fldChar w:fldCharType="begin"/>
          </w:r>
          <w:r>
            <w:instrText xml:space="preserve"> PAGEREF _Toc1539 \h </w:instrText>
          </w:r>
          <w:r>
            <w:fldChar w:fldCharType="separate"/>
          </w:r>
          <w:r>
            <w:t>5</w:t>
          </w:r>
          <w:r>
            <w:fldChar w:fldCharType="end"/>
          </w:r>
          <w:r>
            <w:rPr>
              <w:rFonts w:hint="eastAsia" w:ascii="宋体" w:hAnsi="宋体" w:eastAsia="宋体" w:cs="宋体"/>
              <w:bCs/>
              <w:spacing w:val="-2"/>
              <w:kern w:val="2"/>
              <w:szCs w:val="32"/>
              <w:lang w:val="en-US" w:eastAsia="zh-CN" w:bidi="ar-SA"/>
            </w:rPr>
            <w:fldChar w:fldCharType="end"/>
          </w:r>
        </w:p>
        <w:p w14:paraId="0FC8D68F">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_Toc22974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（二）评判方法</w:t>
          </w:r>
          <w:r>
            <w:tab/>
          </w:r>
          <w:r>
            <w:fldChar w:fldCharType="begin"/>
          </w:r>
          <w:r>
            <w:instrText xml:space="preserve"> PAGEREF _Toc22974 \h </w:instrText>
          </w:r>
          <w:r>
            <w:fldChar w:fldCharType="separate"/>
          </w:r>
          <w:r>
            <w:t>5</w:t>
          </w:r>
          <w:r>
            <w:fldChar w:fldCharType="end"/>
          </w:r>
          <w:r>
            <w:rPr>
              <w:rFonts w:hint="eastAsia" w:ascii="宋体" w:hAnsi="宋体" w:eastAsia="宋体" w:cs="宋体"/>
              <w:bCs/>
              <w:spacing w:val="-2"/>
              <w:kern w:val="2"/>
              <w:szCs w:val="32"/>
              <w:lang w:val="en-US" w:eastAsia="zh-CN" w:bidi="ar-SA"/>
            </w:rPr>
            <w:fldChar w:fldCharType="end"/>
          </w:r>
        </w:p>
        <w:p w14:paraId="5E1EDECF">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_Toc17208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（三）成绩复核</w:t>
          </w:r>
          <w:r>
            <w:tab/>
          </w:r>
          <w:r>
            <w:fldChar w:fldCharType="begin"/>
          </w:r>
          <w:r>
            <w:instrText xml:space="preserve"> PAGEREF _Toc17208 \h </w:instrText>
          </w:r>
          <w:r>
            <w:fldChar w:fldCharType="separate"/>
          </w:r>
          <w:r>
            <w:t>6</w:t>
          </w:r>
          <w:r>
            <w:fldChar w:fldCharType="end"/>
          </w:r>
          <w:r>
            <w:rPr>
              <w:rFonts w:hint="eastAsia" w:ascii="宋体" w:hAnsi="宋体" w:eastAsia="宋体" w:cs="宋体"/>
              <w:bCs/>
              <w:spacing w:val="-2"/>
              <w:kern w:val="2"/>
              <w:szCs w:val="32"/>
              <w:lang w:val="en-US" w:eastAsia="zh-CN" w:bidi="ar-SA"/>
            </w:rPr>
            <w:fldChar w:fldCharType="end"/>
          </w:r>
        </w:p>
        <w:p w14:paraId="5C4D6368">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_Toc22552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（四）最终成绩</w:t>
          </w:r>
          <w:r>
            <w:tab/>
          </w:r>
          <w:r>
            <w:fldChar w:fldCharType="begin"/>
          </w:r>
          <w:r>
            <w:instrText xml:space="preserve"> PAGEREF _Toc22552 \h </w:instrText>
          </w:r>
          <w:r>
            <w:fldChar w:fldCharType="separate"/>
          </w:r>
          <w:r>
            <w:t>6</w:t>
          </w:r>
          <w:r>
            <w:fldChar w:fldCharType="end"/>
          </w:r>
          <w:r>
            <w:rPr>
              <w:rFonts w:hint="eastAsia" w:ascii="宋体" w:hAnsi="宋体" w:eastAsia="宋体" w:cs="宋体"/>
              <w:bCs/>
              <w:spacing w:val="-2"/>
              <w:kern w:val="2"/>
              <w:szCs w:val="32"/>
              <w:lang w:val="en-US" w:eastAsia="zh-CN" w:bidi="ar-SA"/>
            </w:rPr>
            <w:fldChar w:fldCharType="end"/>
          </w:r>
        </w:p>
        <w:p w14:paraId="0DBC5F7D">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_Toc32640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（五）成绩排序</w:t>
          </w:r>
          <w:r>
            <w:tab/>
          </w:r>
          <w:r>
            <w:fldChar w:fldCharType="begin"/>
          </w:r>
          <w:r>
            <w:instrText xml:space="preserve"> PAGEREF _Toc32640 \h </w:instrText>
          </w:r>
          <w:r>
            <w:fldChar w:fldCharType="separate"/>
          </w:r>
          <w:r>
            <w:t>6</w:t>
          </w:r>
          <w:r>
            <w:fldChar w:fldCharType="end"/>
          </w:r>
          <w:r>
            <w:rPr>
              <w:rFonts w:hint="eastAsia" w:ascii="宋体" w:hAnsi="宋体" w:eastAsia="宋体" w:cs="宋体"/>
              <w:bCs/>
              <w:spacing w:val="-2"/>
              <w:kern w:val="2"/>
              <w:szCs w:val="32"/>
              <w:lang w:val="en-US" w:eastAsia="zh-CN" w:bidi="ar-SA"/>
            </w:rPr>
            <w:fldChar w:fldCharType="end"/>
          </w:r>
        </w:p>
        <w:p w14:paraId="3426EE38">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_Toc15048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四、大赛基础设施</w:t>
          </w:r>
          <w:r>
            <w:tab/>
          </w:r>
          <w:r>
            <w:fldChar w:fldCharType="begin"/>
          </w:r>
          <w:r>
            <w:instrText xml:space="preserve"> PAGEREF _Toc15048 \h </w:instrText>
          </w:r>
          <w:r>
            <w:fldChar w:fldCharType="separate"/>
          </w:r>
          <w:r>
            <w:t>6</w:t>
          </w:r>
          <w:r>
            <w:fldChar w:fldCharType="end"/>
          </w:r>
          <w:r>
            <w:rPr>
              <w:rFonts w:hint="eastAsia" w:ascii="宋体" w:hAnsi="宋体" w:eastAsia="宋体" w:cs="宋体"/>
              <w:bCs/>
              <w:spacing w:val="-2"/>
              <w:kern w:val="2"/>
              <w:szCs w:val="32"/>
              <w:lang w:val="en-US" w:eastAsia="zh-CN" w:bidi="ar-SA"/>
            </w:rPr>
            <w:fldChar w:fldCharType="end"/>
          </w:r>
        </w:p>
        <w:p w14:paraId="2DE1E072">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_Toc29707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五、大赛竞赛流程</w:t>
          </w:r>
          <w:r>
            <w:tab/>
          </w:r>
          <w:r>
            <w:fldChar w:fldCharType="begin"/>
          </w:r>
          <w:r>
            <w:instrText xml:space="preserve"> PAGEREF _Toc29707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7F903F65">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_Toc14998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（一）场次安排</w:t>
          </w:r>
          <w:r>
            <w:tab/>
          </w:r>
          <w:r>
            <w:fldChar w:fldCharType="begin"/>
          </w:r>
          <w:r>
            <w:instrText xml:space="preserve"> PAGEREF _Toc14998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6494EC65">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_Toc30130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（二）场次和工位抽签</w:t>
          </w:r>
          <w:r>
            <w:tab/>
          </w:r>
          <w:r>
            <w:fldChar w:fldCharType="begin"/>
          </w:r>
          <w:r>
            <w:instrText xml:space="preserve"> PAGEREF _Toc30130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09957D9E">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_Toc6161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（三）日程安排</w:t>
          </w:r>
          <w:r>
            <w:tab/>
          </w:r>
          <w:r>
            <w:fldChar w:fldCharType="begin"/>
          </w:r>
          <w:r>
            <w:instrText xml:space="preserve"> PAGEREF _Toc6161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5308E381">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_Toc30222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六、裁判员条件和工作内容</w:t>
          </w:r>
          <w:r>
            <w:tab/>
          </w:r>
          <w:r>
            <w:fldChar w:fldCharType="begin"/>
          </w:r>
          <w:r>
            <w:instrText xml:space="preserve"> PAGEREF _Toc30222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6BC7B189">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_Toc3133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（一）裁判长</w:t>
          </w:r>
          <w:r>
            <w:tab/>
          </w:r>
          <w:r>
            <w:fldChar w:fldCharType="begin"/>
          </w:r>
          <w:r>
            <w:instrText xml:space="preserve"> PAGEREF _Toc3133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1C4B4E75">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_Toc31473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（二）裁判员的条件和组成</w:t>
          </w:r>
          <w:r>
            <w:tab/>
          </w:r>
          <w:r>
            <w:fldChar w:fldCharType="begin"/>
          </w:r>
          <w:r>
            <w:instrText xml:space="preserve"> PAGEREF _Toc31473 \h </w:instrText>
          </w:r>
          <w:r>
            <w:fldChar w:fldCharType="separate"/>
          </w:r>
          <w:r>
            <w:t>7</w:t>
          </w:r>
          <w:r>
            <w:fldChar w:fldCharType="end"/>
          </w:r>
          <w:r>
            <w:rPr>
              <w:rFonts w:hint="eastAsia" w:ascii="宋体" w:hAnsi="宋体" w:eastAsia="宋体" w:cs="宋体"/>
              <w:bCs/>
              <w:spacing w:val="-2"/>
              <w:kern w:val="2"/>
              <w:szCs w:val="32"/>
              <w:lang w:val="en-US" w:eastAsia="zh-CN" w:bidi="ar-SA"/>
            </w:rPr>
            <w:fldChar w:fldCharType="end"/>
          </w:r>
        </w:p>
        <w:p w14:paraId="6364269B">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_Toc5629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（三）裁判员的工作内容</w:t>
          </w:r>
          <w:r>
            <w:tab/>
          </w:r>
          <w:r>
            <w:fldChar w:fldCharType="begin"/>
          </w:r>
          <w:r>
            <w:instrText xml:space="preserve"> PAGEREF _Toc5629 \h </w:instrText>
          </w:r>
          <w:r>
            <w:fldChar w:fldCharType="separate"/>
          </w:r>
          <w:r>
            <w:t>8</w:t>
          </w:r>
          <w:r>
            <w:fldChar w:fldCharType="end"/>
          </w:r>
          <w:r>
            <w:rPr>
              <w:rFonts w:hint="eastAsia" w:ascii="宋体" w:hAnsi="宋体" w:eastAsia="宋体" w:cs="宋体"/>
              <w:bCs/>
              <w:spacing w:val="-2"/>
              <w:kern w:val="2"/>
              <w:szCs w:val="32"/>
              <w:lang w:val="en-US" w:eastAsia="zh-CN" w:bidi="ar-SA"/>
            </w:rPr>
            <w:fldChar w:fldCharType="end"/>
          </w:r>
        </w:p>
        <w:p w14:paraId="6DA49740">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_Toc7150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（四）裁判员在评判工作中的任务</w:t>
          </w:r>
          <w:r>
            <w:tab/>
          </w:r>
          <w:r>
            <w:fldChar w:fldCharType="begin"/>
          </w:r>
          <w:r>
            <w:instrText xml:space="preserve"> PAGEREF _Toc7150 \h </w:instrText>
          </w:r>
          <w:r>
            <w:fldChar w:fldCharType="separate"/>
          </w:r>
          <w:r>
            <w:t>9</w:t>
          </w:r>
          <w:r>
            <w:fldChar w:fldCharType="end"/>
          </w:r>
          <w:r>
            <w:rPr>
              <w:rFonts w:hint="eastAsia" w:ascii="宋体" w:hAnsi="宋体" w:eastAsia="宋体" w:cs="宋体"/>
              <w:bCs/>
              <w:spacing w:val="-2"/>
              <w:kern w:val="2"/>
              <w:szCs w:val="32"/>
              <w:lang w:val="en-US" w:eastAsia="zh-CN" w:bidi="ar-SA"/>
            </w:rPr>
            <w:fldChar w:fldCharType="end"/>
          </w:r>
        </w:p>
        <w:p w14:paraId="22E68DD4">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_Toc1717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（五）裁判员在评判中的纪律和要求</w:t>
          </w:r>
          <w:r>
            <w:tab/>
          </w:r>
          <w:r>
            <w:fldChar w:fldCharType="begin"/>
          </w:r>
          <w:r>
            <w:instrText xml:space="preserve"> PAGEREF _Toc1717 \h </w:instrText>
          </w:r>
          <w:r>
            <w:fldChar w:fldCharType="separate"/>
          </w:r>
          <w:r>
            <w:t>9</w:t>
          </w:r>
          <w:r>
            <w:fldChar w:fldCharType="end"/>
          </w:r>
          <w:r>
            <w:rPr>
              <w:rFonts w:hint="eastAsia" w:ascii="宋体" w:hAnsi="宋体" w:eastAsia="宋体" w:cs="宋体"/>
              <w:bCs/>
              <w:spacing w:val="-2"/>
              <w:kern w:val="2"/>
              <w:szCs w:val="32"/>
              <w:lang w:val="en-US" w:eastAsia="zh-CN" w:bidi="ar-SA"/>
            </w:rPr>
            <w:fldChar w:fldCharType="end"/>
          </w:r>
        </w:p>
        <w:p w14:paraId="7A9541FC">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_Toc8316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七、选手的条件和工作内容</w:t>
          </w:r>
          <w:r>
            <w:tab/>
          </w:r>
          <w:r>
            <w:fldChar w:fldCharType="begin"/>
          </w:r>
          <w:r>
            <w:instrText xml:space="preserve"> PAGEREF _Toc8316 \h </w:instrText>
          </w:r>
          <w:r>
            <w:fldChar w:fldCharType="separate"/>
          </w:r>
          <w:r>
            <w:t>9</w:t>
          </w:r>
          <w:r>
            <w:fldChar w:fldCharType="end"/>
          </w:r>
          <w:r>
            <w:rPr>
              <w:rFonts w:hint="eastAsia" w:ascii="宋体" w:hAnsi="宋体" w:eastAsia="宋体" w:cs="宋体"/>
              <w:bCs/>
              <w:spacing w:val="-2"/>
              <w:kern w:val="2"/>
              <w:szCs w:val="32"/>
              <w:lang w:val="en-US" w:eastAsia="zh-CN" w:bidi="ar-SA"/>
            </w:rPr>
            <w:fldChar w:fldCharType="end"/>
          </w:r>
        </w:p>
        <w:p w14:paraId="392432C0">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_Toc28930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（一）选手的条件和要求</w:t>
          </w:r>
          <w:r>
            <w:tab/>
          </w:r>
          <w:r>
            <w:fldChar w:fldCharType="begin"/>
          </w:r>
          <w:r>
            <w:instrText xml:space="preserve"> PAGEREF _Toc28930 \h </w:instrText>
          </w:r>
          <w:r>
            <w:fldChar w:fldCharType="separate"/>
          </w:r>
          <w:r>
            <w:t>10</w:t>
          </w:r>
          <w:r>
            <w:fldChar w:fldCharType="end"/>
          </w:r>
          <w:r>
            <w:rPr>
              <w:rFonts w:hint="eastAsia" w:ascii="宋体" w:hAnsi="宋体" w:eastAsia="宋体" w:cs="宋体"/>
              <w:bCs/>
              <w:spacing w:val="-2"/>
              <w:kern w:val="2"/>
              <w:szCs w:val="32"/>
              <w:lang w:val="en-US" w:eastAsia="zh-CN" w:bidi="ar-SA"/>
            </w:rPr>
            <w:fldChar w:fldCharType="end"/>
          </w:r>
        </w:p>
        <w:p w14:paraId="0E5B0703">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_Toc9299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（二）选手的工作内容</w:t>
          </w:r>
          <w:r>
            <w:tab/>
          </w:r>
          <w:r>
            <w:fldChar w:fldCharType="begin"/>
          </w:r>
          <w:r>
            <w:instrText xml:space="preserve"> PAGEREF _Toc9299 \h </w:instrText>
          </w:r>
          <w:r>
            <w:fldChar w:fldCharType="separate"/>
          </w:r>
          <w:r>
            <w:t>10</w:t>
          </w:r>
          <w:r>
            <w:fldChar w:fldCharType="end"/>
          </w:r>
          <w:r>
            <w:rPr>
              <w:rFonts w:hint="eastAsia" w:ascii="宋体" w:hAnsi="宋体" w:eastAsia="宋体" w:cs="宋体"/>
              <w:bCs/>
              <w:spacing w:val="-2"/>
              <w:kern w:val="2"/>
              <w:szCs w:val="32"/>
              <w:lang w:val="en-US" w:eastAsia="zh-CN" w:bidi="ar-SA"/>
            </w:rPr>
            <w:fldChar w:fldCharType="end"/>
          </w:r>
        </w:p>
        <w:p w14:paraId="653D2638">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_Toc13093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（三）赛场纪律</w:t>
          </w:r>
          <w:r>
            <w:tab/>
          </w:r>
          <w:r>
            <w:fldChar w:fldCharType="begin"/>
          </w:r>
          <w:r>
            <w:instrText xml:space="preserve"> PAGEREF _Toc13093 \h </w:instrText>
          </w:r>
          <w:r>
            <w:fldChar w:fldCharType="separate"/>
          </w:r>
          <w:r>
            <w:t>10</w:t>
          </w:r>
          <w:r>
            <w:fldChar w:fldCharType="end"/>
          </w:r>
          <w:r>
            <w:rPr>
              <w:rFonts w:hint="eastAsia" w:ascii="宋体" w:hAnsi="宋体" w:eastAsia="宋体" w:cs="宋体"/>
              <w:bCs/>
              <w:spacing w:val="-2"/>
              <w:kern w:val="2"/>
              <w:szCs w:val="32"/>
              <w:lang w:val="en-US" w:eastAsia="zh-CN" w:bidi="ar-SA"/>
            </w:rPr>
            <w:fldChar w:fldCharType="end"/>
          </w:r>
        </w:p>
        <w:p w14:paraId="4DB10E14">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_Toc15368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八、竞赛场地要求</w:t>
          </w:r>
          <w:r>
            <w:tab/>
          </w:r>
          <w:r>
            <w:fldChar w:fldCharType="begin"/>
          </w:r>
          <w:r>
            <w:instrText xml:space="preserve"> PAGEREF _Toc15368 \h </w:instrText>
          </w:r>
          <w:r>
            <w:fldChar w:fldCharType="separate"/>
          </w:r>
          <w:r>
            <w:t>12</w:t>
          </w:r>
          <w:r>
            <w:fldChar w:fldCharType="end"/>
          </w:r>
          <w:r>
            <w:rPr>
              <w:rFonts w:hint="eastAsia" w:ascii="宋体" w:hAnsi="宋体" w:eastAsia="宋体" w:cs="宋体"/>
              <w:bCs/>
              <w:spacing w:val="-2"/>
              <w:kern w:val="2"/>
              <w:szCs w:val="32"/>
              <w:lang w:val="en-US" w:eastAsia="zh-CN" w:bidi="ar-SA"/>
            </w:rPr>
            <w:fldChar w:fldCharType="end"/>
          </w:r>
        </w:p>
        <w:p w14:paraId="0CAF1F1B">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_Toc12026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（一）场地面积要求</w:t>
          </w:r>
          <w:r>
            <w:tab/>
          </w:r>
          <w:r>
            <w:fldChar w:fldCharType="begin"/>
          </w:r>
          <w:r>
            <w:instrText xml:space="preserve"> PAGEREF _Toc12026 \h </w:instrText>
          </w:r>
          <w:r>
            <w:fldChar w:fldCharType="separate"/>
          </w:r>
          <w:r>
            <w:t>12</w:t>
          </w:r>
          <w:r>
            <w:fldChar w:fldCharType="end"/>
          </w:r>
          <w:r>
            <w:rPr>
              <w:rFonts w:hint="eastAsia" w:ascii="宋体" w:hAnsi="宋体" w:eastAsia="宋体" w:cs="宋体"/>
              <w:bCs/>
              <w:spacing w:val="-2"/>
              <w:kern w:val="2"/>
              <w:szCs w:val="32"/>
              <w:lang w:val="en-US" w:eastAsia="zh-CN" w:bidi="ar-SA"/>
            </w:rPr>
            <w:fldChar w:fldCharType="end"/>
          </w:r>
        </w:p>
        <w:p w14:paraId="7B15BF2D">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_Toc1164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（二）场地照明要求</w:t>
          </w:r>
          <w:r>
            <w:tab/>
          </w:r>
          <w:r>
            <w:fldChar w:fldCharType="begin"/>
          </w:r>
          <w:r>
            <w:instrText xml:space="preserve"> PAGEREF _Toc1164 \h </w:instrText>
          </w:r>
          <w:r>
            <w:fldChar w:fldCharType="separate"/>
          </w:r>
          <w:r>
            <w:t>13</w:t>
          </w:r>
          <w:r>
            <w:fldChar w:fldCharType="end"/>
          </w:r>
          <w:r>
            <w:rPr>
              <w:rFonts w:hint="eastAsia" w:ascii="宋体" w:hAnsi="宋体" w:eastAsia="宋体" w:cs="宋体"/>
              <w:bCs/>
              <w:spacing w:val="-2"/>
              <w:kern w:val="2"/>
              <w:szCs w:val="32"/>
              <w:lang w:val="en-US" w:eastAsia="zh-CN" w:bidi="ar-SA"/>
            </w:rPr>
            <w:fldChar w:fldCharType="end"/>
          </w:r>
        </w:p>
        <w:p w14:paraId="5038A5F2">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_Toc16253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（三）场地消防和逃生要求</w:t>
          </w:r>
          <w:r>
            <w:tab/>
          </w:r>
          <w:r>
            <w:fldChar w:fldCharType="begin"/>
          </w:r>
          <w:r>
            <w:instrText xml:space="preserve"> PAGEREF _Toc16253 \h </w:instrText>
          </w:r>
          <w:r>
            <w:fldChar w:fldCharType="separate"/>
          </w:r>
          <w:r>
            <w:t>13</w:t>
          </w:r>
          <w:r>
            <w:fldChar w:fldCharType="end"/>
          </w:r>
          <w:r>
            <w:rPr>
              <w:rFonts w:hint="eastAsia" w:ascii="宋体" w:hAnsi="宋体" w:eastAsia="宋体" w:cs="宋体"/>
              <w:bCs/>
              <w:spacing w:val="-2"/>
              <w:kern w:val="2"/>
              <w:szCs w:val="32"/>
              <w:lang w:val="en-US" w:eastAsia="zh-CN" w:bidi="ar-SA"/>
            </w:rPr>
            <w:fldChar w:fldCharType="end"/>
          </w:r>
        </w:p>
        <w:p w14:paraId="076CD9C4">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_Toc26268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九、竞赛安全要求</w:t>
          </w:r>
          <w:r>
            <w:tab/>
          </w:r>
          <w:r>
            <w:fldChar w:fldCharType="begin"/>
          </w:r>
          <w:r>
            <w:instrText xml:space="preserve"> PAGEREF _Toc26268 \h </w:instrText>
          </w:r>
          <w:r>
            <w:fldChar w:fldCharType="separate"/>
          </w:r>
          <w:r>
            <w:t>13</w:t>
          </w:r>
          <w:r>
            <w:fldChar w:fldCharType="end"/>
          </w:r>
          <w:r>
            <w:rPr>
              <w:rFonts w:hint="eastAsia" w:ascii="宋体" w:hAnsi="宋体" w:eastAsia="宋体" w:cs="宋体"/>
              <w:bCs/>
              <w:spacing w:val="-2"/>
              <w:kern w:val="2"/>
              <w:szCs w:val="32"/>
              <w:lang w:val="en-US" w:eastAsia="zh-CN" w:bidi="ar-SA"/>
            </w:rPr>
            <w:fldChar w:fldCharType="end"/>
          </w:r>
        </w:p>
        <w:p w14:paraId="260BD919">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_Toc24025 </w:instrText>
          </w:r>
          <w:r>
            <w:rPr>
              <w:rFonts w:hint="eastAsia" w:ascii="宋体" w:hAnsi="宋体" w:eastAsia="宋体" w:cs="宋体"/>
              <w:bCs/>
              <w:spacing w:val="-2"/>
              <w:kern w:val="2"/>
              <w:szCs w:val="32"/>
              <w:lang w:val="en-US" w:eastAsia="zh-CN" w:bidi="ar-SA"/>
            </w:rPr>
            <w:fldChar w:fldCharType="separate"/>
          </w:r>
          <w:r>
            <w:rPr>
              <w:rFonts w:ascii="宋体" w:hAnsi="宋体" w:eastAsia="宋体"/>
              <w:bCs/>
              <w:szCs w:val="24"/>
            </w:rPr>
            <w:t>（一）选手安全防护措施要求</w:t>
          </w:r>
          <w:r>
            <w:tab/>
          </w:r>
          <w:r>
            <w:fldChar w:fldCharType="begin"/>
          </w:r>
          <w:r>
            <w:instrText xml:space="preserve"> PAGEREF _Toc24025 \h </w:instrText>
          </w:r>
          <w:r>
            <w:fldChar w:fldCharType="separate"/>
          </w:r>
          <w:r>
            <w:t>13</w:t>
          </w:r>
          <w:r>
            <w:fldChar w:fldCharType="end"/>
          </w:r>
          <w:r>
            <w:rPr>
              <w:rFonts w:hint="eastAsia" w:ascii="宋体" w:hAnsi="宋体" w:eastAsia="宋体" w:cs="宋体"/>
              <w:bCs/>
              <w:spacing w:val="-2"/>
              <w:kern w:val="2"/>
              <w:szCs w:val="32"/>
              <w:lang w:val="en-US" w:eastAsia="zh-CN" w:bidi="ar-SA"/>
            </w:rPr>
            <w:fldChar w:fldCharType="end"/>
          </w:r>
        </w:p>
        <w:p w14:paraId="3A8612BE">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_Toc5383 </w:instrText>
          </w:r>
          <w:r>
            <w:rPr>
              <w:rFonts w:hint="eastAsia" w:ascii="宋体" w:hAnsi="宋体" w:eastAsia="宋体" w:cs="宋体"/>
              <w:bCs/>
              <w:spacing w:val="-2"/>
              <w:kern w:val="2"/>
              <w:szCs w:val="32"/>
              <w:lang w:val="en-US" w:eastAsia="zh-CN" w:bidi="ar-SA"/>
            </w:rPr>
            <w:fldChar w:fldCharType="separate"/>
          </w:r>
          <w:r>
            <w:rPr>
              <w:rFonts w:ascii="宋体" w:hAnsi="宋体" w:eastAsia="宋体"/>
              <w:bCs/>
              <w:szCs w:val="24"/>
            </w:rPr>
            <w:t>（二）有毒有害物品的管理和限制</w:t>
          </w:r>
          <w:r>
            <w:tab/>
          </w:r>
          <w:r>
            <w:fldChar w:fldCharType="begin"/>
          </w:r>
          <w:r>
            <w:instrText xml:space="preserve"> PAGEREF _Toc5383 \h </w:instrText>
          </w:r>
          <w:r>
            <w:fldChar w:fldCharType="separate"/>
          </w:r>
          <w:r>
            <w:t>14</w:t>
          </w:r>
          <w:r>
            <w:fldChar w:fldCharType="end"/>
          </w:r>
          <w:r>
            <w:rPr>
              <w:rFonts w:hint="eastAsia" w:ascii="宋体" w:hAnsi="宋体" w:eastAsia="宋体" w:cs="宋体"/>
              <w:bCs/>
              <w:spacing w:val="-2"/>
              <w:kern w:val="2"/>
              <w:szCs w:val="32"/>
              <w:lang w:val="en-US" w:eastAsia="zh-CN" w:bidi="ar-SA"/>
            </w:rPr>
            <w:fldChar w:fldCharType="end"/>
          </w:r>
        </w:p>
        <w:p w14:paraId="7771141B">
          <w:pPr>
            <w:pStyle w:val="10"/>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_Toc12478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（三） 医疗设备和措施</w:t>
          </w:r>
          <w:r>
            <w:tab/>
          </w:r>
          <w:r>
            <w:fldChar w:fldCharType="begin"/>
          </w:r>
          <w:r>
            <w:instrText xml:space="preserve"> PAGEREF _Toc12478 \h </w:instrText>
          </w:r>
          <w:r>
            <w:fldChar w:fldCharType="separate"/>
          </w:r>
          <w:r>
            <w:t>15</w:t>
          </w:r>
          <w:r>
            <w:fldChar w:fldCharType="end"/>
          </w:r>
          <w:r>
            <w:rPr>
              <w:rFonts w:hint="eastAsia" w:ascii="宋体" w:hAnsi="宋体" w:eastAsia="宋体" w:cs="宋体"/>
              <w:bCs/>
              <w:spacing w:val="-2"/>
              <w:kern w:val="2"/>
              <w:szCs w:val="32"/>
              <w:lang w:val="en-US" w:eastAsia="zh-CN" w:bidi="ar-SA"/>
            </w:rPr>
            <w:fldChar w:fldCharType="end"/>
          </w:r>
        </w:p>
        <w:p w14:paraId="5D28A3B2">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_Toc4616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十、竞赛须知</w:t>
          </w:r>
          <w:r>
            <w:tab/>
          </w:r>
          <w:r>
            <w:fldChar w:fldCharType="begin"/>
          </w:r>
          <w:r>
            <w:instrText xml:space="preserve"> PAGEREF _Toc4616 \h </w:instrText>
          </w:r>
          <w:r>
            <w:fldChar w:fldCharType="separate"/>
          </w:r>
          <w:r>
            <w:t>15</w:t>
          </w:r>
          <w:r>
            <w:fldChar w:fldCharType="end"/>
          </w:r>
          <w:r>
            <w:rPr>
              <w:rFonts w:hint="eastAsia" w:ascii="宋体" w:hAnsi="宋体" w:eastAsia="宋体" w:cs="宋体"/>
              <w:bCs/>
              <w:spacing w:val="-2"/>
              <w:kern w:val="2"/>
              <w:szCs w:val="32"/>
              <w:lang w:val="en-US" w:eastAsia="zh-CN" w:bidi="ar-SA"/>
            </w:rPr>
            <w:fldChar w:fldCharType="end"/>
          </w:r>
        </w:p>
        <w:p w14:paraId="39A112C6">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_Toc32164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十一、申诉与仲裁</w:t>
          </w:r>
          <w:r>
            <w:tab/>
          </w:r>
          <w:r>
            <w:fldChar w:fldCharType="begin"/>
          </w:r>
          <w:r>
            <w:instrText xml:space="preserve"> PAGEREF _Toc32164 \h </w:instrText>
          </w:r>
          <w:r>
            <w:fldChar w:fldCharType="separate"/>
          </w:r>
          <w:r>
            <w:t>19</w:t>
          </w:r>
          <w:r>
            <w:fldChar w:fldCharType="end"/>
          </w:r>
          <w:r>
            <w:rPr>
              <w:rFonts w:hint="eastAsia" w:ascii="宋体" w:hAnsi="宋体" w:eastAsia="宋体" w:cs="宋体"/>
              <w:bCs/>
              <w:spacing w:val="-2"/>
              <w:kern w:val="2"/>
              <w:szCs w:val="32"/>
              <w:lang w:val="en-US" w:eastAsia="zh-CN" w:bidi="ar-SA"/>
            </w:rPr>
            <w:fldChar w:fldCharType="end"/>
          </w:r>
        </w:p>
        <w:p w14:paraId="00F462E2">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_Toc13714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十二、开放现场的要求</w:t>
          </w:r>
          <w:r>
            <w:tab/>
          </w:r>
          <w:r>
            <w:fldChar w:fldCharType="begin"/>
          </w:r>
          <w:r>
            <w:instrText xml:space="preserve"> PAGEREF _Toc13714 \h </w:instrText>
          </w:r>
          <w:r>
            <w:fldChar w:fldCharType="separate"/>
          </w:r>
          <w:r>
            <w:t>19</w:t>
          </w:r>
          <w:r>
            <w:fldChar w:fldCharType="end"/>
          </w:r>
          <w:r>
            <w:rPr>
              <w:rFonts w:hint="eastAsia" w:ascii="宋体" w:hAnsi="宋体" w:eastAsia="宋体" w:cs="宋体"/>
              <w:bCs/>
              <w:spacing w:val="-2"/>
              <w:kern w:val="2"/>
              <w:szCs w:val="32"/>
              <w:lang w:val="en-US" w:eastAsia="zh-CN" w:bidi="ar-SA"/>
            </w:rPr>
            <w:fldChar w:fldCharType="end"/>
          </w:r>
        </w:p>
        <w:p w14:paraId="60C0EC2F">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_Toc20643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十三、绿色环保</w:t>
          </w:r>
          <w:r>
            <w:tab/>
          </w:r>
          <w:r>
            <w:fldChar w:fldCharType="begin"/>
          </w:r>
          <w:r>
            <w:instrText xml:space="preserve"> PAGEREF _Toc20643 \h </w:instrText>
          </w:r>
          <w:r>
            <w:fldChar w:fldCharType="separate"/>
          </w:r>
          <w:r>
            <w:t>19</w:t>
          </w:r>
          <w:r>
            <w:fldChar w:fldCharType="end"/>
          </w:r>
          <w:r>
            <w:rPr>
              <w:rFonts w:hint="eastAsia" w:ascii="宋体" w:hAnsi="宋体" w:eastAsia="宋体" w:cs="宋体"/>
              <w:bCs/>
              <w:spacing w:val="-2"/>
              <w:kern w:val="2"/>
              <w:szCs w:val="32"/>
              <w:lang w:val="en-US" w:eastAsia="zh-CN" w:bidi="ar-SA"/>
            </w:rPr>
            <w:fldChar w:fldCharType="end"/>
          </w:r>
        </w:p>
        <w:p w14:paraId="7945231D">
          <w:pPr>
            <w:pStyle w:val="9"/>
            <w:tabs>
              <w:tab w:val="right" w:leader="dot" w:pos="8820"/>
            </w:tabs>
          </w:pPr>
          <w:r>
            <w:rPr>
              <w:rFonts w:hint="eastAsia" w:ascii="宋体" w:hAnsi="宋体" w:eastAsia="宋体" w:cs="宋体"/>
              <w:bCs/>
              <w:spacing w:val="-2"/>
              <w:kern w:val="2"/>
              <w:szCs w:val="32"/>
              <w:lang w:val="en-US" w:eastAsia="zh-CN" w:bidi="ar-SA"/>
            </w:rPr>
            <w:fldChar w:fldCharType="begin"/>
          </w:r>
          <w:r>
            <w:rPr>
              <w:rFonts w:hint="eastAsia" w:ascii="宋体" w:hAnsi="宋体" w:eastAsia="宋体" w:cs="宋体"/>
              <w:bCs/>
              <w:spacing w:val="-2"/>
              <w:kern w:val="2"/>
              <w:szCs w:val="32"/>
              <w:lang w:val="en-US" w:eastAsia="zh-CN" w:bidi="ar-SA"/>
            </w:rPr>
            <w:instrText xml:space="preserve"> HYPERLINK \l _Toc3990 </w:instrText>
          </w:r>
          <w:r>
            <w:rPr>
              <w:rFonts w:hint="eastAsia" w:ascii="宋体" w:hAnsi="宋体" w:eastAsia="宋体" w:cs="宋体"/>
              <w:bCs/>
              <w:spacing w:val="-2"/>
              <w:kern w:val="2"/>
              <w:szCs w:val="32"/>
              <w:lang w:val="en-US" w:eastAsia="zh-CN" w:bidi="ar-SA"/>
            </w:rPr>
            <w:fldChar w:fldCharType="separate"/>
          </w:r>
          <w:r>
            <w:rPr>
              <w:rFonts w:hint="eastAsia" w:ascii="宋体" w:hAnsi="宋体" w:eastAsia="宋体"/>
              <w:bCs/>
              <w:szCs w:val="24"/>
            </w:rPr>
            <w:t>选手作业单</w:t>
          </w:r>
          <w:r>
            <w:tab/>
          </w:r>
          <w:r>
            <w:fldChar w:fldCharType="begin"/>
          </w:r>
          <w:r>
            <w:instrText xml:space="preserve"> PAGEREF _Toc3990 \h </w:instrText>
          </w:r>
          <w:r>
            <w:fldChar w:fldCharType="separate"/>
          </w:r>
          <w:r>
            <w:t>20</w:t>
          </w:r>
          <w:r>
            <w:fldChar w:fldCharType="end"/>
          </w:r>
          <w:r>
            <w:rPr>
              <w:rFonts w:hint="eastAsia" w:ascii="宋体" w:hAnsi="宋体" w:eastAsia="宋体" w:cs="宋体"/>
              <w:bCs/>
              <w:spacing w:val="-2"/>
              <w:kern w:val="2"/>
              <w:szCs w:val="32"/>
              <w:lang w:val="en-US" w:eastAsia="zh-CN" w:bidi="ar-SA"/>
            </w:rPr>
            <w:fldChar w:fldCharType="end"/>
          </w:r>
        </w:p>
        <w:p w14:paraId="7C525181">
          <w:pPr>
            <w:pStyle w:val="2"/>
            <w:rPr>
              <w:rFonts w:hint="eastAsia" w:ascii="宋体" w:hAnsi="宋体" w:eastAsia="宋体" w:cs="宋体"/>
              <w:bCs/>
              <w:spacing w:val="-2"/>
              <w:kern w:val="2"/>
              <w:sz w:val="18"/>
              <w:szCs w:val="32"/>
              <w:lang w:val="en-US" w:eastAsia="zh-CN" w:bidi="ar-SA"/>
            </w:rPr>
            <w:sectPr>
              <w:footerReference r:id="rId4" w:type="default"/>
              <w:pgSz w:w="11905" w:h="16834"/>
              <w:pgMar w:top="1430" w:right="1300" w:bottom="0" w:left="1785" w:header="227" w:footer="283" w:gutter="0"/>
              <w:pgNumType w:fmt="decimal" w:start="1"/>
              <w:cols w:space="720" w:num="1"/>
              <w:docGrid w:linePitch="286" w:charSpace="0"/>
            </w:sectPr>
          </w:pPr>
          <w:r>
            <w:rPr>
              <w:rFonts w:hint="eastAsia" w:ascii="宋体" w:hAnsi="宋体" w:eastAsia="宋体" w:cs="宋体"/>
              <w:bCs/>
              <w:spacing w:val="-2"/>
              <w:kern w:val="2"/>
              <w:szCs w:val="32"/>
              <w:lang w:val="en-US" w:eastAsia="zh-CN" w:bidi="ar-SA"/>
            </w:rPr>
            <w:fldChar w:fldCharType="end"/>
          </w:r>
        </w:p>
      </w:sdtContent>
    </w:sdt>
    <w:p w14:paraId="5905012D">
      <w:pPr>
        <w:spacing w:line="360" w:lineRule="auto"/>
        <w:ind w:firstLine="482" w:firstLineChars="200"/>
        <w:outlineLvl w:val="0"/>
        <w:rPr>
          <w:rFonts w:hint="eastAsia" w:ascii="宋体" w:hAnsi="宋体" w:eastAsia="宋体"/>
          <w:b/>
          <w:bCs/>
          <w:sz w:val="24"/>
          <w:szCs w:val="24"/>
        </w:rPr>
      </w:pPr>
      <w:bookmarkStart w:id="4" w:name="_Toc31262"/>
      <w:r>
        <w:rPr>
          <w:rFonts w:hint="eastAsia" w:ascii="宋体" w:hAnsi="宋体" w:eastAsia="宋体"/>
          <w:b/>
          <w:bCs/>
          <w:sz w:val="24"/>
          <w:szCs w:val="24"/>
        </w:rPr>
        <w:t>一、项目描述</w:t>
      </w:r>
      <w:bookmarkEnd w:id="4"/>
    </w:p>
    <w:p w14:paraId="32A8DEDD">
      <w:pPr>
        <w:spacing w:line="360" w:lineRule="auto"/>
        <w:ind w:firstLine="482" w:firstLineChars="200"/>
        <w:outlineLvl w:val="1"/>
        <w:rPr>
          <w:rFonts w:hint="eastAsia" w:ascii="宋体" w:hAnsi="宋体" w:eastAsia="宋体"/>
          <w:b/>
          <w:bCs/>
          <w:sz w:val="24"/>
          <w:szCs w:val="24"/>
        </w:rPr>
      </w:pPr>
      <w:bookmarkStart w:id="5" w:name="_Toc6340"/>
      <w:r>
        <w:rPr>
          <w:rFonts w:hint="eastAsia" w:ascii="宋体" w:hAnsi="宋体" w:eastAsia="宋体"/>
          <w:b/>
          <w:bCs/>
          <w:sz w:val="24"/>
          <w:szCs w:val="24"/>
        </w:rPr>
        <w:t>（一）技术基本描述</w:t>
      </w:r>
      <w:bookmarkEnd w:id="5"/>
    </w:p>
    <w:p w14:paraId="194D136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十四五”规划纲要明确提出，我国要加快建设交通强国和现代综合交通运输体系，在《关于促进道路交通自动驾驶技术发展和应用的指导意见》中，明确提出鼓励港口、机场、物流场站、交通运输基础设施、建设工地等环境相对封闭的区域及邮政快递末端配送等场景，结合需求开展自动驾驶载货示范应用。任务以智能载运车辆为载体，通过智能识别、运动控制、智能决策、人机交互等运载功能模块的安装调试，形成与载运物体、货物装载、车辆调试等要素有效联结、协同运作的智能载运系统。重点考核选手在不同场景下运载任务（如港口、物流、快递等）的规划部署、相关类型货物的标注与运载，实现自动导航、智能载运车辆与装载设备互联、装调维护等操作能力，体现新能源汽车关键技术领域融合赋能特征和技能人才创新培养导向，借以促进汽车维修检验工智能载运技术应用领域复合型、高素质技能人才培养。</w:t>
      </w:r>
    </w:p>
    <w:p w14:paraId="5CD5743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在组队方式上，分为职工组(含教师）和学生组，各组别均为双人组队参赛。竞赛内容上，包含两个环节：理论考试和实操比赛，其中理论考试环节详见理论考试竞赛规程；实操比赛环节职工组(含教师）和学生组在实操考核的竞赛内容上略有区别，在竞赛难度和广度上各有侧重。</w:t>
      </w:r>
    </w:p>
    <w:p w14:paraId="6399B0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实操比赛环节的竞赛要点如下：</w:t>
      </w:r>
    </w:p>
    <w:p w14:paraId="23450F7B">
      <w:pPr>
        <w:spacing w:line="360" w:lineRule="auto"/>
        <w:ind w:firstLine="482" w:firstLineChars="200"/>
        <w:outlineLvl w:val="2"/>
        <w:rPr>
          <w:rFonts w:hint="eastAsia" w:ascii="宋体" w:hAnsi="宋体" w:eastAsia="宋体"/>
          <w:b/>
          <w:bCs/>
          <w:sz w:val="24"/>
          <w:szCs w:val="24"/>
        </w:rPr>
      </w:pPr>
      <w:bookmarkStart w:id="6" w:name="_Toc27469"/>
      <w:r>
        <w:rPr>
          <w:rFonts w:hint="eastAsia" w:ascii="宋体" w:hAnsi="宋体" w:eastAsia="宋体"/>
          <w:b/>
          <w:bCs/>
          <w:sz w:val="24"/>
          <w:szCs w:val="24"/>
        </w:rPr>
        <w:t>实操任务：智能载运系统的组装与调试</w:t>
      </w:r>
      <w:bookmarkEnd w:id="6"/>
      <w:r>
        <w:rPr>
          <w:rFonts w:hint="eastAsia" w:ascii="宋体" w:hAnsi="宋体" w:eastAsia="宋体"/>
          <w:b/>
          <w:bCs/>
          <w:sz w:val="24"/>
          <w:szCs w:val="24"/>
        </w:rPr>
        <w:t xml:space="preserve">    </w:t>
      </w:r>
    </w:p>
    <w:p w14:paraId="2B6F95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根据智能载运的要求，利用软硬件检测工具，查看车辆状态信息，对智能载运车辆关键模块进行安装和排故，完成激光雷达、相机、RTK等关键传感器模块、网络模块装调和车辆基础运动功能调试和测试。</w:t>
      </w:r>
    </w:p>
    <w:p w14:paraId="1745E672">
      <w:pPr>
        <w:spacing w:line="360" w:lineRule="auto"/>
        <w:ind w:firstLine="480" w:firstLineChars="200"/>
        <w:rPr>
          <w:rFonts w:ascii="宋体" w:hAnsi="宋体" w:eastAsia="宋体"/>
          <w:sz w:val="24"/>
          <w:szCs w:val="24"/>
        </w:rPr>
      </w:pPr>
      <w:r>
        <w:rPr>
          <w:rFonts w:hint="eastAsia" w:ascii="宋体" w:hAnsi="宋体" w:eastAsia="宋体"/>
          <w:sz w:val="24"/>
          <w:szCs w:val="24"/>
        </w:rPr>
        <w:t>结合应用场景布局，完成智能载运车辆和调度系统的部署。设置和调试智能载运车辆、完成智能载运车辆的组网，实现智能载运应用场景中各个设备和系统的互联互通。</w:t>
      </w:r>
    </w:p>
    <w:p w14:paraId="6444F25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根据智能载运的要求，结合应用场景的实际道路情况，控制智能载运车在场景中实时录制场景地图，完成高精地图标注、路径规划、自主导航功能的调试和测试。</w:t>
      </w:r>
    </w:p>
    <w:p w14:paraId="3A4C45F0">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职业素养与安全规范</w:t>
      </w:r>
    </w:p>
    <w:p w14:paraId="5CD029F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对参赛选手全过程职业素养及其具备的生产安全、环境保护知识和操作规范性、系统性等进行综合评价。</w:t>
      </w:r>
    </w:p>
    <w:p w14:paraId="79887499">
      <w:pPr>
        <w:spacing w:line="360" w:lineRule="auto"/>
        <w:ind w:firstLine="482" w:firstLineChars="200"/>
        <w:outlineLvl w:val="1"/>
        <w:rPr>
          <w:rFonts w:hint="eastAsia" w:ascii="宋体" w:hAnsi="宋体" w:eastAsia="宋体"/>
          <w:b/>
          <w:bCs/>
          <w:sz w:val="24"/>
          <w:szCs w:val="24"/>
        </w:rPr>
      </w:pPr>
      <w:bookmarkStart w:id="7" w:name="_Toc25263"/>
      <w:r>
        <w:rPr>
          <w:rFonts w:hint="eastAsia" w:ascii="宋体" w:hAnsi="宋体" w:eastAsia="宋体"/>
          <w:b/>
          <w:bCs/>
          <w:sz w:val="24"/>
          <w:szCs w:val="24"/>
        </w:rPr>
        <w:t>（二）技术能力要求</w:t>
      </w:r>
      <w:bookmarkEnd w:id="7"/>
    </w:p>
    <w:p w14:paraId="4B479BC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强调新能源汽车关键技术中智能载运技术在无人物流场景中的典型应用，重点考察参赛选手运用智能检测与传感器、智能控制、人机交互、自主导航、自主路径规划基本职业能力。根据智能载运典型应用场景和特征，结合相关职业岗位主要工作任务要求，</w:t>
      </w:r>
    </w:p>
    <w:p w14:paraId="1530925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参赛选手应具备以下技术能力：</w:t>
      </w:r>
    </w:p>
    <w:p w14:paraId="225296F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（1）对不同场景下运载任务（如港口、物流、快递等）的规划部署。</w:t>
      </w:r>
    </w:p>
    <w:p w14:paraId="62B39D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（2）电气系统理论知识应用和分析能力：能够对系统中的传感器、电气设备等电气模块进行识别和分析。</w:t>
      </w:r>
    </w:p>
    <w:p w14:paraId="0D0AAD0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（3）电气系统装配与调试技能：能够对系统中的传感器、电气设备等电气模块进行装配与调试。</w:t>
      </w:r>
    </w:p>
    <w:p w14:paraId="0DDA21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（4）智能载运汽车导航和定位技能：通过系统配置和编程，实现智能载运汽车的自动驾驶、自动定位、自动避障。</w:t>
      </w:r>
    </w:p>
    <w:p w14:paraId="0453C7DB">
      <w:pPr>
        <w:spacing w:line="360" w:lineRule="auto"/>
        <w:ind w:firstLine="480" w:firstLineChars="200"/>
        <w:outlineLvl w:val="2"/>
        <w:rPr>
          <w:rFonts w:hint="eastAsia" w:ascii="宋体" w:hAnsi="宋体" w:eastAsia="宋体"/>
          <w:sz w:val="24"/>
          <w:szCs w:val="24"/>
        </w:rPr>
      </w:pPr>
      <w:bookmarkStart w:id="8" w:name="_Toc68"/>
      <w:r>
        <w:rPr>
          <w:rFonts w:hint="eastAsia" w:ascii="宋体" w:hAnsi="宋体" w:eastAsia="宋体"/>
          <w:sz w:val="24"/>
          <w:szCs w:val="24"/>
        </w:rPr>
        <w:t>（5）编程能力：应用C++或Python等编程技能。</w:t>
      </w:r>
      <w:bookmarkEnd w:id="8"/>
    </w:p>
    <w:p w14:paraId="76552BF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（6）装调及维护技能：能够对智能载运车辆、智能载运、可视化等系统的装调及维护。</w:t>
      </w:r>
    </w:p>
    <w:p w14:paraId="3C83844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（7）遵守相关安全防护条例和环境保护要求。</w:t>
      </w:r>
    </w:p>
    <w:p w14:paraId="1C75AB6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（8）具备良好的职业素养和职业行为习惯。</w:t>
      </w:r>
    </w:p>
    <w:p w14:paraId="693C3BB8">
      <w:pPr>
        <w:spacing w:line="360" w:lineRule="auto"/>
        <w:ind w:firstLine="482" w:firstLineChars="200"/>
        <w:outlineLvl w:val="1"/>
        <w:rPr>
          <w:rFonts w:hint="eastAsia" w:ascii="宋体" w:hAnsi="宋体" w:eastAsia="宋体"/>
          <w:b/>
          <w:bCs/>
          <w:sz w:val="24"/>
          <w:szCs w:val="24"/>
        </w:rPr>
      </w:pPr>
      <w:bookmarkStart w:id="9" w:name="_Toc27205"/>
      <w:r>
        <w:rPr>
          <w:rFonts w:hint="eastAsia" w:ascii="宋体" w:hAnsi="宋体" w:eastAsia="宋体"/>
          <w:b/>
          <w:bCs/>
          <w:sz w:val="24"/>
          <w:szCs w:val="24"/>
        </w:rPr>
        <w:t>（三）基本知识要求</w:t>
      </w:r>
      <w:bookmarkEnd w:id="9"/>
    </w:p>
    <w:p w14:paraId="17050B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本赛项旨在考核、培养汽车电气装调工智能载运技术应用领域复合型、高素质技能人才，需要掌握以下相关知识：</w:t>
      </w:r>
    </w:p>
    <w:p w14:paraId="2BB32B2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（1）智能载运车辆装调基础：包括车辆电气系统安装、调试规范、传感器技术基础知识、工具使用规范、电气系统集成基础、车载通讯系统基础、嵌入式系统基础、控制系统基础、ROS 机器人操作系统基础、Linux 基础等；</w:t>
      </w:r>
    </w:p>
    <w:p w14:paraId="35535B0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（2）导航与自动驾驶技术：包括激光雷达原理、相机测距原理、任务规划基础知识、环境地图创建与自定位、传感器数据融合技术、路径规划基础知识、自动驾驶控制系统基础、实时定位基础理论等；</w:t>
      </w:r>
    </w:p>
    <w:p w14:paraId="084C9A7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（3）电动机和动力系统控制基础：包括轮式底盘控制基础、电机运动基础、电子电路基础、电气系统故障诊断、自动控制原理、电池管理系统等；</w:t>
      </w:r>
    </w:p>
    <w:p w14:paraId="1905F96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（4）智能感知技术：包括机器视觉基础知识、姿态识别基础知识、车辆视觉系统基础知识、环境感知传感器技术、障碍物检测原理、碰撞避免技术、驾驶员监控技术等；</w:t>
      </w:r>
    </w:p>
    <w:p w14:paraId="012FD67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（5）智能载运场景应用基础：包括智能载运应用基础知识、物流自动化技术基础、车辆远程监控和维护、车辆网络连接技术、智能交通系统理论及方法；</w:t>
      </w:r>
    </w:p>
    <w:p w14:paraId="234293DB">
      <w:pPr>
        <w:spacing w:line="360" w:lineRule="auto"/>
        <w:ind w:firstLine="480" w:firstLineChars="200"/>
        <w:outlineLvl w:val="2"/>
        <w:rPr>
          <w:rFonts w:hint="eastAsia" w:ascii="宋体" w:hAnsi="宋体" w:eastAsia="宋体"/>
          <w:sz w:val="24"/>
          <w:szCs w:val="24"/>
        </w:rPr>
      </w:pPr>
      <w:bookmarkStart w:id="10" w:name="_Toc14901"/>
      <w:r>
        <w:rPr>
          <w:rFonts w:hint="eastAsia" w:ascii="宋体" w:hAnsi="宋体" w:eastAsia="宋体"/>
          <w:sz w:val="24"/>
          <w:szCs w:val="24"/>
        </w:rPr>
        <w:t>（6）安全文明生产与环境保护知识、职业道德和职业素养知识。</w:t>
      </w:r>
      <w:bookmarkEnd w:id="10"/>
    </w:p>
    <w:p w14:paraId="4C2EF421">
      <w:pPr>
        <w:spacing w:line="360" w:lineRule="auto"/>
        <w:ind w:firstLine="482" w:firstLineChars="200"/>
        <w:outlineLvl w:val="1"/>
        <w:rPr>
          <w:rFonts w:hint="eastAsia" w:ascii="宋体" w:hAnsi="宋体" w:eastAsia="宋体"/>
          <w:b/>
          <w:bCs/>
          <w:sz w:val="24"/>
          <w:szCs w:val="24"/>
        </w:rPr>
      </w:pPr>
      <w:bookmarkStart w:id="11" w:name="_Toc24067"/>
      <w:r>
        <w:rPr>
          <w:rFonts w:hint="eastAsia" w:ascii="宋体" w:hAnsi="宋体" w:eastAsia="宋体"/>
          <w:b/>
          <w:bCs/>
          <w:sz w:val="24"/>
          <w:szCs w:val="24"/>
        </w:rPr>
        <w:t>（四）职业素养与安全要求</w:t>
      </w:r>
      <w:bookmarkEnd w:id="11"/>
    </w:p>
    <w:p w14:paraId="7652C3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严格遵循相关职业素养要求及安全规范，安全文明参赛；操作规范；工具摆放整齐；着装规范；资料归档完整等。严格防止比赛设备造成人身伤害。</w:t>
      </w:r>
    </w:p>
    <w:p w14:paraId="60345F13">
      <w:pPr>
        <w:spacing w:line="360" w:lineRule="auto"/>
        <w:ind w:firstLine="482" w:firstLineChars="200"/>
        <w:outlineLvl w:val="0"/>
        <w:rPr>
          <w:rFonts w:hint="eastAsia" w:ascii="宋体" w:hAnsi="宋体" w:eastAsia="宋体"/>
          <w:b/>
          <w:bCs/>
          <w:sz w:val="24"/>
          <w:szCs w:val="24"/>
        </w:rPr>
      </w:pPr>
      <w:bookmarkStart w:id="12" w:name="_Toc16238"/>
      <w:r>
        <w:rPr>
          <w:rFonts w:hint="eastAsia" w:ascii="宋体" w:hAnsi="宋体" w:eastAsia="宋体"/>
          <w:b/>
          <w:bCs/>
          <w:sz w:val="24"/>
          <w:szCs w:val="24"/>
        </w:rPr>
        <w:t>二、竞赛题目</w:t>
      </w:r>
      <w:bookmarkEnd w:id="12"/>
    </w:p>
    <w:p w14:paraId="54304A6C">
      <w:pPr>
        <w:spacing w:line="360" w:lineRule="auto"/>
        <w:ind w:firstLine="482" w:firstLineChars="200"/>
        <w:outlineLvl w:val="1"/>
        <w:rPr>
          <w:rFonts w:hint="eastAsia" w:ascii="宋体" w:hAnsi="宋体" w:eastAsia="宋体"/>
          <w:b/>
          <w:bCs/>
          <w:sz w:val="24"/>
          <w:szCs w:val="24"/>
        </w:rPr>
      </w:pPr>
      <w:bookmarkStart w:id="13" w:name="_Toc23962"/>
      <w:r>
        <w:rPr>
          <w:rFonts w:hint="eastAsia" w:ascii="宋体" w:hAnsi="宋体" w:eastAsia="宋体"/>
          <w:b/>
          <w:bCs/>
          <w:sz w:val="24"/>
          <w:szCs w:val="24"/>
        </w:rPr>
        <w:t>（一）竞赛分组</w:t>
      </w:r>
      <w:bookmarkEnd w:id="13"/>
    </w:p>
    <w:p w14:paraId="3A082E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本赛项分职工组(含教师）和学生组，各组别均为双人组队参赛。两个组别在竞赛内容上略有区别，在竞赛难度和广度上各有侧重。</w:t>
      </w:r>
    </w:p>
    <w:p w14:paraId="28A70A73">
      <w:pPr>
        <w:spacing w:line="360" w:lineRule="auto"/>
        <w:ind w:firstLine="482" w:firstLineChars="200"/>
        <w:outlineLvl w:val="1"/>
        <w:rPr>
          <w:rFonts w:hint="eastAsia" w:ascii="宋体" w:hAnsi="宋体" w:eastAsia="宋体"/>
          <w:b/>
          <w:bCs/>
          <w:sz w:val="24"/>
          <w:szCs w:val="24"/>
        </w:rPr>
      </w:pPr>
      <w:bookmarkStart w:id="14" w:name="_Toc248"/>
      <w:r>
        <w:rPr>
          <w:rFonts w:hint="eastAsia" w:ascii="宋体" w:hAnsi="宋体" w:eastAsia="宋体"/>
          <w:b/>
          <w:bCs/>
          <w:sz w:val="24"/>
          <w:szCs w:val="24"/>
        </w:rPr>
        <w:t>（二）竞赛形式</w:t>
      </w:r>
      <w:bookmarkEnd w:id="14"/>
    </w:p>
    <w:p w14:paraId="792008D5">
      <w:pPr>
        <w:spacing w:line="360" w:lineRule="auto"/>
        <w:ind w:firstLine="480" w:firstLineChars="200"/>
        <w:rPr>
          <w:rFonts w:ascii="宋体" w:hAnsi="宋体" w:eastAsia="宋体"/>
          <w:sz w:val="24"/>
          <w:szCs w:val="24"/>
        </w:rPr>
      </w:pPr>
      <w:r>
        <w:rPr>
          <w:rFonts w:hint="eastAsia" w:ascii="宋体" w:hAnsi="宋体" w:eastAsia="宋体"/>
          <w:sz w:val="24"/>
          <w:szCs w:val="24"/>
        </w:rPr>
        <w:t>本赛项由理论考试和实操比赛两部分组成。理论考试和实操比赛的总成绩为100分，其中理论考试占总成绩的20%，实操比赛占总成绩的80%。</w:t>
      </w:r>
    </w:p>
    <w:p w14:paraId="79B0154F">
      <w:pPr>
        <w:spacing w:line="360" w:lineRule="auto"/>
        <w:ind w:firstLine="482" w:firstLineChars="200"/>
        <w:outlineLvl w:val="1"/>
        <w:rPr>
          <w:rFonts w:hint="eastAsia" w:ascii="宋体" w:hAnsi="宋体" w:eastAsia="宋体"/>
          <w:sz w:val="24"/>
          <w:szCs w:val="24"/>
        </w:rPr>
      </w:pPr>
      <w:bookmarkStart w:id="15" w:name="_Toc3499"/>
      <w:r>
        <w:rPr>
          <w:rFonts w:hint="eastAsia" w:ascii="宋体" w:hAnsi="宋体" w:eastAsia="宋体"/>
          <w:b/>
          <w:bCs/>
          <w:sz w:val="24"/>
          <w:szCs w:val="24"/>
        </w:rPr>
        <w:t>（三）命题标准</w:t>
      </w:r>
      <w:bookmarkEnd w:id="15"/>
    </w:p>
    <w:p w14:paraId="6B8C8CB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本赛项参照人力资源和社会保障部颁布的技能标准，结合企业生产、院校教学实际和汽车检验工智能载运技术应用领域的发展状况，借鉴世界技能大赛命题、考核、评价方法，确定赛项内容，组织统一命题。</w:t>
      </w:r>
    </w:p>
    <w:p w14:paraId="0A003310">
      <w:pPr>
        <w:spacing w:line="360" w:lineRule="auto"/>
        <w:ind w:firstLine="482" w:firstLineChars="200"/>
        <w:outlineLvl w:val="1"/>
        <w:rPr>
          <w:rFonts w:hint="eastAsia" w:ascii="宋体" w:hAnsi="宋体" w:eastAsia="宋体"/>
          <w:b/>
          <w:bCs/>
          <w:sz w:val="24"/>
          <w:szCs w:val="24"/>
        </w:rPr>
      </w:pPr>
      <w:bookmarkStart w:id="16" w:name="_Toc29149"/>
      <w:r>
        <w:rPr>
          <w:rFonts w:hint="eastAsia" w:ascii="宋体" w:hAnsi="宋体" w:eastAsia="宋体"/>
          <w:b/>
          <w:bCs/>
          <w:sz w:val="24"/>
          <w:szCs w:val="24"/>
        </w:rPr>
        <w:t>（四）命题内容与竞赛时间</w:t>
      </w:r>
      <w:bookmarkEnd w:id="16"/>
    </w:p>
    <w:p w14:paraId="483D417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根据任务书给定的任务要求和赛场提供的竞赛平台，要求参赛选手在规定时间内完成理论知识竞赛和实操环节竞赛。</w:t>
      </w:r>
    </w:p>
    <w:p w14:paraId="1F3CBDF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比赛环节职工组（含教师）和学生组竞赛任务设计如下（见表1）：</w:t>
      </w:r>
    </w:p>
    <w:p w14:paraId="16271DBC">
      <w:pPr>
        <w:spacing w:line="360" w:lineRule="auto"/>
        <w:ind w:firstLine="480" w:firstLineChars="200"/>
        <w:rPr>
          <w:rFonts w:hint="eastAsia" w:ascii="宋体" w:hAnsi="宋体" w:eastAsia="宋体"/>
          <w:b/>
          <w:bCs/>
          <w:sz w:val="24"/>
          <w:szCs w:val="24"/>
        </w:rPr>
      </w:pPr>
      <w:r>
        <w:rPr>
          <w:rFonts w:hint="eastAsia" w:ascii="宋体" w:hAnsi="宋体" w:eastAsia="宋体"/>
          <w:sz w:val="24"/>
          <w:szCs w:val="24"/>
        </w:rPr>
        <w:t>实操比赛环节各参赛队集中进行比赛，使用赛场提供的竞赛平台，</w:t>
      </w:r>
      <w:r>
        <w:rPr>
          <w:rFonts w:hint="eastAsia" w:ascii="宋体" w:hAnsi="宋体" w:eastAsia="宋体"/>
          <w:b/>
          <w:bCs/>
          <w:sz w:val="24"/>
          <w:szCs w:val="24"/>
        </w:rPr>
        <w:t>实操比赛时间总长50分钟。</w:t>
      </w:r>
    </w:p>
    <w:p w14:paraId="1AE9C709">
      <w:pPr>
        <w:spacing w:line="360" w:lineRule="auto"/>
        <w:ind w:firstLine="420" w:firstLineChars="200"/>
        <w:jc w:val="center"/>
        <w:rPr>
          <w:rFonts w:ascii="宋体" w:hAnsi="宋体" w:eastAsia="宋体"/>
          <w:szCs w:val="21"/>
        </w:rPr>
      </w:pPr>
      <w:r>
        <w:rPr>
          <w:rFonts w:hint="eastAsia" w:ascii="宋体" w:hAnsi="宋体" w:eastAsia="宋体"/>
          <w:szCs w:val="21"/>
        </w:rPr>
        <w:t>表1 职工组和学生组考核环节内容设计</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6"/>
        <w:gridCol w:w="1701"/>
        <w:gridCol w:w="1190"/>
        <w:gridCol w:w="2551"/>
      </w:tblGrid>
      <w:tr w14:paraId="2AD2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16" w:type="dxa"/>
            <w:vAlign w:val="center"/>
          </w:tcPr>
          <w:p w14:paraId="6CB97910">
            <w:pPr>
              <w:spacing w:line="360" w:lineRule="auto"/>
              <w:jc w:val="center"/>
              <w:rPr>
                <w:rFonts w:hint="eastAsia" w:ascii="宋体" w:hAnsi="宋体" w:eastAsia="宋体"/>
                <w:sz w:val="24"/>
                <w:szCs w:val="24"/>
              </w:rPr>
            </w:pPr>
            <w:r>
              <w:rPr>
                <w:rFonts w:hint="eastAsia" w:ascii="宋体" w:hAnsi="宋体" w:eastAsia="宋体"/>
                <w:sz w:val="24"/>
                <w:szCs w:val="24"/>
              </w:rPr>
              <w:t>竞赛内容</w:t>
            </w:r>
          </w:p>
        </w:tc>
        <w:tc>
          <w:tcPr>
            <w:tcW w:w="1701" w:type="dxa"/>
          </w:tcPr>
          <w:p w14:paraId="22663BC6">
            <w:pPr>
              <w:spacing w:line="360" w:lineRule="auto"/>
              <w:jc w:val="center"/>
              <w:rPr>
                <w:rFonts w:hint="eastAsia" w:ascii="宋体" w:hAnsi="宋体" w:eastAsia="宋体"/>
                <w:sz w:val="24"/>
                <w:szCs w:val="24"/>
              </w:rPr>
            </w:pPr>
            <w:r>
              <w:rPr>
                <w:rFonts w:hint="eastAsia" w:ascii="宋体" w:hAnsi="宋体" w:eastAsia="宋体"/>
                <w:sz w:val="24"/>
                <w:szCs w:val="24"/>
              </w:rPr>
              <w:t>时间</w:t>
            </w:r>
          </w:p>
        </w:tc>
        <w:tc>
          <w:tcPr>
            <w:tcW w:w="1190" w:type="dxa"/>
            <w:vAlign w:val="center"/>
          </w:tcPr>
          <w:p w14:paraId="470FD034">
            <w:pPr>
              <w:spacing w:line="360" w:lineRule="auto"/>
              <w:jc w:val="center"/>
              <w:rPr>
                <w:rFonts w:hint="eastAsia" w:ascii="宋体" w:hAnsi="宋体" w:eastAsia="宋体"/>
                <w:sz w:val="24"/>
                <w:szCs w:val="24"/>
              </w:rPr>
            </w:pPr>
            <w:r>
              <w:rPr>
                <w:rFonts w:hint="eastAsia" w:ascii="宋体" w:hAnsi="宋体" w:eastAsia="宋体"/>
                <w:sz w:val="24"/>
                <w:szCs w:val="24"/>
              </w:rPr>
              <w:t>分值</w:t>
            </w:r>
          </w:p>
        </w:tc>
        <w:tc>
          <w:tcPr>
            <w:tcW w:w="2551" w:type="dxa"/>
            <w:vAlign w:val="center"/>
          </w:tcPr>
          <w:p w14:paraId="44B33A59">
            <w:pPr>
              <w:spacing w:line="360" w:lineRule="auto"/>
              <w:jc w:val="center"/>
              <w:rPr>
                <w:rFonts w:hint="eastAsia" w:ascii="宋体" w:hAnsi="宋体" w:eastAsia="宋体"/>
                <w:sz w:val="24"/>
                <w:szCs w:val="24"/>
              </w:rPr>
            </w:pPr>
            <w:r>
              <w:rPr>
                <w:rFonts w:hint="eastAsia" w:ascii="宋体" w:hAnsi="宋体" w:eastAsia="宋体"/>
                <w:sz w:val="24"/>
                <w:szCs w:val="24"/>
              </w:rPr>
              <w:t>权值</w:t>
            </w:r>
          </w:p>
        </w:tc>
      </w:tr>
      <w:tr w14:paraId="7466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716" w:type="dxa"/>
            <w:vAlign w:val="center"/>
          </w:tcPr>
          <w:p w14:paraId="619D087F">
            <w:pPr>
              <w:spacing w:line="360" w:lineRule="auto"/>
              <w:jc w:val="center"/>
              <w:rPr>
                <w:rFonts w:hint="eastAsia" w:ascii="宋体" w:hAnsi="宋体" w:eastAsia="宋体"/>
                <w:sz w:val="24"/>
                <w:szCs w:val="24"/>
              </w:rPr>
            </w:pPr>
            <w:r>
              <w:rPr>
                <w:rFonts w:hint="eastAsia" w:ascii="宋体" w:hAnsi="宋体" w:eastAsia="宋体"/>
                <w:sz w:val="24"/>
                <w:szCs w:val="24"/>
              </w:rPr>
              <w:t>理论知识竞赛</w:t>
            </w:r>
          </w:p>
        </w:tc>
        <w:tc>
          <w:tcPr>
            <w:tcW w:w="1701" w:type="dxa"/>
          </w:tcPr>
          <w:p w14:paraId="605BDA75">
            <w:pPr>
              <w:spacing w:line="360" w:lineRule="auto"/>
              <w:jc w:val="center"/>
              <w:rPr>
                <w:rFonts w:hint="eastAsia" w:ascii="宋体" w:hAnsi="宋体" w:eastAsia="宋体"/>
                <w:sz w:val="24"/>
                <w:szCs w:val="24"/>
              </w:rPr>
            </w:pPr>
            <w:r>
              <w:rPr>
                <w:rFonts w:hint="eastAsia" w:ascii="宋体" w:hAnsi="宋体" w:eastAsia="宋体"/>
                <w:sz w:val="24"/>
                <w:szCs w:val="24"/>
              </w:rPr>
              <w:t>45min</w:t>
            </w:r>
          </w:p>
        </w:tc>
        <w:tc>
          <w:tcPr>
            <w:tcW w:w="1190" w:type="dxa"/>
            <w:vAlign w:val="center"/>
          </w:tcPr>
          <w:p w14:paraId="3ED8B10A">
            <w:pPr>
              <w:spacing w:line="360" w:lineRule="auto"/>
              <w:jc w:val="center"/>
              <w:rPr>
                <w:rFonts w:hint="eastAsia" w:ascii="宋体" w:hAnsi="宋体" w:eastAsia="宋体"/>
                <w:sz w:val="24"/>
                <w:szCs w:val="24"/>
              </w:rPr>
            </w:pPr>
            <w:r>
              <w:rPr>
                <w:rFonts w:hint="eastAsia" w:ascii="宋体" w:hAnsi="宋体" w:eastAsia="宋体"/>
                <w:sz w:val="24"/>
                <w:szCs w:val="24"/>
              </w:rPr>
              <w:t>100</w:t>
            </w:r>
          </w:p>
        </w:tc>
        <w:tc>
          <w:tcPr>
            <w:tcW w:w="2551" w:type="dxa"/>
            <w:vAlign w:val="center"/>
          </w:tcPr>
          <w:p w14:paraId="1A0CB41D">
            <w:pPr>
              <w:spacing w:line="360" w:lineRule="auto"/>
              <w:jc w:val="center"/>
              <w:rPr>
                <w:rFonts w:hint="eastAsia" w:ascii="宋体" w:hAnsi="宋体" w:eastAsia="宋体"/>
                <w:sz w:val="24"/>
                <w:szCs w:val="24"/>
              </w:rPr>
            </w:pPr>
            <w:r>
              <w:rPr>
                <w:rFonts w:hint="eastAsia" w:ascii="宋体" w:hAnsi="宋体" w:eastAsia="宋体"/>
                <w:sz w:val="24"/>
                <w:szCs w:val="24"/>
              </w:rPr>
              <w:t>20%</w:t>
            </w:r>
          </w:p>
        </w:tc>
      </w:tr>
      <w:tr w14:paraId="422B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716" w:type="dxa"/>
            <w:vAlign w:val="center"/>
          </w:tcPr>
          <w:p w14:paraId="1800DEFB">
            <w:pPr>
              <w:spacing w:line="360" w:lineRule="auto"/>
              <w:jc w:val="center"/>
              <w:rPr>
                <w:rFonts w:hint="eastAsia" w:ascii="宋体" w:hAnsi="宋体" w:eastAsia="宋体"/>
                <w:sz w:val="24"/>
                <w:szCs w:val="24"/>
              </w:rPr>
            </w:pPr>
            <w:r>
              <w:rPr>
                <w:rFonts w:hint="eastAsia" w:ascii="宋体" w:hAnsi="宋体" w:eastAsia="宋体"/>
                <w:sz w:val="24"/>
                <w:szCs w:val="24"/>
              </w:rPr>
              <w:t>实操比赛：智能载运系统的组装与调试</w:t>
            </w:r>
          </w:p>
        </w:tc>
        <w:tc>
          <w:tcPr>
            <w:tcW w:w="1701" w:type="dxa"/>
            <w:vAlign w:val="center"/>
          </w:tcPr>
          <w:p w14:paraId="747708F0">
            <w:pPr>
              <w:spacing w:line="360" w:lineRule="auto"/>
              <w:jc w:val="center"/>
              <w:rPr>
                <w:rFonts w:hint="eastAsia" w:ascii="宋体" w:hAnsi="宋体" w:eastAsia="宋体"/>
                <w:sz w:val="24"/>
                <w:szCs w:val="24"/>
              </w:rPr>
            </w:pPr>
            <w:r>
              <w:rPr>
                <w:rFonts w:hint="eastAsia" w:ascii="宋体" w:hAnsi="宋体" w:eastAsia="宋体"/>
                <w:sz w:val="24"/>
                <w:szCs w:val="24"/>
              </w:rPr>
              <w:t>50min</w:t>
            </w:r>
          </w:p>
        </w:tc>
        <w:tc>
          <w:tcPr>
            <w:tcW w:w="1190" w:type="dxa"/>
            <w:vAlign w:val="center"/>
          </w:tcPr>
          <w:p w14:paraId="159EE384">
            <w:pPr>
              <w:spacing w:line="360" w:lineRule="auto"/>
              <w:jc w:val="center"/>
              <w:rPr>
                <w:rFonts w:hint="eastAsia" w:ascii="宋体" w:hAnsi="宋体" w:eastAsia="宋体"/>
                <w:sz w:val="24"/>
                <w:szCs w:val="24"/>
              </w:rPr>
            </w:pPr>
            <w:r>
              <w:rPr>
                <w:rFonts w:hint="eastAsia" w:ascii="宋体" w:hAnsi="宋体" w:eastAsia="宋体"/>
                <w:sz w:val="24"/>
                <w:szCs w:val="24"/>
              </w:rPr>
              <w:t>100</w:t>
            </w:r>
          </w:p>
        </w:tc>
        <w:tc>
          <w:tcPr>
            <w:tcW w:w="2551" w:type="dxa"/>
            <w:vAlign w:val="center"/>
          </w:tcPr>
          <w:p w14:paraId="6B41461D">
            <w:pPr>
              <w:spacing w:line="360" w:lineRule="auto"/>
              <w:jc w:val="center"/>
              <w:rPr>
                <w:rFonts w:hint="eastAsia" w:ascii="宋体" w:hAnsi="宋体" w:eastAsia="宋体"/>
                <w:sz w:val="24"/>
                <w:szCs w:val="24"/>
              </w:rPr>
            </w:pPr>
            <w:r>
              <w:rPr>
                <w:rFonts w:hint="eastAsia" w:ascii="宋体" w:hAnsi="宋体" w:eastAsia="宋体"/>
                <w:sz w:val="24"/>
                <w:szCs w:val="24"/>
              </w:rPr>
              <w:t>80%</w:t>
            </w:r>
          </w:p>
        </w:tc>
      </w:tr>
      <w:tr w14:paraId="20CE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16" w:type="dxa"/>
            <w:vAlign w:val="center"/>
          </w:tcPr>
          <w:p w14:paraId="57102F2A">
            <w:pPr>
              <w:spacing w:line="360" w:lineRule="auto"/>
              <w:jc w:val="center"/>
              <w:rPr>
                <w:rFonts w:hint="eastAsia" w:ascii="宋体" w:hAnsi="宋体" w:eastAsia="宋体"/>
                <w:b/>
                <w:bCs/>
                <w:sz w:val="24"/>
                <w:szCs w:val="24"/>
              </w:rPr>
            </w:pPr>
            <w:r>
              <w:rPr>
                <w:rFonts w:hint="eastAsia" w:ascii="宋体" w:hAnsi="宋体" w:eastAsia="宋体"/>
                <w:b/>
                <w:bCs/>
                <w:sz w:val="24"/>
                <w:szCs w:val="24"/>
              </w:rPr>
              <w:t>总计</w:t>
            </w:r>
          </w:p>
        </w:tc>
        <w:tc>
          <w:tcPr>
            <w:tcW w:w="1701" w:type="dxa"/>
            <w:vAlign w:val="center"/>
          </w:tcPr>
          <w:p w14:paraId="22EE4A15">
            <w:pPr>
              <w:spacing w:line="360" w:lineRule="auto"/>
              <w:jc w:val="center"/>
              <w:rPr>
                <w:rFonts w:hint="eastAsia" w:ascii="宋体" w:hAnsi="宋体" w:eastAsia="宋体"/>
                <w:b/>
                <w:bCs/>
                <w:sz w:val="24"/>
                <w:szCs w:val="24"/>
              </w:rPr>
            </w:pPr>
          </w:p>
        </w:tc>
        <w:tc>
          <w:tcPr>
            <w:tcW w:w="1190" w:type="dxa"/>
            <w:vAlign w:val="center"/>
          </w:tcPr>
          <w:p w14:paraId="2A9CC9B8">
            <w:pPr>
              <w:spacing w:line="360" w:lineRule="auto"/>
              <w:jc w:val="center"/>
              <w:rPr>
                <w:rFonts w:hint="eastAsia" w:ascii="宋体" w:hAnsi="宋体" w:eastAsia="宋体"/>
                <w:b/>
                <w:bCs/>
                <w:sz w:val="24"/>
                <w:szCs w:val="24"/>
              </w:rPr>
            </w:pPr>
          </w:p>
        </w:tc>
        <w:tc>
          <w:tcPr>
            <w:tcW w:w="2551" w:type="dxa"/>
          </w:tcPr>
          <w:p w14:paraId="5BF35343">
            <w:pPr>
              <w:spacing w:line="360" w:lineRule="auto"/>
              <w:jc w:val="center"/>
              <w:rPr>
                <w:rFonts w:hint="eastAsia" w:ascii="宋体" w:hAnsi="宋体" w:eastAsia="宋体"/>
                <w:b/>
                <w:bCs/>
                <w:sz w:val="24"/>
                <w:szCs w:val="24"/>
              </w:rPr>
            </w:pPr>
            <w:r>
              <w:rPr>
                <w:rFonts w:hint="eastAsia" w:ascii="宋体" w:hAnsi="宋体" w:eastAsia="宋体"/>
                <w:b/>
                <w:bCs/>
                <w:sz w:val="24"/>
                <w:szCs w:val="24"/>
              </w:rPr>
              <w:t>100分</w:t>
            </w:r>
          </w:p>
        </w:tc>
      </w:tr>
    </w:tbl>
    <w:p w14:paraId="1538271A">
      <w:pPr>
        <w:spacing w:line="360" w:lineRule="auto"/>
        <w:ind w:firstLine="420" w:firstLineChars="200"/>
        <w:jc w:val="center"/>
        <w:rPr>
          <w:rFonts w:ascii="宋体" w:hAnsi="宋体" w:eastAsia="宋体"/>
          <w:szCs w:val="21"/>
        </w:rPr>
      </w:pPr>
    </w:p>
    <w:p w14:paraId="3023052E">
      <w:pPr>
        <w:spacing w:line="360" w:lineRule="auto"/>
        <w:ind w:firstLine="482" w:firstLineChars="200"/>
        <w:outlineLvl w:val="0"/>
        <w:rPr>
          <w:rFonts w:hint="eastAsia" w:ascii="宋体" w:hAnsi="宋体" w:eastAsia="宋体"/>
          <w:b/>
          <w:bCs/>
          <w:sz w:val="24"/>
          <w:szCs w:val="24"/>
        </w:rPr>
      </w:pPr>
      <w:bookmarkStart w:id="17" w:name="_Toc6738"/>
      <w:r>
        <w:rPr>
          <w:rFonts w:hint="eastAsia" w:ascii="宋体" w:hAnsi="宋体" w:eastAsia="宋体"/>
          <w:b/>
          <w:bCs/>
          <w:sz w:val="24"/>
          <w:szCs w:val="24"/>
        </w:rPr>
        <w:t>三、评判方式</w:t>
      </w:r>
      <w:bookmarkEnd w:id="17"/>
    </w:p>
    <w:p w14:paraId="4A8A8968">
      <w:pPr>
        <w:spacing w:line="360" w:lineRule="auto"/>
        <w:ind w:firstLine="482" w:firstLineChars="200"/>
        <w:outlineLvl w:val="1"/>
        <w:rPr>
          <w:rFonts w:hint="eastAsia" w:ascii="宋体" w:hAnsi="宋体" w:eastAsia="宋体"/>
          <w:b/>
          <w:bCs/>
          <w:sz w:val="24"/>
          <w:szCs w:val="24"/>
        </w:rPr>
      </w:pPr>
      <w:bookmarkStart w:id="18" w:name="_Toc1539"/>
      <w:r>
        <w:rPr>
          <w:rFonts w:hint="eastAsia" w:ascii="宋体" w:hAnsi="宋体" w:eastAsia="宋体"/>
          <w:b/>
          <w:bCs/>
          <w:sz w:val="24"/>
          <w:szCs w:val="24"/>
        </w:rPr>
        <w:t>（一）评判流程</w:t>
      </w:r>
      <w:bookmarkEnd w:id="18"/>
    </w:p>
    <w:p w14:paraId="3FC630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实操比赛评分由过程评分、结果评分、违规扣分三部分组成。</w:t>
      </w:r>
    </w:p>
    <w:p w14:paraId="313F708C">
      <w:pPr>
        <w:spacing w:line="360" w:lineRule="auto"/>
        <w:ind w:firstLine="482" w:firstLineChars="200"/>
        <w:outlineLvl w:val="2"/>
        <w:rPr>
          <w:rFonts w:hint="eastAsia" w:ascii="宋体" w:hAnsi="宋体" w:eastAsia="宋体"/>
          <w:b/>
          <w:bCs/>
          <w:sz w:val="24"/>
          <w:szCs w:val="24"/>
        </w:rPr>
      </w:pPr>
      <w:bookmarkStart w:id="19" w:name="_Toc10037"/>
      <w:r>
        <w:rPr>
          <w:rFonts w:hint="eastAsia" w:ascii="宋体" w:hAnsi="宋体" w:eastAsia="宋体"/>
          <w:b/>
          <w:bCs/>
          <w:sz w:val="24"/>
          <w:szCs w:val="24"/>
        </w:rPr>
        <w:t>1．过程评分</w:t>
      </w:r>
      <w:bookmarkEnd w:id="19"/>
    </w:p>
    <w:p w14:paraId="0A15134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过程评分至少由2名现场评分裁判根据评分细则，共同对选手的操作进行现场评分；若现场评分裁判对选手的评分有分歧，由现场裁判长裁决。职业素养评分至少由2名现场评分裁判在竞赛过程中独立评分，由现场裁判长进行综合，产生选手的职业素养成绩。</w:t>
      </w:r>
    </w:p>
    <w:p w14:paraId="659168AD">
      <w:pPr>
        <w:spacing w:line="360" w:lineRule="auto"/>
        <w:ind w:firstLine="482" w:firstLineChars="200"/>
        <w:outlineLvl w:val="2"/>
        <w:rPr>
          <w:rFonts w:hint="eastAsia" w:ascii="宋体" w:hAnsi="宋体" w:eastAsia="宋体"/>
          <w:b/>
          <w:bCs/>
          <w:sz w:val="24"/>
          <w:szCs w:val="24"/>
        </w:rPr>
      </w:pPr>
      <w:bookmarkStart w:id="20" w:name="_Toc7293"/>
      <w:r>
        <w:rPr>
          <w:rFonts w:hint="eastAsia" w:ascii="宋体" w:hAnsi="宋体" w:eastAsia="宋体"/>
          <w:b/>
          <w:bCs/>
          <w:sz w:val="24"/>
          <w:szCs w:val="24"/>
        </w:rPr>
        <w:t>2.结果评分</w:t>
      </w:r>
      <w:bookmarkEnd w:id="20"/>
    </w:p>
    <w:p w14:paraId="6E00802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结果评分至少由2名裁判根据评分细则进行客观评分，并记录评分结果。</w:t>
      </w:r>
    </w:p>
    <w:p w14:paraId="2441ADB7">
      <w:pPr>
        <w:spacing w:line="360" w:lineRule="auto"/>
        <w:ind w:firstLine="482" w:firstLineChars="200"/>
        <w:outlineLvl w:val="2"/>
        <w:rPr>
          <w:rFonts w:hint="eastAsia" w:ascii="宋体" w:hAnsi="宋体" w:eastAsia="宋体"/>
          <w:b/>
          <w:bCs/>
          <w:sz w:val="24"/>
          <w:szCs w:val="24"/>
        </w:rPr>
      </w:pPr>
      <w:bookmarkStart w:id="21" w:name="_Toc24824"/>
      <w:r>
        <w:rPr>
          <w:rFonts w:hint="eastAsia" w:ascii="宋体" w:hAnsi="宋体" w:eastAsia="宋体"/>
          <w:b/>
          <w:bCs/>
          <w:sz w:val="24"/>
          <w:szCs w:val="24"/>
        </w:rPr>
        <w:t>3.违规扣分</w:t>
      </w:r>
      <w:bookmarkEnd w:id="21"/>
    </w:p>
    <w:p w14:paraId="06B2130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选手竞赛中有下列情形者将予以扣分：</w:t>
      </w:r>
    </w:p>
    <w:p w14:paraId="6BE0D82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（1）在完成工作任务的过程中，因操作不当导致事故，扣总分的10%～15%，情况严重者取消竞赛资格。</w:t>
      </w:r>
    </w:p>
    <w:p w14:paraId="07C5990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（2）因违规操作损坏赛场提供的设备、污染赛场环境等严重不符合职业规范的行为，视情节扣总分的5%～10%，情况严重者取消竞赛资格。</w:t>
      </w:r>
    </w:p>
    <w:p w14:paraId="6BBAC23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（3）扰乱赛场秩序，干扰裁判员工作，视情节扣总分的5%～10%，情况严重者取消竞赛资格。</w:t>
      </w:r>
    </w:p>
    <w:p w14:paraId="58C2D35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（4）没有按照竞赛规程和任务书要求，比赛现场工具摆放不整齐、作业流程混乱、着装不规范、资料归档不完整，视情节扣总分的5%～10%。</w:t>
      </w:r>
    </w:p>
    <w:p w14:paraId="4532A1BF">
      <w:pPr>
        <w:spacing w:line="360" w:lineRule="auto"/>
        <w:ind w:firstLine="482" w:firstLineChars="200"/>
        <w:outlineLvl w:val="1"/>
        <w:rPr>
          <w:rFonts w:hint="eastAsia" w:ascii="宋体" w:hAnsi="宋体" w:eastAsia="宋体"/>
          <w:b/>
          <w:bCs/>
          <w:sz w:val="24"/>
          <w:szCs w:val="24"/>
        </w:rPr>
      </w:pPr>
      <w:bookmarkStart w:id="22" w:name="_Toc22974"/>
      <w:r>
        <w:rPr>
          <w:rFonts w:hint="eastAsia" w:ascii="宋体" w:hAnsi="宋体" w:eastAsia="宋体"/>
          <w:b/>
          <w:bCs/>
          <w:sz w:val="24"/>
          <w:szCs w:val="24"/>
        </w:rPr>
        <w:t>（二）评判方法</w:t>
      </w:r>
      <w:bookmarkEnd w:id="22"/>
    </w:p>
    <w:p w14:paraId="21FE6EE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（1）采用过程评分的任务，将根据工具、量具、仪器的选择和使用以及操作步骤、操作方法、操作规范性、操作结果等诸方面进行评分。</w:t>
      </w:r>
    </w:p>
    <w:p w14:paraId="0A8C005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（2）采用结果评分的任务，将根据任务书要求的竞赛任务，对参赛队完成调试、加工、检测、分拣、入库的质量进行评判。</w:t>
      </w:r>
    </w:p>
    <w:p w14:paraId="4E261A0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（3）评分方法和过程要求规范、统一、标准，保证对所有选手一致公平。</w:t>
      </w:r>
    </w:p>
    <w:p w14:paraId="26C2089D">
      <w:pPr>
        <w:spacing w:line="360" w:lineRule="auto"/>
        <w:ind w:firstLine="482" w:firstLineChars="200"/>
        <w:outlineLvl w:val="1"/>
        <w:rPr>
          <w:rFonts w:hint="eastAsia" w:ascii="宋体" w:hAnsi="宋体" w:eastAsia="宋体"/>
          <w:b/>
          <w:bCs/>
          <w:sz w:val="24"/>
          <w:szCs w:val="24"/>
        </w:rPr>
      </w:pPr>
      <w:bookmarkStart w:id="23" w:name="_Toc17208"/>
      <w:r>
        <w:rPr>
          <w:rFonts w:hint="eastAsia" w:ascii="宋体" w:hAnsi="宋体" w:eastAsia="宋体"/>
          <w:b/>
          <w:bCs/>
          <w:sz w:val="24"/>
          <w:szCs w:val="24"/>
        </w:rPr>
        <w:t>（三）成绩复核</w:t>
      </w:r>
      <w:bookmarkEnd w:id="23"/>
    </w:p>
    <w:p w14:paraId="49ABDD9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为保障成绩评判的准确性，监督组将对赛项总成绩排名前30%的所有参赛选手的成绩进行复核，对其余成绩进行抽检复核，抽检覆盖率不得低于15%。如发现成绩错误，以书面方式及时告知裁判长，由裁判长更正成绩并签字确认。复核、抽检错误率超过5%的，裁判组将对所有成绩进行复核。</w:t>
      </w:r>
    </w:p>
    <w:p w14:paraId="6160054D">
      <w:pPr>
        <w:spacing w:line="360" w:lineRule="auto"/>
        <w:ind w:firstLine="482" w:firstLineChars="200"/>
        <w:outlineLvl w:val="1"/>
        <w:rPr>
          <w:rFonts w:hint="eastAsia" w:ascii="宋体" w:hAnsi="宋体" w:eastAsia="宋体"/>
          <w:b/>
          <w:bCs/>
          <w:sz w:val="24"/>
          <w:szCs w:val="24"/>
        </w:rPr>
      </w:pPr>
      <w:bookmarkStart w:id="24" w:name="_Toc22552"/>
      <w:r>
        <w:rPr>
          <w:rFonts w:hint="eastAsia" w:ascii="宋体" w:hAnsi="宋体" w:eastAsia="宋体"/>
          <w:b/>
          <w:bCs/>
          <w:sz w:val="24"/>
          <w:szCs w:val="24"/>
        </w:rPr>
        <w:t>（四）最终成绩</w:t>
      </w:r>
      <w:bookmarkEnd w:id="24"/>
    </w:p>
    <w:p w14:paraId="262D917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赛项最终得分按百分制计分。最终成绩经复核无误，须由裁判长、监督人员签字确认，在实操比赛竞赛全部结束后2小时内公布。</w:t>
      </w:r>
    </w:p>
    <w:p w14:paraId="09EA44AF">
      <w:pPr>
        <w:spacing w:line="360" w:lineRule="auto"/>
        <w:ind w:firstLine="482" w:firstLineChars="200"/>
        <w:outlineLvl w:val="1"/>
        <w:rPr>
          <w:rFonts w:hint="eastAsia" w:ascii="宋体" w:hAnsi="宋体" w:eastAsia="宋体"/>
          <w:b/>
          <w:bCs/>
          <w:sz w:val="24"/>
          <w:szCs w:val="24"/>
        </w:rPr>
      </w:pPr>
      <w:bookmarkStart w:id="25" w:name="_Toc32640"/>
      <w:r>
        <w:rPr>
          <w:rFonts w:hint="eastAsia" w:ascii="宋体" w:hAnsi="宋体" w:eastAsia="宋体"/>
          <w:b/>
          <w:bCs/>
          <w:sz w:val="24"/>
          <w:szCs w:val="24"/>
        </w:rPr>
        <w:t>（五）成绩排序</w:t>
      </w:r>
      <w:bookmarkEnd w:id="25"/>
    </w:p>
    <w:p w14:paraId="7B59B25B">
      <w:pPr>
        <w:spacing w:line="360" w:lineRule="auto"/>
        <w:ind w:firstLine="482" w:firstLineChars="200"/>
        <w:outlineLvl w:val="2"/>
        <w:rPr>
          <w:rFonts w:hint="eastAsia" w:ascii="宋体" w:hAnsi="宋体" w:eastAsia="宋体"/>
          <w:b/>
          <w:bCs/>
          <w:sz w:val="24"/>
          <w:szCs w:val="24"/>
        </w:rPr>
      </w:pPr>
      <w:bookmarkStart w:id="26" w:name="_Toc2402"/>
      <w:r>
        <w:rPr>
          <w:rFonts w:hint="eastAsia" w:ascii="宋体" w:hAnsi="宋体" w:eastAsia="宋体"/>
          <w:b/>
          <w:bCs/>
          <w:sz w:val="24"/>
          <w:szCs w:val="24"/>
        </w:rPr>
        <w:t>1.名次排序方法</w:t>
      </w:r>
      <w:bookmarkEnd w:id="26"/>
    </w:p>
    <w:p w14:paraId="4008B2B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名次的排序根据选手竞赛总分评定结果从高到低依次排定；竞赛总分相同者，用时少的排名在前；若技能实操用时相同，则按“实操任务”得分排名，得分高者排名在前。</w:t>
      </w:r>
    </w:p>
    <w:p w14:paraId="28BC00ED">
      <w:pPr>
        <w:spacing w:line="360" w:lineRule="auto"/>
        <w:ind w:firstLine="482" w:firstLineChars="200"/>
        <w:outlineLvl w:val="2"/>
        <w:rPr>
          <w:rFonts w:hint="eastAsia" w:ascii="宋体" w:hAnsi="宋体" w:eastAsia="宋体"/>
          <w:b/>
          <w:bCs/>
          <w:sz w:val="24"/>
          <w:szCs w:val="24"/>
        </w:rPr>
      </w:pPr>
      <w:bookmarkStart w:id="27" w:name="_Toc5339"/>
      <w:r>
        <w:rPr>
          <w:rFonts w:hint="eastAsia" w:ascii="宋体" w:hAnsi="宋体" w:eastAsia="宋体"/>
          <w:b/>
          <w:bCs/>
          <w:sz w:val="24"/>
          <w:szCs w:val="24"/>
        </w:rPr>
        <w:t>2.奖项设定</w:t>
      </w:r>
      <w:bookmarkEnd w:id="27"/>
    </w:p>
    <w:p w14:paraId="4F7C48A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奖项设定遵照省人社厅相关文相关规定。</w:t>
      </w:r>
    </w:p>
    <w:p w14:paraId="6DFC3696">
      <w:pPr>
        <w:spacing w:line="360" w:lineRule="auto"/>
        <w:ind w:firstLine="482" w:firstLineChars="200"/>
        <w:outlineLvl w:val="0"/>
        <w:rPr>
          <w:rFonts w:hint="eastAsia" w:ascii="宋体" w:hAnsi="宋体" w:eastAsia="宋体"/>
          <w:b/>
          <w:bCs/>
          <w:sz w:val="24"/>
          <w:szCs w:val="24"/>
        </w:rPr>
      </w:pPr>
      <w:bookmarkStart w:id="28" w:name="_Toc15048"/>
      <w:r>
        <w:rPr>
          <w:rFonts w:hint="eastAsia" w:ascii="宋体" w:hAnsi="宋体" w:eastAsia="宋体"/>
          <w:b/>
          <w:bCs/>
          <w:sz w:val="24"/>
          <w:szCs w:val="24"/>
        </w:rPr>
        <w:t>四、大赛基础设施</w:t>
      </w:r>
      <w:bookmarkEnd w:id="28"/>
    </w:p>
    <w:p w14:paraId="7FC705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本赛项职工组（含教师）和学生组采用一致的竞赛平台。</w:t>
      </w:r>
    </w:p>
    <w:p w14:paraId="479CF574">
      <w:pPr>
        <w:spacing w:line="360" w:lineRule="auto"/>
        <w:ind w:firstLine="482" w:firstLineChars="200"/>
        <w:outlineLvl w:val="1"/>
        <w:rPr>
          <w:rFonts w:hint="eastAsia" w:ascii="宋体" w:hAnsi="宋体" w:eastAsia="宋体"/>
          <w:b/>
          <w:bCs/>
          <w:sz w:val="24"/>
          <w:szCs w:val="24"/>
        </w:rPr>
      </w:pPr>
      <w:bookmarkStart w:id="29" w:name="_Toc25830"/>
      <w:r>
        <w:rPr>
          <w:rFonts w:hint="eastAsia" w:ascii="宋体" w:hAnsi="宋体" w:eastAsia="宋体"/>
          <w:b/>
          <w:bCs/>
          <w:sz w:val="24"/>
          <w:szCs w:val="24"/>
        </w:rPr>
        <w:t>赛场设备主要配置清单（具体参数详见附件）</w:t>
      </w:r>
      <w:bookmarkEnd w:id="29"/>
    </w:p>
    <w:p w14:paraId="0ED348F8">
      <w:pPr>
        <w:jc w:val="center"/>
        <w:rPr>
          <w:rFonts w:hint="eastAsia" w:ascii="宋体" w:hAnsi="宋体" w:eastAsia="宋体"/>
          <w:b/>
          <w:bCs/>
          <w:szCs w:val="21"/>
        </w:rPr>
      </w:pPr>
      <w:r>
        <w:rPr>
          <w:rFonts w:hint="eastAsia" w:ascii="宋体" w:hAnsi="宋体" w:eastAsia="宋体"/>
          <w:b/>
          <w:bCs/>
          <w:szCs w:val="21"/>
        </w:rPr>
        <w:t>表2：竞赛设备配置清单</w:t>
      </w:r>
    </w:p>
    <w:tbl>
      <w:tblPr>
        <w:tblStyle w:val="11"/>
        <w:tblW w:w="8080" w:type="dxa"/>
        <w:tblInd w:w="137" w:type="dxa"/>
        <w:tblLayout w:type="autofit"/>
        <w:tblCellMar>
          <w:top w:w="0" w:type="dxa"/>
          <w:left w:w="108" w:type="dxa"/>
          <w:bottom w:w="0" w:type="dxa"/>
          <w:right w:w="108" w:type="dxa"/>
        </w:tblCellMar>
      </w:tblPr>
      <w:tblGrid>
        <w:gridCol w:w="703"/>
        <w:gridCol w:w="1990"/>
        <w:gridCol w:w="993"/>
        <w:gridCol w:w="1701"/>
        <w:gridCol w:w="567"/>
        <w:gridCol w:w="850"/>
        <w:gridCol w:w="1276"/>
      </w:tblGrid>
      <w:tr w14:paraId="057A5062">
        <w:tblPrEx>
          <w:tblCellMar>
            <w:top w:w="0" w:type="dxa"/>
            <w:left w:w="108" w:type="dxa"/>
            <w:bottom w:w="0" w:type="dxa"/>
            <w:right w:w="108" w:type="dxa"/>
          </w:tblCellMar>
        </w:tblPrEx>
        <w:trPr>
          <w:trHeight w:val="620"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A2F9E1">
            <w:pPr>
              <w:widowControl/>
              <w:jc w:val="center"/>
              <w:rPr>
                <w:rFonts w:hint="eastAsia" w:ascii="宋体" w:hAnsi="宋体" w:eastAsia="宋体" w:cs="宋体"/>
                <w:b/>
                <w:bCs/>
                <w:color w:val="000000"/>
                <w:kern w:val="0"/>
                <w:szCs w:val="21"/>
              </w:rPr>
            </w:pPr>
            <w:bookmarkStart w:id="30" w:name="_Hlk174718121"/>
            <w:r>
              <w:rPr>
                <w:rFonts w:hint="eastAsia" w:ascii="宋体" w:hAnsi="宋体" w:eastAsia="宋体" w:cs="宋体"/>
                <w:b/>
                <w:bCs/>
                <w:color w:val="000000"/>
                <w:kern w:val="0"/>
                <w:szCs w:val="21"/>
              </w:rPr>
              <w:t>序号</w:t>
            </w:r>
          </w:p>
        </w:tc>
        <w:tc>
          <w:tcPr>
            <w:tcW w:w="1990" w:type="dxa"/>
            <w:tcBorders>
              <w:top w:val="single" w:color="auto" w:sz="4" w:space="0"/>
              <w:left w:val="nil"/>
              <w:bottom w:val="single" w:color="auto" w:sz="4" w:space="0"/>
              <w:right w:val="single" w:color="auto" w:sz="4" w:space="0"/>
            </w:tcBorders>
            <w:shd w:val="clear" w:color="auto" w:fill="auto"/>
            <w:noWrap/>
            <w:vAlign w:val="center"/>
          </w:tcPr>
          <w:p w14:paraId="395917E3">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设备名称</w:t>
            </w:r>
          </w:p>
        </w:tc>
        <w:tc>
          <w:tcPr>
            <w:tcW w:w="993" w:type="dxa"/>
            <w:tcBorders>
              <w:top w:val="single" w:color="auto" w:sz="4" w:space="0"/>
              <w:left w:val="nil"/>
              <w:bottom w:val="single" w:color="auto" w:sz="4" w:space="0"/>
              <w:right w:val="single" w:color="auto" w:sz="4" w:space="0"/>
            </w:tcBorders>
            <w:shd w:val="clear" w:color="auto" w:fill="auto"/>
            <w:noWrap/>
            <w:vAlign w:val="center"/>
          </w:tcPr>
          <w:p w14:paraId="29F62F91">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品牌</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48B87D1">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型号</w:t>
            </w:r>
          </w:p>
        </w:tc>
        <w:tc>
          <w:tcPr>
            <w:tcW w:w="567" w:type="dxa"/>
            <w:tcBorders>
              <w:top w:val="single" w:color="auto" w:sz="4" w:space="0"/>
              <w:left w:val="nil"/>
              <w:bottom w:val="single" w:color="auto" w:sz="4" w:space="0"/>
              <w:right w:val="single" w:color="auto" w:sz="4" w:space="0"/>
            </w:tcBorders>
            <w:shd w:val="clear" w:color="auto" w:fill="auto"/>
            <w:noWrap/>
            <w:vAlign w:val="center"/>
          </w:tcPr>
          <w:p w14:paraId="57E65B54">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单位</w:t>
            </w:r>
          </w:p>
        </w:tc>
        <w:tc>
          <w:tcPr>
            <w:tcW w:w="850" w:type="dxa"/>
            <w:tcBorders>
              <w:top w:val="single" w:color="auto" w:sz="4" w:space="0"/>
              <w:left w:val="nil"/>
              <w:bottom w:val="single" w:color="auto" w:sz="4" w:space="0"/>
              <w:right w:val="single" w:color="auto" w:sz="4" w:space="0"/>
            </w:tcBorders>
            <w:shd w:val="clear" w:color="auto" w:fill="auto"/>
            <w:noWrap/>
            <w:vAlign w:val="center"/>
          </w:tcPr>
          <w:p w14:paraId="3B4A8FC4">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数量/工位</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367A1B69">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备注</w:t>
            </w:r>
          </w:p>
        </w:tc>
      </w:tr>
      <w:tr w14:paraId="4793446B">
        <w:tblPrEx>
          <w:tblCellMar>
            <w:top w:w="0" w:type="dxa"/>
            <w:left w:w="108" w:type="dxa"/>
            <w:bottom w:w="0" w:type="dxa"/>
            <w:right w:w="108" w:type="dxa"/>
          </w:tblCellMar>
        </w:tblPrEx>
        <w:trPr>
          <w:trHeight w:val="406"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DAED3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4DCA24E0">
            <w:pPr>
              <w:widowControl/>
              <w:rPr>
                <w:rFonts w:hint="eastAsia" w:ascii="宋体" w:hAnsi="宋体" w:eastAsia="宋体" w:cs="宋体"/>
                <w:color w:val="000000"/>
                <w:kern w:val="0"/>
                <w:szCs w:val="21"/>
              </w:rPr>
            </w:pPr>
            <w:r>
              <w:rPr>
                <w:rFonts w:hint="eastAsia" w:ascii="宋体" w:hAnsi="宋体" w:eastAsia="宋体" w:cs="宋体"/>
                <w:color w:val="000000"/>
                <w:kern w:val="0"/>
                <w:szCs w:val="21"/>
              </w:rPr>
              <w:t>智能载运车辆</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F5886E">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7FC2C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XEW-ZY-AU01</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EEA9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B389E">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97C5FD">
            <w:pPr>
              <w:widowControl/>
              <w:jc w:val="center"/>
              <w:rPr>
                <w:rFonts w:hint="eastAsia" w:ascii="宋体" w:hAnsi="宋体" w:eastAsia="宋体" w:cs="宋体"/>
                <w:color w:val="000000"/>
                <w:kern w:val="0"/>
                <w:szCs w:val="21"/>
              </w:rPr>
            </w:pPr>
          </w:p>
        </w:tc>
      </w:tr>
      <w:tr w14:paraId="10CD8543">
        <w:tblPrEx>
          <w:tblCellMar>
            <w:top w:w="0" w:type="dxa"/>
            <w:left w:w="108" w:type="dxa"/>
            <w:bottom w:w="0" w:type="dxa"/>
            <w:right w:w="108" w:type="dxa"/>
          </w:tblCellMar>
        </w:tblPrEx>
        <w:trPr>
          <w:trHeight w:val="497"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35B02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71B28A72">
            <w:pPr>
              <w:widowControl/>
              <w:rPr>
                <w:rFonts w:hint="eastAsia" w:ascii="宋体" w:hAnsi="宋体" w:eastAsia="宋体" w:cs="宋体"/>
                <w:color w:val="000000"/>
                <w:kern w:val="0"/>
                <w:szCs w:val="21"/>
              </w:rPr>
            </w:pPr>
            <w:r>
              <w:rPr>
                <w:rFonts w:hint="eastAsia" w:ascii="宋体" w:hAnsi="宋体" w:eastAsia="宋体" w:cs="宋体"/>
                <w:color w:val="000000"/>
                <w:kern w:val="0"/>
                <w:szCs w:val="21"/>
              </w:rPr>
              <w:t>货物智能装卸平台</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63AE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BEF474">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XEW-ZY-ZX01</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B4F0FC">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8DF4A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EF5CF3">
            <w:pPr>
              <w:widowControl/>
              <w:jc w:val="center"/>
              <w:rPr>
                <w:rFonts w:hint="eastAsia" w:ascii="宋体" w:hAnsi="宋体" w:eastAsia="宋体" w:cs="宋体"/>
                <w:color w:val="000000"/>
                <w:kern w:val="0"/>
                <w:szCs w:val="21"/>
              </w:rPr>
            </w:pPr>
          </w:p>
        </w:tc>
      </w:tr>
      <w:tr w14:paraId="78DC62EE">
        <w:tblPrEx>
          <w:tblCellMar>
            <w:top w:w="0" w:type="dxa"/>
            <w:left w:w="108" w:type="dxa"/>
            <w:bottom w:w="0" w:type="dxa"/>
            <w:right w:w="108" w:type="dxa"/>
          </w:tblCellMar>
        </w:tblPrEx>
        <w:trPr>
          <w:trHeight w:val="986"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7E0A8C">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796760F7">
            <w:pPr>
              <w:widowControl/>
              <w:rPr>
                <w:rFonts w:hint="eastAsia" w:ascii="宋体" w:hAnsi="宋体" w:eastAsia="宋体" w:cs="宋体"/>
                <w:color w:val="000000"/>
                <w:kern w:val="0"/>
                <w:szCs w:val="21"/>
              </w:rPr>
            </w:pPr>
            <w:r>
              <w:rPr>
                <w:rFonts w:hint="eastAsia" w:ascii="宋体" w:hAnsi="宋体" w:eastAsia="宋体" w:cs="宋体"/>
                <w:color w:val="000000"/>
                <w:kern w:val="0"/>
                <w:szCs w:val="21"/>
              </w:rPr>
              <w:t>道路交通设施</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FFE83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7BF22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XEW-ZY-JT01</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048A4C">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3A42D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281DA">
            <w:pPr>
              <w:widowControl/>
              <w:jc w:val="center"/>
              <w:rPr>
                <w:rFonts w:hint="eastAsia" w:ascii="宋体" w:hAnsi="宋体" w:eastAsia="宋体" w:cs="宋体"/>
                <w:color w:val="000000"/>
                <w:kern w:val="0"/>
                <w:szCs w:val="21"/>
              </w:rPr>
            </w:pPr>
          </w:p>
        </w:tc>
      </w:tr>
      <w:tr w14:paraId="3745D894">
        <w:tblPrEx>
          <w:tblCellMar>
            <w:top w:w="0" w:type="dxa"/>
            <w:left w:w="108" w:type="dxa"/>
            <w:bottom w:w="0" w:type="dxa"/>
            <w:right w:w="108" w:type="dxa"/>
          </w:tblCellMar>
        </w:tblPrEx>
        <w:trPr>
          <w:trHeight w:val="911"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CC4364">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6C4221C7">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智能调度系统与操作终端</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16AFF3">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68E368">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XEW-ZY-DD01S</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E8D65C">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746F7F">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E64083">
            <w:pPr>
              <w:widowControl/>
              <w:jc w:val="center"/>
              <w:rPr>
                <w:rFonts w:hint="eastAsia" w:ascii="宋体" w:hAnsi="宋体" w:eastAsia="宋体" w:cs="宋体"/>
                <w:color w:val="000000" w:themeColor="text1"/>
                <w:kern w:val="0"/>
                <w:szCs w:val="21"/>
                <w14:textFill>
                  <w14:solidFill>
                    <w14:schemeClr w14:val="tx1"/>
                  </w14:solidFill>
                </w14:textFill>
              </w:rPr>
            </w:pPr>
          </w:p>
        </w:tc>
      </w:tr>
      <w:tr w14:paraId="0771A3F7">
        <w:tblPrEx>
          <w:tblCellMar>
            <w:top w:w="0" w:type="dxa"/>
            <w:left w:w="108" w:type="dxa"/>
            <w:bottom w:w="0" w:type="dxa"/>
            <w:right w:w="108" w:type="dxa"/>
          </w:tblCellMar>
        </w:tblPrEx>
        <w:trPr>
          <w:trHeight w:val="834"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926A54">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4505D3B6">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图像数据集与训练终端</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97B3A1">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D2D80A">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XEW-ZY-XL01S</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B6EC73">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99B212">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514284">
            <w:pPr>
              <w:widowControl/>
              <w:jc w:val="center"/>
              <w:rPr>
                <w:rFonts w:hint="eastAsia" w:ascii="宋体" w:hAnsi="宋体" w:eastAsia="宋体" w:cs="宋体"/>
                <w:color w:val="000000" w:themeColor="text1"/>
                <w:kern w:val="0"/>
                <w:szCs w:val="21"/>
                <w14:textFill>
                  <w14:solidFill>
                    <w14:schemeClr w14:val="tx1"/>
                  </w14:solidFill>
                </w14:textFill>
              </w:rPr>
            </w:pPr>
          </w:p>
        </w:tc>
      </w:tr>
      <w:tr w14:paraId="16179ECD">
        <w:tblPrEx>
          <w:tblCellMar>
            <w:top w:w="0" w:type="dxa"/>
            <w:left w:w="108" w:type="dxa"/>
            <w:bottom w:w="0" w:type="dxa"/>
            <w:right w:w="108" w:type="dxa"/>
          </w:tblCellMar>
        </w:tblPrEx>
        <w:trPr>
          <w:trHeight w:val="1140"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ABDE5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357CD458">
            <w:pPr>
              <w:widowControl/>
              <w:rPr>
                <w:rFonts w:hint="eastAsia" w:ascii="宋体" w:hAnsi="宋体" w:eastAsia="宋体" w:cs="宋体"/>
                <w:color w:val="000000"/>
                <w:kern w:val="0"/>
                <w:szCs w:val="21"/>
              </w:rPr>
            </w:pPr>
            <w:r>
              <w:rPr>
                <w:rFonts w:hint="eastAsia" w:ascii="宋体" w:hAnsi="宋体" w:eastAsia="宋体" w:cs="宋体"/>
                <w:color w:val="000000"/>
                <w:kern w:val="0"/>
                <w:szCs w:val="21"/>
              </w:rPr>
              <w:t>检测工具套装</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EB04A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1EDFA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XEW-ZY-GJ01</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6C0B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CCFFE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23AD3">
            <w:pPr>
              <w:widowControl/>
              <w:jc w:val="center"/>
              <w:rPr>
                <w:rFonts w:hint="eastAsia" w:ascii="宋体" w:hAnsi="宋体" w:eastAsia="宋体" w:cs="宋体"/>
                <w:color w:val="000000"/>
                <w:kern w:val="0"/>
                <w:szCs w:val="21"/>
              </w:rPr>
            </w:pPr>
          </w:p>
        </w:tc>
      </w:tr>
      <w:tr w14:paraId="61D870E0">
        <w:tblPrEx>
          <w:tblCellMar>
            <w:top w:w="0" w:type="dxa"/>
            <w:left w:w="108" w:type="dxa"/>
            <w:bottom w:w="0" w:type="dxa"/>
            <w:right w:w="108" w:type="dxa"/>
          </w:tblCellMar>
        </w:tblPrEx>
        <w:trPr>
          <w:trHeight w:val="699"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33D26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7</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161B682D">
            <w:pPr>
              <w:widowControl/>
              <w:rPr>
                <w:rFonts w:hint="eastAsia" w:ascii="宋体" w:hAnsi="宋体" w:eastAsia="宋体" w:cs="宋体"/>
                <w:color w:val="000000"/>
                <w:kern w:val="0"/>
                <w:szCs w:val="21"/>
              </w:rPr>
            </w:pPr>
            <w:r>
              <w:rPr>
                <w:rFonts w:hint="eastAsia" w:ascii="宋体" w:hAnsi="宋体" w:eastAsia="宋体" w:cs="宋体"/>
                <w:color w:val="000000"/>
                <w:kern w:val="0"/>
                <w:szCs w:val="21"/>
              </w:rPr>
              <w:t>拆装工具套装</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8470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490E9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XEW-ZY-GJ02</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C0874C">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13586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379E7">
            <w:pPr>
              <w:widowControl/>
              <w:jc w:val="center"/>
              <w:rPr>
                <w:rFonts w:hint="eastAsia" w:ascii="宋体" w:hAnsi="宋体" w:eastAsia="宋体" w:cs="宋体"/>
                <w:color w:val="000000"/>
                <w:kern w:val="0"/>
                <w:szCs w:val="21"/>
              </w:rPr>
            </w:pPr>
          </w:p>
        </w:tc>
      </w:tr>
      <w:tr w14:paraId="1C523951">
        <w:tblPrEx>
          <w:tblCellMar>
            <w:top w:w="0" w:type="dxa"/>
            <w:left w:w="108" w:type="dxa"/>
            <w:bottom w:w="0" w:type="dxa"/>
            <w:right w:w="108" w:type="dxa"/>
          </w:tblCellMar>
        </w:tblPrEx>
        <w:trPr>
          <w:trHeight w:val="689"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6F390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8</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10EBEB2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人员安全防护套装</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AA268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956C6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XEW-RFC-01A</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6B7C7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928FB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F1E17">
            <w:pPr>
              <w:widowControl/>
              <w:jc w:val="center"/>
              <w:rPr>
                <w:rFonts w:hint="eastAsia" w:ascii="宋体" w:hAnsi="宋体" w:eastAsia="宋体" w:cs="宋体"/>
                <w:color w:val="000000"/>
                <w:kern w:val="0"/>
                <w:szCs w:val="21"/>
              </w:rPr>
            </w:pPr>
          </w:p>
        </w:tc>
      </w:tr>
      <w:tr w14:paraId="23F1CCAA">
        <w:tblPrEx>
          <w:tblCellMar>
            <w:top w:w="0" w:type="dxa"/>
            <w:left w:w="108" w:type="dxa"/>
            <w:bottom w:w="0" w:type="dxa"/>
            <w:right w:w="108" w:type="dxa"/>
          </w:tblCellMar>
        </w:tblPrEx>
        <w:trPr>
          <w:trHeight w:val="676" w:hRule="atLeast"/>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6D8D8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9</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14:paraId="1ADC2BB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工位安全防护套装</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8709D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学而为</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915392">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XEW-ZY-FJ01</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3FF96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套</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4FDDC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FCE533">
            <w:pPr>
              <w:widowControl/>
              <w:jc w:val="center"/>
              <w:rPr>
                <w:rFonts w:hint="eastAsia" w:ascii="宋体" w:hAnsi="宋体" w:eastAsia="宋体" w:cs="宋体"/>
                <w:color w:val="000000"/>
                <w:kern w:val="0"/>
                <w:szCs w:val="21"/>
              </w:rPr>
            </w:pPr>
          </w:p>
        </w:tc>
      </w:tr>
      <w:bookmarkEnd w:id="30"/>
    </w:tbl>
    <w:p w14:paraId="6404E6AE">
      <w:pPr>
        <w:spacing w:line="360" w:lineRule="auto"/>
        <w:rPr>
          <w:rFonts w:hint="eastAsia" w:ascii="宋体" w:hAnsi="宋体" w:eastAsia="宋体"/>
          <w:sz w:val="24"/>
          <w:szCs w:val="24"/>
        </w:rPr>
      </w:pPr>
    </w:p>
    <w:p w14:paraId="2D0865D3">
      <w:pPr>
        <w:spacing w:line="360" w:lineRule="auto"/>
        <w:ind w:firstLine="482" w:firstLineChars="200"/>
        <w:outlineLvl w:val="0"/>
        <w:rPr>
          <w:rFonts w:hint="eastAsia" w:ascii="宋体" w:hAnsi="宋体" w:eastAsia="宋体"/>
          <w:b/>
          <w:bCs/>
          <w:sz w:val="24"/>
          <w:szCs w:val="24"/>
        </w:rPr>
      </w:pPr>
      <w:bookmarkStart w:id="31" w:name="_Toc29707"/>
      <w:r>
        <w:rPr>
          <w:rFonts w:hint="eastAsia" w:ascii="宋体" w:hAnsi="宋体" w:eastAsia="宋体"/>
          <w:b/>
          <w:bCs/>
          <w:sz w:val="24"/>
          <w:szCs w:val="24"/>
        </w:rPr>
        <w:t>五、大赛竞赛流程</w:t>
      </w:r>
      <w:bookmarkEnd w:id="31"/>
    </w:p>
    <w:p w14:paraId="36372DC3">
      <w:pPr>
        <w:spacing w:line="360" w:lineRule="auto"/>
        <w:ind w:firstLine="482" w:firstLineChars="200"/>
        <w:outlineLvl w:val="1"/>
        <w:rPr>
          <w:rFonts w:hint="eastAsia" w:ascii="宋体" w:hAnsi="宋体" w:eastAsia="宋体"/>
          <w:b/>
          <w:bCs/>
          <w:sz w:val="24"/>
          <w:szCs w:val="24"/>
        </w:rPr>
      </w:pPr>
      <w:bookmarkStart w:id="32" w:name="_Toc14998"/>
      <w:r>
        <w:rPr>
          <w:rFonts w:hint="eastAsia" w:ascii="宋体" w:hAnsi="宋体" w:eastAsia="宋体"/>
          <w:b/>
          <w:bCs/>
          <w:sz w:val="24"/>
          <w:szCs w:val="24"/>
        </w:rPr>
        <w:t>（一）场次安排</w:t>
      </w:r>
      <w:bookmarkEnd w:id="32"/>
    </w:p>
    <w:p w14:paraId="1975BA9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根据参赛选手报名人数和设备数量而定。</w:t>
      </w:r>
    </w:p>
    <w:p w14:paraId="63D18868">
      <w:pPr>
        <w:spacing w:line="360" w:lineRule="auto"/>
        <w:ind w:firstLine="482" w:firstLineChars="200"/>
        <w:outlineLvl w:val="1"/>
        <w:rPr>
          <w:rFonts w:hint="eastAsia" w:ascii="宋体" w:hAnsi="宋体" w:eastAsia="宋体"/>
          <w:b/>
          <w:bCs/>
          <w:sz w:val="24"/>
          <w:szCs w:val="24"/>
        </w:rPr>
      </w:pPr>
      <w:bookmarkStart w:id="33" w:name="_Toc30130"/>
      <w:r>
        <w:rPr>
          <w:rFonts w:hint="eastAsia" w:ascii="宋体" w:hAnsi="宋体" w:eastAsia="宋体"/>
          <w:b/>
          <w:bCs/>
          <w:sz w:val="24"/>
          <w:szCs w:val="24"/>
        </w:rPr>
        <w:t>（二）场次和工位抽签</w:t>
      </w:r>
      <w:bookmarkEnd w:id="33"/>
    </w:p>
    <w:p w14:paraId="3831C5A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竞赛前，由技术工作委员会统筹考虑参赛人数和设备台套数，确定竞赛场次，工位抽签在赛前30分钟进行。</w:t>
      </w:r>
    </w:p>
    <w:p w14:paraId="6878DB27">
      <w:pPr>
        <w:spacing w:line="360" w:lineRule="auto"/>
        <w:ind w:firstLine="482" w:firstLineChars="200"/>
        <w:outlineLvl w:val="1"/>
        <w:rPr>
          <w:rFonts w:hint="eastAsia" w:ascii="宋体" w:hAnsi="宋体" w:eastAsia="宋体"/>
          <w:b/>
          <w:bCs/>
          <w:sz w:val="24"/>
          <w:szCs w:val="24"/>
        </w:rPr>
      </w:pPr>
      <w:bookmarkStart w:id="34" w:name="_Toc6161"/>
      <w:r>
        <w:rPr>
          <w:rFonts w:hint="eastAsia" w:ascii="宋体" w:hAnsi="宋体" w:eastAsia="宋体"/>
          <w:b/>
          <w:bCs/>
          <w:sz w:val="24"/>
          <w:szCs w:val="24"/>
        </w:rPr>
        <w:t>（三）日程安排</w:t>
      </w:r>
      <w:bookmarkEnd w:id="34"/>
    </w:p>
    <w:p w14:paraId="6203DFC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竞赛前将根据参赛人数、竞赛批次等制定详细日程表，比赛详细流程表另行发布。</w:t>
      </w:r>
    </w:p>
    <w:p w14:paraId="49ACC11D">
      <w:pPr>
        <w:spacing w:line="360" w:lineRule="auto"/>
        <w:ind w:firstLine="482" w:firstLineChars="200"/>
        <w:outlineLvl w:val="0"/>
        <w:rPr>
          <w:rFonts w:hint="eastAsia" w:ascii="宋体" w:hAnsi="宋体" w:eastAsia="宋体"/>
          <w:b/>
          <w:bCs/>
          <w:sz w:val="24"/>
          <w:szCs w:val="24"/>
        </w:rPr>
      </w:pPr>
      <w:bookmarkStart w:id="35" w:name="_Toc30222"/>
      <w:r>
        <w:rPr>
          <w:rFonts w:hint="eastAsia" w:ascii="宋体" w:hAnsi="宋体" w:eastAsia="宋体"/>
          <w:b/>
          <w:bCs/>
          <w:sz w:val="24"/>
          <w:szCs w:val="24"/>
        </w:rPr>
        <w:t>六、裁判员条件和工作内容</w:t>
      </w:r>
      <w:bookmarkEnd w:id="35"/>
    </w:p>
    <w:p w14:paraId="03795DFD">
      <w:pPr>
        <w:spacing w:line="360" w:lineRule="auto"/>
        <w:ind w:firstLine="482" w:firstLineChars="200"/>
        <w:outlineLvl w:val="1"/>
        <w:rPr>
          <w:rFonts w:hint="eastAsia" w:ascii="宋体" w:hAnsi="宋体" w:eastAsia="宋体"/>
          <w:b/>
          <w:bCs/>
          <w:sz w:val="24"/>
          <w:szCs w:val="24"/>
        </w:rPr>
      </w:pPr>
      <w:bookmarkStart w:id="36" w:name="_Toc3133"/>
      <w:r>
        <w:rPr>
          <w:rFonts w:hint="eastAsia" w:ascii="宋体" w:hAnsi="宋体" w:eastAsia="宋体"/>
          <w:b/>
          <w:bCs/>
          <w:sz w:val="24"/>
          <w:szCs w:val="24"/>
        </w:rPr>
        <w:t>（一）裁判长</w:t>
      </w:r>
      <w:bookmarkEnd w:id="36"/>
    </w:p>
    <w:p w14:paraId="6DD1C90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实行裁判长负责制，全面负责本赛项的竞赛执裁工作。裁判长和副裁判长由大赛全国组委会通过遴选审核确定，大赛全国组委会全力配合裁判长完成竞赛组织和裁判管理工作。裁判长、副裁判长要全面了解竞赛技术要点、竞赛组织过程、裁判技术规范。</w:t>
      </w:r>
    </w:p>
    <w:p w14:paraId="2419E7A3">
      <w:pPr>
        <w:spacing w:line="360" w:lineRule="auto"/>
        <w:ind w:firstLine="482" w:firstLineChars="200"/>
        <w:outlineLvl w:val="1"/>
        <w:rPr>
          <w:rFonts w:hint="eastAsia" w:ascii="宋体" w:hAnsi="宋体" w:eastAsia="宋体"/>
          <w:b/>
          <w:bCs/>
          <w:sz w:val="24"/>
          <w:szCs w:val="24"/>
        </w:rPr>
      </w:pPr>
      <w:bookmarkStart w:id="37" w:name="_Toc31473"/>
      <w:r>
        <w:rPr>
          <w:rFonts w:hint="eastAsia" w:ascii="宋体" w:hAnsi="宋体" w:eastAsia="宋体"/>
          <w:b/>
          <w:bCs/>
          <w:sz w:val="24"/>
          <w:szCs w:val="24"/>
        </w:rPr>
        <w:t>（二）裁判员的条件和组成</w:t>
      </w:r>
      <w:bookmarkEnd w:id="37"/>
    </w:p>
    <w:p w14:paraId="1A13558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须符合裁判员工作管理规范，赛前由技术工作委员会统一组织裁判员培训。参加决赛执裁的裁判员由技术工作委员会抽取和推荐。被抽取或推荐的裁判员在大赛前可申请不参加裁判工作并放弃相应权利。一旦确认担任裁判员工作后，比赛中途不得更换人选。若裁判员不能满足裁判等技术工作需要，由裁判长按照大赛全国组委会相关要求处理。</w:t>
      </w:r>
    </w:p>
    <w:p w14:paraId="3E07DCF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应服从裁判长的管理，裁判员的工作由裁判长指派或抽签决定。在工作时间内，裁判员不得徇私舞弊、无故迟到、早退、中途离开工作地或放弃工作，否则将视其影响程度进行相应处理，直至取消裁判员资格并记录在案。</w:t>
      </w:r>
    </w:p>
    <w:p w14:paraId="7BB5037B">
      <w:pPr>
        <w:spacing w:line="360" w:lineRule="auto"/>
        <w:ind w:firstLine="482" w:firstLineChars="200"/>
        <w:outlineLvl w:val="1"/>
        <w:rPr>
          <w:rFonts w:hint="eastAsia" w:ascii="宋体" w:hAnsi="宋体" w:eastAsia="宋体"/>
          <w:b/>
          <w:bCs/>
          <w:sz w:val="24"/>
          <w:szCs w:val="24"/>
        </w:rPr>
      </w:pPr>
      <w:bookmarkStart w:id="38" w:name="_Toc5629"/>
      <w:r>
        <w:rPr>
          <w:rFonts w:hint="eastAsia" w:ascii="宋体" w:hAnsi="宋体" w:eastAsia="宋体"/>
          <w:b/>
          <w:bCs/>
          <w:sz w:val="24"/>
          <w:szCs w:val="24"/>
        </w:rPr>
        <w:t>（三）裁判员的工作内容</w:t>
      </w:r>
      <w:bookmarkEnd w:id="38"/>
    </w:p>
    <w:p w14:paraId="6A537061">
      <w:pPr>
        <w:spacing w:line="360" w:lineRule="auto"/>
        <w:ind w:firstLine="482" w:firstLineChars="200"/>
        <w:outlineLvl w:val="2"/>
        <w:rPr>
          <w:rFonts w:hint="eastAsia" w:ascii="宋体" w:hAnsi="宋体" w:eastAsia="宋体"/>
          <w:b/>
          <w:bCs/>
          <w:sz w:val="24"/>
          <w:szCs w:val="24"/>
        </w:rPr>
      </w:pPr>
      <w:bookmarkStart w:id="39" w:name="_Toc24204"/>
      <w:r>
        <w:rPr>
          <w:rFonts w:hint="eastAsia" w:ascii="宋体" w:hAnsi="宋体" w:eastAsia="宋体"/>
          <w:b/>
          <w:bCs/>
          <w:sz w:val="24"/>
          <w:szCs w:val="24"/>
        </w:rPr>
        <w:t>1.裁判员赛前培训</w:t>
      </w:r>
      <w:bookmarkEnd w:id="39"/>
    </w:p>
    <w:p w14:paraId="10F17F2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裁判员需在赛前参加裁判工作培训，掌握与执裁工作相关的大赛制度要求和赛项竞赛规则，具体包括：竞赛技术规则、竞赛技术平台、评分方式、评分标准、成绩管理流程、安全注意事项和安全应急预案等。</w:t>
      </w:r>
    </w:p>
    <w:p w14:paraId="1BA69A03">
      <w:pPr>
        <w:spacing w:line="360" w:lineRule="auto"/>
        <w:ind w:firstLine="482" w:firstLineChars="200"/>
        <w:outlineLvl w:val="2"/>
        <w:rPr>
          <w:rFonts w:hint="eastAsia" w:ascii="宋体" w:hAnsi="宋体" w:eastAsia="宋体"/>
          <w:b/>
          <w:bCs/>
          <w:sz w:val="24"/>
          <w:szCs w:val="24"/>
        </w:rPr>
      </w:pPr>
      <w:bookmarkStart w:id="40" w:name="_Toc2618"/>
      <w:r>
        <w:rPr>
          <w:rFonts w:hint="eastAsia" w:ascii="宋体" w:hAnsi="宋体" w:eastAsia="宋体"/>
          <w:b/>
          <w:bCs/>
          <w:sz w:val="24"/>
          <w:szCs w:val="24"/>
        </w:rPr>
        <w:t>2.裁判员分组</w:t>
      </w:r>
      <w:bookmarkEnd w:id="40"/>
    </w:p>
    <w:p w14:paraId="7F08591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在裁判长的安排下，对裁判员进行分组，并明确组内人员分工及工作职责、工作流程和工作要求等。</w:t>
      </w:r>
    </w:p>
    <w:p w14:paraId="7E4EE035">
      <w:pPr>
        <w:spacing w:line="360" w:lineRule="auto"/>
        <w:ind w:firstLine="482" w:firstLineChars="200"/>
        <w:outlineLvl w:val="2"/>
        <w:rPr>
          <w:rFonts w:hint="eastAsia" w:ascii="宋体" w:hAnsi="宋体" w:eastAsia="宋体"/>
          <w:b/>
          <w:bCs/>
          <w:sz w:val="24"/>
          <w:szCs w:val="24"/>
        </w:rPr>
      </w:pPr>
      <w:bookmarkStart w:id="41" w:name="_Toc16337"/>
      <w:r>
        <w:rPr>
          <w:rFonts w:hint="eastAsia" w:ascii="宋体" w:hAnsi="宋体" w:eastAsia="宋体"/>
          <w:b/>
          <w:bCs/>
          <w:sz w:val="24"/>
          <w:szCs w:val="24"/>
        </w:rPr>
        <w:t>3.赛前准备</w:t>
      </w:r>
      <w:bookmarkEnd w:id="41"/>
    </w:p>
    <w:p w14:paraId="1232E54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裁判执裁前对赛场设备设施的规范性、完整性和安全性进行检查，做好执裁的准备工作。</w:t>
      </w:r>
    </w:p>
    <w:p w14:paraId="4591CBF9">
      <w:pPr>
        <w:spacing w:line="360" w:lineRule="auto"/>
        <w:ind w:firstLine="482" w:firstLineChars="200"/>
        <w:outlineLvl w:val="2"/>
        <w:rPr>
          <w:rFonts w:hint="eastAsia" w:ascii="宋体" w:hAnsi="宋体" w:eastAsia="宋体"/>
          <w:b/>
          <w:bCs/>
          <w:sz w:val="24"/>
          <w:szCs w:val="24"/>
        </w:rPr>
      </w:pPr>
      <w:bookmarkStart w:id="42" w:name="_Toc23321"/>
      <w:r>
        <w:rPr>
          <w:rFonts w:hint="eastAsia" w:ascii="宋体" w:hAnsi="宋体" w:eastAsia="宋体"/>
          <w:b/>
          <w:bCs/>
          <w:sz w:val="24"/>
          <w:szCs w:val="24"/>
        </w:rPr>
        <w:t>4.现场执裁</w:t>
      </w:r>
      <w:bookmarkEnd w:id="42"/>
    </w:p>
    <w:p w14:paraId="7E7233C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负责引导选手在赛位或等候区域等待竞赛指令。期间，现场裁判需向选手宣读竞赛须知，提醒选手遵照安全规定和操作规范进行竞赛。竞赛过程中，裁判员不得单独接近选手，除非选手举手示意裁判员解决竞赛中出现的问题，或选手出现严重违规行为。裁判员无权解释竞赛试题内容。竞赛中现场裁判需做好赛场纪律的维护，对有违规行为的选手提出警告，对严重违规选手，应按竞赛规程予以停赛或取消竞赛资格等处理，并记录在《赛场情况记录表》。在具有危险性的作业环节，裁判员要严防选手出现错误操作。现场裁判适时提醒选手竞赛剩余时间，到竞赛结束时，选手仍未停止作业，现场裁判在确保安全前提下有权强制终止选手作业。加密裁判和现场裁判负责检查选手携带的物品，违规物品一律清出赛场。竞赛结束后裁判员要指令选手停止竞赛，监督选手提交一切竞赛文件。竞赛换场期间，现场裁判须做好选手的隔离工作。</w:t>
      </w:r>
    </w:p>
    <w:p w14:paraId="7E39CE88">
      <w:pPr>
        <w:spacing w:line="360" w:lineRule="auto"/>
        <w:ind w:firstLine="482" w:firstLineChars="200"/>
        <w:outlineLvl w:val="2"/>
        <w:rPr>
          <w:rFonts w:hint="eastAsia" w:ascii="宋体" w:hAnsi="宋体" w:eastAsia="宋体"/>
          <w:b/>
          <w:bCs/>
          <w:sz w:val="24"/>
          <w:szCs w:val="24"/>
        </w:rPr>
      </w:pPr>
      <w:bookmarkStart w:id="43" w:name="_Toc25415"/>
      <w:r>
        <w:rPr>
          <w:rFonts w:hint="eastAsia" w:ascii="宋体" w:hAnsi="宋体" w:eastAsia="宋体"/>
          <w:b/>
          <w:bCs/>
          <w:sz w:val="24"/>
          <w:szCs w:val="24"/>
        </w:rPr>
        <w:t>5.竞赛作品加密和解密</w:t>
      </w:r>
      <w:bookmarkEnd w:id="43"/>
    </w:p>
    <w:p w14:paraId="62548D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加密由加密裁判员负责；评分结果得出后，加密裁判在监督人员监督下对加密结果进行解密，并形成最终成绩单。</w:t>
      </w:r>
    </w:p>
    <w:p w14:paraId="60CED990">
      <w:pPr>
        <w:spacing w:line="360" w:lineRule="auto"/>
        <w:ind w:firstLine="482" w:firstLineChars="200"/>
        <w:outlineLvl w:val="2"/>
        <w:rPr>
          <w:rFonts w:hint="eastAsia" w:ascii="宋体" w:hAnsi="宋体" w:eastAsia="宋体"/>
          <w:b/>
          <w:bCs/>
          <w:sz w:val="24"/>
          <w:szCs w:val="24"/>
        </w:rPr>
      </w:pPr>
      <w:bookmarkStart w:id="44" w:name="_Toc21017"/>
      <w:r>
        <w:rPr>
          <w:rFonts w:hint="eastAsia" w:ascii="宋体" w:hAnsi="宋体" w:eastAsia="宋体"/>
          <w:b/>
          <w:bCs/>
          <w:sz w:val="24"/>
          <w:szCs w:val="24"/>
        </w:rPr>
        <w:t>6.竞赛材料和作品管理</w:t>
      </w:r>
      <w:bookmarkEnd w:id="44"/>
    </w:p>
    <w:p w14:paraId="336077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现场裁判须在规定时间发放赛题等竞赛材料，于赛后回收、密封所有竞赛作品和资料，并将其交给承办单位就地按规定保存。</w:t>
      </w:r>
    </w:p>
    <w:p w14:paraId="16C28157">
      <w:pPr>
        <w:spacing w:line="360" w:lineRule="auto"/>
        <w:ind w:firstLine="482" w:firstLineChars="200"/>
        <w:outlineLvl w:val="2"/>
        <w:rPr>
          <w:rFonts w:hint="eastAsia" w:ascii="宋体" w:hAnsi="宋体" w:eastAsia="宋体"/>
          <w:b/>
          <w:bCs/>
          <w:sz w:val="24"/>
          <w:szCs w:val="24"/>
        </w:rPr>
      </w:pPr>
      <w:bookmarkStart w:id="45" w:name="_Toc28478"/>
      <w:r>
        <w:rPr>
          <w:rFonts w:hint="eastAsia" w:ascii="宋体" w:hAnsi="宋体" w:eastAsia="宋体"/>
          <w:b/>
          <w:bCs/>
          <w:sz w:val="24"/>
          <w:szCs w:val="24"/>
        </w:rPr>
        <w:t>7.成绩复核及数据录入、统计</w:t>
      </w:r>
      <w:bookmarkEnd w:id="45"/>
    </w:p>
    <w:p w14:paraId="7B4996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如在成绩复核中发现错误，裁判长须会同相关评分裁判更正成绩并签字确认。</w:t>
      </w:r>
    </w:p>
    <w:p w14:paraId="511A4168">
      <w:pPr>
        <w:spacing w:line="360" w:lineRule="auto"/>
        <w:ind w:firstLine="482" w:firstLineChars="200"/>
        <w:outlineLvl w:val="1"/>
        <w:rPr>
          <w:rFonts w:hint="eastAsia" w:ascii="宋体" w:hAnsi="宋体" w:eastAsia="宋体"/>
          <w:b/>
          <w:bCs/>
          <w:sz w:val="24"/>
          <w:szCs w:val="24"/>
        </w:rPr>
      </w:pPr>
      <w:bookmarkStart w:id="46" w:name="_Toc7150"/>
      <w:r>
        <w:rPr>
          <w:rFonts w:hint="eastAsia" w:ascii="宋体" w:hAnsi="宋体" w:eastAsia="宋体"/>
          <w:b/>
          <w:bCs/>
          <w:sz w:val="24"/>
          <w:szCs w:val="24"/>
        </w:rPr>
        <w:t>（四）裁判员在评判工作中的任务</w:t>
      </w:r>
      <w:bookmarkEnd w:id="46"/>
    </w:p>
    <w:p w14:paraId="077A147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根据裁判长的安排，在竞赛过程中进行执裁，根据参赛选手的现场表现，依据赛题要求、评分细则完成过程记录和评分，填写记录评分表并签字确认；结果评分裁判根据参赛选手提交的竞赛成果，依据评分细则进行评分；统分裁判负责在监督人员监督下完成统分工作，统分表须由统分裁判、裁判长、监督组成员共同签字确认。各模块统分结束后，统分裁判在监督人员监督下完成汇总计分工作，填写成绩汇总表。在正式公布竞赛成绩之前，任何人员不得泄露评分结果。</w:t>
      </w:r>
    </w:p>
    <w:p w14:paraId="78086D6C">
      <w:pPr>
        <w:spacing w:line="360" w:lineRule="auto"/>
        <w:ind w:firstLine="482" w:firstLineChars="200"/>
        <w:outlineLvl w:val="1"/>
        <w:rPr>
          <w:rFonts w:hint="eastAsia" w:ascii="宋体" w:hAnsi="宋体" w:eastAsia="宋体"/>
          <w:b/>
          <w:bCs/>
          <w:sz w:val="24"/>
          <w:szCs w:val="24"/>
        </w:rPr>
      </w:pPr>
      <w:bookmarkStart w:id="47" w:name="_Toc1717"/>
      <w:r>
        <w:rPr>
          <w:rFonts w:hint="eastAsia" w:ascii="宋体" w:hAnsi="宋体" w:eastAsia="宋体"/>
          <w:b/>
          <w:bCs/>
          <w:sz w:val="24"/>
          <w:szCs w:val="24"/>
        </w:rPr>
        <w:t>（五）裁判员在评判中的纪律和要求</w:t>
      </w:r>
      <w:bookmarkEnd w:id="47"/>
    </w:p>
    <w:p w14:paraId="10F6846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1.裁判员必须服从竞赛规则要求，认真履行相关工作职责和流程。裁判员在工作期间不得使用手机、照相机、录像机等通信和数据存储设备。在竞赛、评分过程中，不得拍照赛题、图纸、竞赛作品。</w:t>
      </w:r>
    </w:p>
    <w:p w14:paraId="454B3AF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2.监督仲裁人员不得干扰裁判人员工作，对于执裁评分的质疑应向裁判长提出，并由裁判长视相关问题做出解释和解决。</w:t>
      </w:r>
    </w:p>
    <w:p w14:paraId="722234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3.主观评判时裁判员不得相互讨论，不得引导他人判断。</w:t>
      </w:r>
    </w:p>
    <w:p w14:paraId="25450E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4.过程评分要由至少两位裁判共同执裁。</w:t>
      </w:r>
    </w:p>
    <w:p w14:paraId="6552FC1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5.现场裁判应及时响应参赛选手提出的问题和合理要求。</w:t>
      </w:r>
    </w:p>
    <w:p w14:paraId="0F3F722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6.现场裁判不得接近正在比赛的选手，不得在比赛选手附近评论或讨论任何问题。</w:t>
      </w:r>
    </w:p>
    <w:p w14:paraId="100B0981">
      <w:pPr>
        <w:spacing w:line="360" w:lineRule="auto"/>
        <w:ind w:firstLine="480" w:firstLineChars="200"/>
        <w:outlineLvl w:val="2"/>
        <w:rPr>
          <w:rFonts w:hint="eastAsia" w:ascii="宋体" w:hAnsi="宋体" w:eastAsia="宋体"/>
          <w:sz w:val="24"/>
          <w:szCs w:val="24"/>
        </w:rPr>
      </w:pPr>
      <w:bookmarkStart w:id="48" w:name="_Toc15435"/>
      <w:r>
        <w:rPr>
          <w:rFonts w:hint="eastAsia" w:ascii="宋体" w:hAnsi="宋体" w:eastAsia="宋体"/>
          <w:sz w:val="24"/>
          <w:szCs w:val="24"/>
        </w:rPr>
        <w:t>7.现场裁判须负责比赛全过程的安全检查。</w:t>
      </w:r>
      <w:bookmarkEnd w:id="48"/>
    </w:p>
    <w:p w14:paraId="2BC8D97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8.裁判长有权对评判结果造成不良影响等情况的裁判人员做出终止其裁判工作的处理。</w:t>
      </w:r>
    </w:p>
    <w:p w14:paraId="534AF58E">
      <w:pPr>
        <w:spacing w:line="360" w:lineRule="auto"/>
        <w:ind w:firstLine="482" w:firstLineChars="200"/>
        <w:outlineLvl w:val="0"/>
        <w:rPr>
          <w:rFonts w:hint="eastAsia" w:ascii="宋体" w:hAnsi="宋体" w:eastAsia="宋体"/>
          <w:b/>
          <w:bCs/>
          <w:sz w:val="24"/>
          <w:szCs w:val="24"/>
        </w:rPr>
      </w:pPr>
      <w:bookmarkStart w:id="49" w:name="_Toc8316"/>
      <w:r>
        <w:rPr>
          <w:rFonts w:hint="eastAsia" w:ascii="宋体" w:hAnsi="宋体" w:eastAsia="宋体"/>
          <w:b/>
          <w:bCs/>
          <w:sz w:val="24"/>
          <w:szCs w:val="24"/>
        </w:rPr>
        <w:t>七、选手的条件和工作内容</w:t>
      </w:r>
      <w:bookmarkEnd w:id="49"/>
    </w:p>
    <w:p w14:paraId="7DBB2E2F">
      <w:pPr>
        <w:spacing w:line="360" w:lineRule="auto"/>
        <w:ind w:firstLine="482" w:firstLineChars="200"/>
        <w:outlineLvl w:val="1"/>
        <w:rPr>
          <w:rFonts w:hint="eastAsia" w:ascii="宋体" w:hAnsi="宋体" w:eastAsia="宋体"/>
          <w:b/>
          <w:bCs/>
          <w:sz w:val="24"/>
          <w:szCs w:val="24"/>
        </w:rPr>
      </w:pPr>
      <w:bookmarkStart w:id="50" w:name="_Toc28930"/>
      <w:r>
        <w:rPr>
          <w:rFonts w:hint="eastAsia" w:ascii="宋体" w:hAnsi="宋体" w:eastAsia="宋体"/>
          <w:b/>
          <w:bCs/>
          <w:sz w:val="24"/>
          <w:szCs w:val="24"/>
        </w:rPr>
        <w:t>（一）选手的条件和要求</w:t>
      </w:r>
      <w:bookmarkEnd w:id="50"/>
    </w:p>
    <w:p w14:paraId="3311E1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凡从事相关专业或职业的企业职工、院校教师、职业院校（含技工院校）在籍学生均可报名参加本次比赛。</w:t>
      </w:r>
    </w:p>
    <w:p w14:paraId="76422959">
      <w:pPr>
        <w:spacing w:line="360" w:lineRule="auto"/>
        <w:ind w:firstLine="482" w:firstLineChars="200"/>
        <w:outlineLvl w:val="1"/>
        <w:rPr>
          <w:rFonts w:hint="eastAsia" w:ascii="宋体" w:hAnsi="宋体" w:eastAsia="宋体"/>
          <w:b/>
          <w:bCs/>
          <w:sz w:val="24"/>
          <w:szCs w:val="24"/>
        </w:rPr>
      </w:pPr>
      <w:bookmarkStart w:id="51" w:name="_Toc9299"/>
      <w:r>
        <w:rPr>
          <w:rFonts w:hint="eastAsia" w:ascii="宋体" w:hAnsi="宋体" w:eastAsia="宋体"/>
          <w:b/>
          <w:bCs/>
          <w:sz w:val="24"/>
          <w:szCs w:val="24"/>
        </w:rPr>
        <w:t>（二）选手的工作内容</w:t>
      </w:r>
      <w:bookmarkEnd w:id="51"/>
    </w:p>
    <w:p w14:paraId="63392940">
      <w:pPr>
        <w:spacing w:line="360" w:lineRule="auto"/>
        <w:ind w:firstLine="482" w:firstLineChars="200"/>
        <w:outlineLvl w:val="2"/>
        <w:rPr>
          <w:rFonts w:hint="eastAsia" w:ascii="宋体" w:hAnsi="宋体" w:eastAsia="宋体"/>
          <w:b/>
          <w:bCs/>
          <w:sz w:val="24"/>
          <w:szCs w:val="24"/>
        </w:rPr>
      </w:pPr>
      <w:bookmarkStart w:id="52" w:name="_Toc1827"/>
      <w:r>
        <w:rPr>
          <w:rFonts w:hint="eastAsia" w:ascii="宋体" w:hAnsi="宋体" w:eastAsia="宋体"/>
          <w:b/>
          <w:bCs/>
          <w:sz w:val="24"/>
          <w:szCs w:val="24"/>
        </w:rPr>
        <w:t>1.熟悉场地和设备</w:t>
      </w:r>
      <w:bookmarkEnd w:id="52"/>
    </w:p>
    <w:p w14:paraId="7BD562F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（1）赛前安排各参赛队选手统一有序的熟悉竞赛场地和设备，不允许拆装设备、不允许修改软件、设备参数等。</w:t>
      </w:r>
    </w:p>
    <w:p w14:paraId="68A112C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（2）熟悉场地时，不得携带手机、相机等设备，不得对赛场及赛场设备拍照。</w:t>
      </w:r>
    </w:p>
    <w:p w14:paraId="065AA0E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（3）熟悉场地时不发表没有根据及有损大赛整体形象的言论。</w:t>
      </w:r>
    </w:p>
    <w:p w14:paraId="4FF195C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（4）熟悉场地时严格遵守大赛各种制度，严禁拥挤，喧哗，以免发生意外事故。</w:t>
      </w:r>
    </w:p>
    <w:p w14:paraId="020B4B36">
      <w:pPr>
        <w:spacing w:line="360" w:lineRule="auto"/>
        <w:ind w:firstLine="482" w:firstLineChars="200"/>
        <w:outlineLvl w:val="2"/>
        <w:rPr>
          <w:rFonts w:hint="eastAsia" w:ascii="宋体" w:hAnsi="宋体" w:eastAsia="宋体"/>
          <w:b/>
          <w:bCs/>
          <w:sz w:val="24"/>
          <w:szCs w:val="24"/>
        </w:rPr>
      </w:pPr>
      <w:bookmarkStart w:id="53" w:name="_Toc26136"/>
      <w:r>
        <w:rPr>
          <w:rFonts w:hint="eastAsia" w:ascii="宋体" w:hAnsi="宋体" w:eastAsia="宋体"/>
          <w:b/>
          <w:bCs/>
          <w:sz w:val="24"/>
          <w:szCs w:val="24"/>
        </w:rPr>
        <w:t>2.检录时</w:t>
      </w:r>
      <w:bookmarkEnd w:id="53"/>
    </w:p>
    <w:p w14:paraId="0651034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选手抽签确定赛位。</w:t>
      </w:r>
    </w:p>
    <w:p w14:paraId="6CF77829">
      <w:pPr>
        <w:spacing w:line="360" w:lineRule="auto"/>
        <w:ind w:firstLine="482" w:firstLineChars="200"/>
        <w:outlineLvl w:val="2"/>
        <w:rPr>
          <w:rFonts w:hint="eastAsia" w:ascii="宋体" w:hAnsi="宋体" w:eastAsia="宋体"/>
          <w:b/>
          <w:bCs/>
          <w:sz w:val="24"/>
          <w:szCs w:val="24"/>
        </w:rPr>
      </w:pPr>
      <w:bookmarkStart w:id="54" w:name="_Toc31228"/>
      <w:r>
        <w:rPr>
          <w:rFonts w:hint="eastAsia" w:ascii="宋体" w:hAnsi="宋体" w:eastAsia="宋体"/>
          <w:b/>
          <w:bCs/>
          <w:sz w:val="24"/>
          <w:szCs w:val="24"/>
        </w:rPr>
        <w:t>3.竞赛过程中</w:t>
      </w:r>
      <w:bookmarkEnd w:id="54"/>
    </w:p>
    <w:p w14:paraId="6CC9A4A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选手遵守竞赛纪律，服从赛场规范，按照赛题要求完成竞赛。</w:t>
      </w:r>
    </w:p>
    <w:p w14:paraId="0EBEC7FB">
      <w:pPr>
        <w:spacing w:line="360" w:lineRule="auto"/>
        <w:ind w:firstLine="482" w:firstLineChars="200"/>
        <w:outlineLvl w:val="2"/>
        <w:rPr>
          <w:rFonts w:hint="eastAsia" w:ascii="宋体" w:hAnsi="宋体" w:eastAsia="宋体"/>
          <w:b/>
          <w:bCs/>
          <w:sz w:val="24"/>
          <w:szCs w:val="24"/>
        </w:rPr>
      </w:pPr>
      <w:bookmarkStart w:id="55" w:name="_Toc5948"/>
      <w:r>
        <w:rPr>
          <w:rFonts w:hint="eastAsia" w:ascii="宋体" w:hAnsi="宋体" w:eastAsia="宋体"/>
          <w:b/>
          <w:bCs/>
          <w:sz w:val="24"/>
          <w:szCs w:val="24"/>
        </w:rPr>
        <w:t>4.竞赛结束时</w:t>
      </w:r>
      <w:bookmarkEnd w:id="55"/>
    </w:p>
    <w:p w14:paraId="5ACBAB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选手按照裁判员要求停止竞赛作业，并提交竞赛作品、图纸、U盘、草稿纸等所有相关内容。</w:t>
      </w:r>
    </w:p>
    <w:p w14:paraId="526C7DE9">
      <w:pPr>
        <w:spacing w:line="360" w:lineRule="auto"/>
        <w:ind w:firstLine="482" w:firstLineChars="200"/>
        <w:outlineLvl w:val="1"/>
        <w:rPr>
          <w:rFonts w:hint="eastAsia" w:ascii="宋体" w:hAnsi="宋体" w:eastAsia="宋体"/>
          <w:b/>
          <w:bCs/>
          <w:sz w:val="24"/>
          <w:szCs w:val="24"/>
        </w:rPr>
      </w:pPr>
      <w:bookmarkStart w:id="56" w:name="_Toc13093"/>
      <w:r>
        <w:rPr>
          <w:rFonts w:hint="eastAsia" w:ascii="宋体" w:hAnsi="宋体" w:eastAsia="宋体"/>
          <w:b/>
          <w:bCs/>
          <w:sz w:val="24"/>
          <w:szCs w:val="24"/>
        </w:rPr>
        <w:t>（三）赛场纪律</w:t>
      </w:r>
      <w:bookmarkEnd w:id="56"/>
    </w:p>
    <w:p w14:paraId="2739468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1.选手在竞赛期间不得携带和使用手机、照相机、录像机等通信设备，不得携带非大赛提供的电子存储设备、资料。</w:t>
      </w:r>
    </w:p>
    <w:p w14:paraId="6E35178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2.比赛期间，选手有问题应及时向裁判员反映；选手正常比赛时，裁判员不得主动接近或干涉选手；若选手需要技术支持，裁判员应及时通知相关人员前来解决；若需作出判决，则应报告裁判长，由裁判长决定。</w:t>
      </w:r>
    </w:p>
    <w:p w14:paraId="3855841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3.竞赛结束铃声响起以后，选手应立即停止操作。选手应及时把作品、赛题、图纸、电子存储设备、草稿纸等所有相关文件提交给现场裁判并确认。资料由加密裁判做好加密和保存工作，最终统一提交给裁判长。</w:t>
      </w:r>
    </w:p>
    <w:p w14:paraId="43B8C34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4.未经裁判长允许，选手不得延长比赛时间。</w:t>
      </w:r>
    </w:p>
    <w:p w14:paraId="2228C76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5.未经裁判长允许，竞赛结束后，选手不能离开赛场。</w:t>
      </w:r>
    </w:p>
    <w:p w14:paraId="1177566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6.参赛选手不得损坏竞赛设备和有影响下一场竞赛的行为。</w:t>
      </w:r>
    </w:p>
    <w:p w14:paraId="7D176E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7.参赛选手如果违反前述相关规定和组委会印发的竞赛技术规则，视违规程度，受到“总分扣除10-20分、不得进入前8名、取消竞赛资格”等不同处罚。</w:t>
      </w:r>
    </w:p>
    <w:p w14:paraId="06EDABA7">
      <w:pPr>
        <w:spacing w:line="360" w:lineRule="auto"/>
        <w:ind w:firstLine="482" w:firstLineChars="200"/>
        <w:outlineLvl w:val="2"/>
        <w:rPr>
          <w:rFonts w:hint="eastAsia" w:ascii="宋体" w:hAnsi="宋体" w:eastAsia="宋体"/>
          <w:b/>
          <w:bCs/>
          <w:sz w:val="24"/>
          <w:szCs w:val="24"/>
        </w:rPr>
      </w:pPr>
      <w:bookmarkStart w:id="57" w:name="_Toc18718"/>
      <w:r>
        <w:rPr>
          <w:rFonts w:hint="eastAsia" w:ascii="宋体" w:hAnsi="宋体" w:eastAsia="宋体"/>
          <w:b/>
          <w:bCs/>
          <w:sz w:val="24"/>
          <w:szCs w:val="24"/>
        </w:rPr>
        <w:t>8.选手文明参赛要求</w:t>
      </w:r>
      <w:bookmarkEnd w:id="57"/>
    </w:p>
    <w:p w14:paraId="239EB45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（1）竞赛现场提供竞赛设备、计算机及相关软件、相关技术资料、工具、仪器等，选手不得自带任何纸质资料和存储工具，如出现严重的违规、违纪、舞弊等现象，经裁判组裁定取消竞赛成绩。</w:t>
      </w:r>
    </w:p>
    <w:p w14:paraId="1BAF1CA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（2）参赛选手必须及时备份和保存自己的竞赛数据，防止意外断电及其它情况造成程序或资料的丢失。不按要求存储数据导致数据丢失者，责任自负。</w:t>
      </w:r>
    </w:p>
    <w:p w14:paraId="627BB4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（3）参赛队的竞赛场次和工位号采取抽签的方式确定，竞赛场次签在赛前领队会上抽取，工位签在赛前检录时抽取。</w:t>
      </w:r>
    </w:p>
    <w:p w14:paraId="17C421D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（4）参赛队按照参赛场次进入比赛场地，利用现场提供的所有条件，在规定时间内完成竞赛任务。</w:t>
      </w:r>
    </w:p>
    <w:p w14:paraId="5A5315F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（5）每个组别同场竞赛使用相同赛题，不同场次使用不同赛题。</w:t>
      </w:r>
    </w:p>
    <w:p w14:paraId="1D49355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（6）操作技能竞赛，参赛选手在赛前30-60分钟（以竞赛日程为准），凭参赛证和身份证进入赛场检录。检录工作由检录裁判负责，检录后进行工位抽签。</w:t>
      </w:r>
    </w:p>
    <w:p w14:paraId="499E0D5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14:paraId="22FE856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（8）工位抽签后，由裁判长进行安全教育，确认现场条件，赛前10分钟领取赛题，裁判长宣布竞赛开始后才可开始操作。</w:t>
      </w:r>
    </w:p>
    <w:p w14:paraId="35CFCD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（9）竞赛过程中，选手若需休息、饮水或去洗手间，一律计算在竞赛时间内。</w:t>
      </w:r>
    </w:p>
    <w:p w14:paraId="247238A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14:paraId="5FB992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（11）如果选手提前结束比赛，应报裁判员批准，比赛终止时间由裁判员记录在案，选手提前结束比赛后不得再进行任何竞赛相关工作。选手提前结束竞赛后需原地等待，不得离开赛场，直至本场比赛结束。</w:t>
      </w:r>
    </w:p>
    <w:p w14:paraId="7D28866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（12）裁判长在竞赛结束前15分钟对选手做出提示，裁判长宣布竞赛结束后，选手应立即停止操作。</w:t>
      </w:r>
    </w:p>
    <w:p w14:paraId="3764F17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（13）竞赛结束后，由现场裁判员和选手检查确认提交的内容，现场裁判员当选手面封装上交竞赛作品，选手在收件表上签字确认，现场裁判员签字确认。</w:t>
      </w:r>
    </w:p>
    <w:p w14:paraId="1CBCFA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竞赛结束，选手应立即清理现场，包括竞赛设备及周边卫生并恢复竞赛设备原始状态等。经现场裁判员和现场工作人员确认后方可离开工位。经裁判长统一确认后，选手统一离开赛场，清理现场工作是对选手职业素养评判的内容之一。</w:t>
      </w:r>
    </w:p>
    <w:p w14:paraId="5689FE4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（15）为保证大赛的公平、公正，加密裁判将对选手上交的文档和竞赛作品进行加密，然后交给评分裁判进行评分。</w:t>
      </w:r>
    </w:p>
    <w:p w14:paraId="5B38853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（16）参赛选手在竞赛赛过程中，视比赛任务需求戴安全帽（长发不得外露），穿工作服、穿劳保工作鞋，佩戴护目镜。</w:t>
      </w:r>
    </w:p>
    <w:p w14:paraId="4F3A68B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（17）参赛选手在比赛过程中，要求工具摆放整齐，竞赛过程中裁判组将安排裁判员对参赛选手的安全防护、操作规范和工具摆放等职业素养进行现场评分。</w:t>
      </w:r>
    </w:p>
    <w:p w14:paraId="62F5411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（18）选手离开竞赛场地时，不得将任何与竞赛相关的物品带离竞赛现场。</w:t>
      </w:r>
    </w:p>
    <w:p w14:paraId="2280BF0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（19）各类赛务人员必须统一佩戴由大赛组委会签发的相关证件，着装整齐。</w:t>
      </w:r>
    </w:p>
    <w:p w14:paraId="1F3E9B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（20）除现场裁判员和参赛选手外，其他人员不得进入比赛区域。赛场安全员、设备和软件技术支持人员、工作人员必须在指定区域等待，未经裁判长允许不得进入比赛区域。</w:t>
      </w:r>
    </w:p>
    <w:p w14:paraId="44C75F69">
      <w:pPr>
        <w:spacing w:line="360" w:lineRule="auto"/>
        <w:ind w:firstLine="482" w:firstLineChars="200"/>
        <w:outlineLvl w:val="0"/>
        <w:rPr>
          <w:rFonts w:hint="eastAsia" w:ascii="宋体" w:hAnsi="宋体" w:eastAsia="宋体"/>
          <w:b/>
          <w:bCs/>
          <w:sz w:val="24"/>
          <w:szCs w:val="24"/>
        </w:rPr>
      </w:pPr>
      <w:bookmarkStart w:id="58" w:name="_Toc15368"/>
      <w:r>
        <w:rPr>
          <w:rFonts w:hint="eastAsia" w:ascii="宋体" w:hAnsi="宋体" w:eastAsia="宋体"/>
          <w:b/>
          <w:bCs/>
          <w:sz w:val="24"/>
          <w:szCs w:val="24"/>
        </w:rPr>
        <w:t>八、竞赛场地要求</w:t>
      </w:r>
      <w:bookmarkEnd w:id="58"/>
    </w:p>
    <w:p w14:paraId="2FA408F3">
      <w:pPr>
        <w:spacing w:line="360" w:lineRule="auto"/>
        <w:ind w:firstLine="482" w:firstLineChars="200"/>
        <w:outlineLvl w:val="1"/>
        <w:rPr>
          <w:rFonts w:hint="eastAsia" w:ascii="宋体" w:hAnsi="宋体" w:eastAsia="宋体"/>
          <w:b/>
          <w:bCs/>
          <w:sz w:val="24"/>
          <w:szCs w:val="24"/>
        </w:rPr>
      </w:pPr>
      <w:bookmarkStart w:id="59" w:name="_Toc12026"/>
      <w:r>
        <w:rPr>
          <w:rFonts w:hint="eastAsia" w:ascii="宋体" w:hAnsi="宋体" w:eastAsia="宋体"/>
          <w:b/>
          <w:bCs/>
          <w:sz w:val="24"/>
          <w:szCs w:val="24"/>
        </w:rPr>
        <w:t>（一）场地面积要求</w:t>
      </w:r>
      <w:bookmarkEnd w:id="59"/>
    </w:p>
    <w:p w14:paraId="4545B22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（1）竞赛场地划分为检录区、现场服务与技术支持区、休息区、医疗区、观摩通道等。</w:t>
      </w:r>
    </w:p>
    <w:p w14:paraId="1DCF8D22">
      <w:pPr>
        <w:spacing w:line="360" w:lineRule="auto"/>
        <w:ind w:firstLine="480" w:firstLineChars="200"/>
        <w:outlineLvl w:val="2"/>
        <w:rPr>
          <w:rFonts w:hint="eastAsia" w:ascii="宋体" w:hAnsi="宋体" w:eastAsia="宋体"/>
          <w:sz w:val="24"/>
          <w:szCs w:val="24"/>
        </w:rPr>
      </w:pPr>
      <w:bookmarkStart w:id="60" w:name="_Toc29824"/>
      <w:r>
        <w:rPr>
          <w:rFonts w:hint="eastAsia" w:ascii="宋体" w:hAnsi="宋体" w:eastAsia="宋体"/>
          <w:sz w:val="24"/>
          <w:szCs w:val="24"/>
        </w:rPr>
        <w:t>（2）竞赛场地及工位设置情况另行通知。比赛工位数量根据报</w:t>
      </w:r>
      <w:bookmarkEnd w:id="60"/>
    </w:p>
    <w:p w14:paraId="3E660F7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名参赛队数量调整。</w:t>
      </w:r>
    </w:p>
    <w:p w14:paraId="0EB997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（3）赛场主通道需要符合紧急疏散要求，并有安保、消防、设备维修和电力抢险人员待命，以防突发事件。</w:t>
      </w:r>
    </w:p>
    <w:p w14:paraId="2F49E20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（4）根据赛项特点，用防护围栏隔离成竞赛区域构成竞赛单元，赛事单元相对独立，确保选手独立开展比赛，不受外界影响；</w:t>
      </w:r>
    </w:p>
    <w:p w14:paraId="4071A3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（5）每个竞赛工位配有相应数量的清洁器具。</w:t>
      </w:r>
    </w:p>
    <w:p w14:paraId="62A8B2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（6）赛场配备有常用干粉灭火器、消防沙。</w:t>
      </w:r>
    </w:p>
    <w:p w14:paraId="23079E1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（7）赛区内配备的厕所、医疗点、维修服务站、生活补给站、垃圾分类收集点等都在警戒线范围内，确保大赛在相对安全的环境内进行。</w:t>
      </w:r>
    </w:p>
    <w:p w14:paraId="7649687E">
      <w:pPr>
        <w:spacing w:line="360" w:lineRule="auto"/>
        <w:ind w:firstLine="482" w:firstLineChars="200"/>
        <w:outlineLvl w:val="1"/>
        <w:rPr>
          <w:rFonts w:hint="eastAsia" w:ascii="宋体" w:hAnsi="宋体" w:eastAsia="宋体"/>
          <w:b/>
          <w:bCs/>
          <w:sz w:val="24"/>
          <w:szCs w:val="24"/>
        </w:rPr>
      </w:pPr>
      <w:bookmarkStart w:id="61" w:name="_Toc1164"/>
      <w:r>
        <w:rPr>
          <w:rFonts w:hint="eastAsia" w:ascii="宋体" w:hAnsi="宋体" w:eastAsia="宋体"/>
          <w:b/>
          <w:bCs/>
          <w:sz w:val="24"/>
          <w:szCs w:val="24"/>
        </w:rPr>
        <w:t>（二）场地照明要求</w:t>
      </w:r>
      <w:bookmarkEnd w:id="61"/>
    </w:p>
    <w:p w14:paraId="793A9F2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竞赛场地照明应充足、柔和。</w:t>
      </w:r>
    </w:p>
    <w:p w14:paraId="58F9C030">
      <w:pPr>
        <w:spacing w:line="360" w:lineRule="auto"/>
        <w:ind w:firstLine="482" w:firstLineChars="200"/>
        <w:outlineLvl w:val="1"/>
        <w:rPr>
          <w:rFonts w:hint="eastAsia" w:ascii="宋体" w:hAnsi="宋体" w:eastAsia="宋体"/>
          <w:b/>
          <w:bCs/>
          <w:sz w:val="24"/>
          <w:szCs w:val="24"/>
        </w:rPr>
      </w:pPr>
      <w:bookmarkStart w:id="62" w:name="_Toc16253"/>
      <w:r>
        <w:rPr>
          <w:rFonts w:hint="eastAsia" w:ascii="宋体" w:hAnsi="宋体" w:eastAsia="宋体"/>
          <w:b/>
          <w:bCs/>
          <w:sz w:val="24"/>
          <w:szCs w:val="24"/>
        </w:rPr>
        <w:t>（三）场地消防和逃生要求</w:t>
      </w:r>
      <w:bookmarkEnd w:id="62"/>
    </w:p>
    <w:p w14:paraId="7FD27C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项目赛场需符合防火安全规定，防火疏散标识清晰、齐全，疏散通道畅通；赛场采光、照明和通风良好，提供稳定的水、电、气源，并配有供电应急设备、灭火器等。赛场必须留有安全通道。竞赛前必须明确告知选手和裁判员安全通道路线。赛场组织人员要做好竞赛安全、健康和公共卫生及突发事件预防与应急处理等工作。</w:t>
      </w:r>
    </w:p>
    <w:p w14:paraId="17B03BFA">
      <w:pPr>
        <w:spacing w:line="360" w:lineRule="auto"/>
        <w:ind w:firstLine="482" w:firstLineChars="200"/>
        <w:outlineLvl w:val="0"/>
        <w:rPr>
          <w:rFonts w:hint="eastAsia" w:ascii="宋体" w:hAnsi="宋体" w:eastAsia="宋体"/>
          <w:b/>
          <w:bCs/>
          <w:sz w:val="24"/>
          <w:szCs w:val="24"/>
        </w:rPr>
      </w:pPr>
      <w:bookmarkStart w:id="63" w:name="_Toc26268"/>
      <w:r>
        <w:rPr>
          <w:rFonts w:hint="eastAsia" w:ascii="宋体" w:hAnsi="宋体" w:eastAsia="宋体"/>
          <w:b/>
          <w:bCs/>
          <w:sz w:val="24"/>
          <w:szCs w:val="24"/>
        </w:rPr>
        <w:t>九、竞赛安全要求</w:t>
      </w:r>
      <w:bookmarkEnd w:id="63"/>
    </w:p>
    <w:p w14:paraId="2502BEC9">
      <w:pPr>
        <w:spacing w:line="360" w:lineRule="auto"/>
        <w:ind w:firstLine="482" w:firstLineChars="200"/>
        <w:outlineLvl w:val="1"/>
        <w:rPr>
          <w:rFonts w:hint="eastAsia" w:ascii="宋体" w:hAnsi="宋体" w:eastAsia="宋体"/>
          <w:b/>
          <w:bCs/>
          <w:sz w:val="24"/>
          <w:szCs w:val="24"/>
        </w:rPr>
      </w:pPr>
      <w:bookmarkStart w:id="64" w:name="_Toc24025"/>
      <w:r>
        <w:rPr>
          <w:rFonts w:ascii="宋体" w:hAnsi="宋体" w:eastAsia="宋体"/>
          <w:b/>
          <w:bCs/>
          <w:sz w:val="24"/>
          <w:szCs w:val="24"/>
        </w:rPr>
        <w:t>（一）选手安全防护措施要求</w:t>
      </w:r>
      <w:bookmarkEnd w:id="64"/>
    </w:p>
    <w:p w14:paraId="2E91B76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选手安全防护措施要求见下表3，根据比赛任务需要选用。</w:t>
      </w:r>
    </w:p>
    <w:p w14:paraId="77A8572F">
      <w:pPr>
        <w:spacing w:line="360" w:lineRule="auto"/>
        <w:ind w:firstLine="480" w:firstLineChars="200"/>
        <w:jc w:val="center"/>
        <w:rPr>
          <w:rFonts w:hint="eastAsia" w:ascii="宋体" w:hAnsi="宋体" w:eastAsia="宋体"/>
          <w:sz w:val="24"/>
          <w:szCs w:val="24"/>
        </w:rPr>
      </w:pPr>
      <w:r>
        <w:rPr>
          <w:rFonts w:hint="eastAsia" w:ascii="宋体" w:hAnsi="宋体" w:eastAsia="宋体"/>
          <w:sz w:val="24"/>
          <w:szCs w:val="24"/>
        </w:rPr>
        <w:t>表3 选手安全防护装备</w:t>
      </w:r>
    </w:p>
    <w:tbl>
      <w:tblPr>
        <w:tblStyle w:val="11"/>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2268"/>
        <w:gridCol w:w="4252"/>
      </w:tblGrid>
      <w:tr w14:paraId="1B4E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702" w:type="dxa"/>
            <w:vAlign w:val="center"/>
          </w:tcPr>
          <w:p w14:paraId="68DD9751">
            <w:pPr>
              <w:spacing w:line="480" w:lineRule="exact"/>
              <w:jc w:val="center"/>
              <w:rPr>
                <w:rFonts w:hint="eastAsia" w:ascii="宋体" w:hAnsi="宋体" w:eastAsia="宋体" w:cs="仿宋"/>
                <w:b/>
                <w:szCs w:val="21"/>
              </w:rPr>
            </w:pPr>
            <w:r>
              <w:rPr>
                <w:rFonts w:hint="eastAsia" w:ascii="宋体" w:hAnsi="宋体" w:eastAsia="宋体" w:cs="仿宋"/>
                <w:b/>
                <w:szCs w:val="21"/>
              </w:rPr>
              <w:t>防护项目</w:t>
            </w:r>
          </w:p>
        </w:tc>
        <w:tc>
          <w:tcPr>
            <w:tcW w:w="2268" w:type="dxa"/>
            <w:vAlign w:val="center"/>
          </w:tcPr>
          <w:p w14:paraId="1802F078">
            <w:pPr>
              <w:spacing w:line="480" w:lineRule="exact"/>
              <w:jc w:val="center"/>
              <w:rPr>
                <w:rFonts w:hint="eastAsia" w:ascii="宋体" w:hAnsi="宋体" w:eastAsia="宋体" w:cs="仿宋"/>
                <w:b/>
                <w:szCs w:val="21"/>
              </w:rPr>
            </w:pPr>
            <w:r>
              <w:rPr>
                <w:rFonts w:hint="eastAsia" w:ascii="宋体" w:hAnsi="宋体" w:eastAsia="宋体" w:cs="仿宋"/>
                <w:b/>
                <w:szCs w:val="21"/>
              </w:rPr>
              <w:t>图示</w:t>
            </w:r>
          </w:p>
        </w:tc>
        <w:tc>
          <w:tcPr>
            <w:tcW w:w="4252" w:type="dxa"/>
            <w:vAlign w:val="center"/>
          </w:tcPr>
          <w:p w14:paraId="43CFF09A">
            <w:pPr>
              <w:spacing w:line="480" w:lineRule="exact"/>
              <w:jc w:val="center"/>
              <w:rPr>
                <w:rFonts w:hint="eastAsia" w:ascii="宋体" w:hAnsi="宋体" w:eastAsia="宋体" w:cs="仿宋"/>
                <w:b/>
                <w:szCs w:val="21"/>
              </w:rPr>
            </w:pPr>
            <w:r>
              <w:rPr>
                <w:rFonts w:hint="eastAsia" w:ascii="宋体" w:hAnsi="宋体" w:eastAsia="宋体" w:cs="仿宋"/>
                <w:b/>
                <w:szCs w:val="21"/>
              </w:rPr>
              <w:t>说明</w:t>
            </w:r>
          </w:p>
        </w:tc>
      </w:tr>
      <w:tr w14:paraId="7FD0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172817E4">
            <w:pPr>
              <w:spacing w:line="480" w:lineRule="exact"/>
              <w:jc w:val="center"/>
              <w:rPr>
                <w:rFonts w:hint="eastAsia" w:ascii="宋体" w:hAnsi="宋体" w:eastAsia="宋体" w:cs="仿宋"/>
                <w:szCs w:val="21"/>
              </w:rPr>
            </w:pPr>
            <w:r>
              <w:rPr>
                <w:rFonts w:hint="eastAsia" w:ascii="宋体" w:hAnsi="宋体" w:eastAsia="宋体" w:cs="仿宋"/>
                <w:szCs w:val="21"/>
              </w:rPr>
              <w:t>足部的防护</w:t>
            </w:r>
          </w:p>
        </w:tc>
        <w:tc>
          <w:tcPr>
            <w:tcW w:w="2268" w:type="dxa"/>
            <w:vAlign w:val="center"/>
          </w:tcPr>
          <w:p w14:paraId="78294B95">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1312" behindDoc="0" locked="0" layoutInCell="1" allowOverlap="1">
                  <wp:simplePos x="0" y="0"/>
                  <wp:positionH relativeFrom="column">
                    <wp:posOffset>353695</wp:posOffset>
                  </wp:positionH>
                  <wp:positionV relativeFrom="paragraph">
                    <wp:posOffset>106045</wp:posOffset>
                  </wp:positionV>
                  <wp:extent cx="603250" cy="372110"/>
                  <wp:effectExtent l="0" t="0" r="6350" b="8890"/>
                  <wp:wrapSquare wrapText="bothSides"/>
                  <wp:docPr id="2094611522" name="图片 18" descr="鞋子的特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611522" name="图片 18" descr="鞋子的特写&#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03250" cy="372110"/>
                          </a:xfrm>
                          <a:prstGeom prst="rect">
                            <a:avLst/>
                          </a:prstGeom>
                          <a:noFill/>
                          <a:ln>
                            <a:noFill/>
                          </a:ln>
                        </pic:spPr>
                      </pic:pic>
                    </a:graphicData>
                  </a:graphic>
                </wp:anchor>
              </w:drawing>
            </w:r>
          </w:p>
        </w:tc>
        <w:tc>
          <w:tcPr>
            <w:tcW w:w="4252" w:type="dxa"/>
            <w:vAlign w:val="center"/>
          </w:tcPr>
          <w:p w14:paraId="63459773">
            <w:pPr>
              <w:jc w:val="left"/>
              <w:rPr>
                <w:rFonts w:hint="eastAsia" w:ascii="宋体" w:hAnsi="宋体" w:eastAsia="宋体" w:cs="仿宋"/>
                <w:szCs w:val="21"/>
              </w:rPr>
            </w:pPr>
            <w:r>
              <w:rPr>
                <w:rFonts w:hint="eastAsia" w:ascii="宋体" w:hAnsi="宋体" w:eastAsia="宋体" w:cs="仿宋"/>
                <w:szCs w:val="21"/>
              </w:rPr>
              <w:t>防滑、防砸、防穿刺、绝缘（参赛选手自备）</w:t>
            </w:r>
          </w:p>
        </w:tc>
      </w:tr>
      <w:tr w14:paraId="3022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183A8505">
            <w:pPr>
              <w:spacing w:line="480" w:lineRule="exact"/>
              <w:jc w:val="center"/>
              <w:rPr>
                <w:rFonts w:hint="eastAsia" w:ascii="宋体" w:hAnsi="宋体" w:eastAsia="宋体" w:cs="仿宋"/>
                <w:szCs w:val="21"/>
              </w:rPr>
            </w:pPr>
            <w:r>
              <w:rPr>
                <w:rFonts w:hint="eastAsia" w:ascii="宋体" w:hAnsi="宋体" w:eastAsia="宋体" w:cs="仿宋"/>
                <w:szCs w:val="21"/>
              </w:rPr>
              <w:t>眼睛的防护</w:t>
            </w:r>
          </w:p>
        </w:tc>
        <w:tc>
          <w:tcPr>
            <w:tcW w:w="2268" w:type="dxa"/>
            <w:vAlign w:val="center"/>
          </w:tcPr>
          <w:p w14:paraId="180DBDED">
            <w:pPr>
              <w:spacing w:line="480" w:lineRule="exact"/>
              <w:rPr>
                <w:rFonts w:hint="eastAsia" w:ascii="宋体" w:hAnsi="宋体" w:eastAsia="宋体"/>
                <w:szCs w:val="21"/>
              </w:rPr>
            </w:pPr>
            <w:r>
              <w:rPr>
                <w:rFonts w:ascii="宋体" w:hAnsi="宋体" w:eastAsia="宋体"/>
                <w:szCs w:val="21"/>
              </w:rPr>
              <w:drawing>
                <wp:anchor distT="0" distB="0" distL="114300" distR="114300" simplePos="0" relativeHeight="251663360" behindDoc="0" locked="0" layoutInCell="1" allowOverlap="1">
                  <wp:simplePos x="0" y="0"/>
                  <wp:positionH relativeFrom="column">
                    <wp:posOffset>258445</wp:posOffset>
                  </wp:positionH>
                  <wp:positionV relativeFrom="paragraph">
                    <wp:posOffset>-227965</wp:posOffset>
                  </wp:positionV>
                  <wp:extent cx="806450" cy="483235"/>
                  <wp:effectExtent l="0" t="0" r="0" b="0"/>
                  <wp:wrapSquare wrapText="bothSides"/>
                  <wp:docPr id="1669709598" name="图片 19" descr="雪地里的摆拍&#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709598" name="图片 19" descr="雪地里的摆拍&#10;&#10;中度可信度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06450" cy="483235"/>
                          </a:xfrm>
                          <a:prstGeom prst="rect">
                            <a:avLst/>
                          </a:prstGeom>
                          <a:noFill/>
                          <a:ln>
                            <a:noFill/>
                          </a:ln>
                        </pic:spPr>
                      </pic:pic>
                    </a:graphicData>
                  </a:graphic>
                </wp:anchor>
              </w:drawing>
            </w:r>
          </w:p>
        </w:tc>
        <w:tc>
          <w:tcPr>
            <w:tcW w:w="4252" w:type="dxa"/>
            <w:vAlign w:val="center"/>
          </w:tcPr>
          <w:p w14:paraId="6EF8A547">
            <w:pPr>
              <w:jc w:val="left"/>
              <w:rPr>
                <w:rFonts w:hint="eastAsia" w:ascii="宋体" w:hAnsi="宋体" w:eastAsia="宋体" w:cs="仿宋"/>
                <w:szCs w:val="21"/>
              </w:rPr>
            </w:pPr>
            <w:r>
              <w:rPr>
                <w:rFonts w:hint="eastAsia" w:ascii="宋体" w:hAnsi="宋体" w:eastAsia="宋体" w:cs="仿宋"/>
                <w:szCs w:val="21"/>
              </w:rPr>
              <w:t>1.防溅入</w:t>
            </w:r>
          </w:p>
          <w:p w14:paraId="275E347D">
            <w:pPr>
              <w:jc w:val="left"/>
              <w:rPr>
                <w:rFonts w:hint="eastAsia" w:ascii="宋体" w:hAnsi="宋体" w:eastAsia="宋体" w:cs="仿宋"/>
                <w:szCs w:val="21"/>
              </w:rPr>
            </w:pPr>
            <w:r>
              <w:rPr>
                <w:rFonts w:hint="eastAsia" w:ascii="宋体" w:hAnsi="宋体" w:eastAsia="宋体" w:cs="仿宋"/>
                <w:szCs w:val="21"/>
              </w:rPr>
              <w:t>2.带近视镜也必须佩戴</w:t>
            </w:r>
          </w:p>
          <w:p w14:paraId="623BEDE9">
            <w:pPr>
              <w:jc w:val="left"/>
              <w:rPr>
                <w:rFonts w:hint="eastAsia" w:ascii="宋体" w:hAnsi="宋体" w:eastAsia="宋体" w:cs="仿宋"/>
                <w:szCs w:val="21"/>
              </w:rPr>
            </w:pPr>
            <w:r>
              <w:rPr>
                <w:rFonts w:hint="eastAsia" w:ascii="宋体" w:hAnsi="宋体" w:eastAsia="宋体" w:cs="仿宋"/>
                <w:szCs w:val="21"/>
              </w:rPr>
              <w:t>3.根据比赛任务和裁判要求佩戴护目镜</w:t>
            </w:r>
          </w:p>
        </w:tc>
      </w:tr>
      <w:tr w14:paraId="6DAE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2DAAD6AE">
            <w:pPr>
              <w:spacing w:line="480" w:lineRule="exact"/>
              <w:jc w:val="center"/>
              <w:rPr>
                <w:rFonts w:hint="eastAsia" w:ascii="宋体" w:hAnsi="宋体" w:eastAsia="宋体" w:cs="仿宋"/>
                <w:szCs w:val="21"/>
              </w:rPr>
            </w:pPr>
            <w:r>
              <w:rPr>
                <w:rFonts w:hint="eastAsia" w:ascii="宋体" w:hAnsi="宋体" w:eastAsia="宋体" w:cs="仿宋"/>
                <w:szCs w:val="21"/>
              </w:rPr>
              <w:t>手部的防护</w:t>
            </w:r>
          </w:p>
        </w:tc>
        <w:tc>
          <w:tcPr>
            <w:tcW w:w="2268" w:type="dxa"/>
            <w:vAlign w:val="center"/>
          </w:tcPr>
          <w:p w14:paraId="0DFA8C8F">
            <w:pPr>
              <w:spacing w:line="480" w:lineRule="exact"/>
              <w:rPr>
                <w:rFonts w:hint="eastAsia" w:ascii="宋体" w:hAnsi="宋体" w:eastAsia="宋体"/>
                <w:szCs w:val="21"/>
              </w:rPr>
            </w:pPr>
            <w:r>
              <w:rPr>
                <w:rFonts w:ascii="宋体" w:hAnsi="宋体" w:eastAsia="宋体" w:cs="仿宋"/>
                <w:szCs w:val="21"/>
              </w:rPr>
              <w:drawing>
                <wp:anchor distT="0" distB="0" distL="114300" distR="114300" simplePos="0" relativeHeight="251664384" behindDoc="0" locked="0" layoutInCell="1" allowOverlap="1">
                  <wp:simplePos x="0" y="0"/>
                  <wp:positionH relativeFrom="column">
                    <wp:posOffset>462280</wp:posOffset>
                  </wp:positionH>
                  <wp:positionV relativeFrom="paragraph">
                    <wp:posOffset>-340995</wp:posOffset>
                  </wp:positionV>
                  <wp:extent cx="541020" cy="541020"/>
                  <wp:effectExtent l="0" t="0" r="0" b="0"/>
                  <wp:wrapTopAndBottom/>
                  <wp:docPr id="1142099238"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099238" name="图片 5"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1020" cy="541020"/>
                          </a:xfrm>
                          <a:prstGeom prst="rect">
                            <a:avLst/>
                          </a:prstGeom>
                          <a:noFill/>
                          <a:ln>
                            <a:noFill/>
                          </a:ln>
                        </pic:spPr>
                      </pic:pic>
                    </a:graphicData>
                  </a:graphic>
                </wp:anchor>
              </w:drawing>
            </w:r>
          </w:p>
        </w:tc>
        <w:tc>
          <w:tcPr>
            <w:tcW w:w="4252" w:type="dxa"/>
            <w:vAlign w:val="center"/>
          </w:tcPr>
          <w:p w14:paraId="5FEEF807">
            <w:pPr>
              <w:jc w:val="left"/>
              <w:rPr>
                <w:rFonts w:hint="eastAsia" w:ascii="宋体" w:hAnsi="宋体" w:eastAsia="宋体" w:cs="仿宋"/>
                <w:szCs w:val="21"/>
              </w:rPr>
            </w:pPr>
            <w:r>
              <w:rPr>
                <w:rFonts w:hint="eastAsia" w:ascii="宋体" w:hAnsi="宋体" w:eastAsia="宋体" w:cs="仿宋"/>
                <w:szCs w:val="21"/>
              </w:rPr>
              <w:t>防刺、绝缘</w:t>
            </w:r>
          </w:p>
        </w:tc>
      </w:tr>
      <w:tr w14:paraId="239D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1702" w:type="dxa"/>
            <w:vAlign w:val="center"/>
          </w:tcPr>
          <w:p w14:paraId="6BCC7B56">
            <w:pPr>
              <w:spacing w:line="480" w:lineRule="exact"/>
              <w:jc w:val="center"/>
              <w:rPr>
                <w:rFonts w:hint="eastAsia" w:ascii="宋体" w:hAnsi="宋体" w:eastAsia="宋体" w:cs="仿宋"/>
                <w:szCs w:val="21"/>
              </w:rPr>
            </w:pPr>
            <w:r>
              <w:rPr>
                <w:rFonts w:hint="eastAsia" w:ascii="宋体" w:hAnsi="宋体" w:eastAsia="宋体" w:cs="仿宋"/>
                <w:szCs w:val="21"/>
              </w:rPr>
              <w:t>安全帽</w:t>
            </w:r>
          </w:p>
        </w:tc>
        <w:tc>
          <w:tcPr>
            <w:tcW w:w="2268" w:type="dxa"/>
            <w:vAlign w:val="center"/>
          </w:tcPr>
          <w:p w14:paraId="1EA49359">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2336" behindDoc="0" locked="0" layoutInCell="1" allowOverlap="1">
                  <wp:simplePos x="0" y="0"/>
                  <wp:positionH relativeFrom="column">
                    <wp:posOffset>364490</wp:posOffset>
                  </wp:positionH>
                  <wp:positionV relativeFrom="paragraph">
                    <wp:posOffset>50800</wp:posOffset>
                  </wp:positionV>
                  <wp:extent cx="650875" cy="568325"/>
                  <wp:effectExtent l="0" t="0" r="0" b="3175"/>
                  <wp:wrapSquare wrapText="bothSides"/>
                  <wp:docPr id="1149603772" name="图片 17" descr="黑色的头盔&#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03772" name="图片 17" descr="黑色的头盔&#10;&#10;中度可信度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50875" cy="568325"/>
                          </a:xfrm>
                          <a:prstGeom prst="rect">
                            <a:avLst/>
                          </a:prstGeom>
                          <a:noFill/>
                          <a:ln>
                            <a:noFill/>
                          </a:ln>
                        </pic:spPr>
                      </pic:pic>
                    </a:graphicData>
                  </a:graphic>
                </wp:anchor>
              </w:drawing>
            </w:r>
          </w:p>
        </w:tc>
        <w:tc>
          <w:tcPr>
            <w:tcW w:w="4252" w:type="dxa"/>
            <w:vAlign w:val="center"/>
          </w:tcPr>
          <w:p w14:paraId="2AB56F9C">
            <w:pPr>
              <w:jc w:val="left"/>
              <w:rPr>
                <w:rFonts w:hint="eastAsia" w:ascii="宋体" w:hAnsi="宋体" w:eastAsia="宋体" w:cs="仿宋"/>
                <w:szCs w:val="21"/>
              </w:rPr>
            </w:pPr>
            <w:r>
              <w:rPr>
                <w:rFonts w:hint="eastAsia" w:ascii="宋体" w:hAnsi="宋体" w:eastAsia="宋体" w:cs="仿宋"/>
                <w:szCs w:val="21"/>
              </w:rPr>
              <w:t>1.用来保护头顶的钢制或类似原料制的浅圆顶</w:t>
            </w:r>
            <w:r>
              <w:fldChar w:fldCharType="begin"/>
            </w:r>
            <w:r>
              <w:instrText xml:space="preserve">HYPERLINK "https://baike.baidu.com/item/%E5%B8%BD%E5%AD%90/995404" \t "_blank"</w:instrText>
            </w:r>
            <w:r>
              <w:rPr>
                <w:rFonts w:hint="eastAsia"/>
              </w:rPr>
              <w:fldChar w:fldCharType="separate"/>
            </w:r>
            <w:r>
              <w:rPr>
                <w:rFonts w:hint="eastAsia" w:ascii="宋体" w:hAnsi="宋体" w:eastAsia="宋体" w:cs="仿宋"/>
                <w:szCs w:val="21"/>
              </w:rPr>
              <w:t>帽子</w:t>
            </w:r>
            <w:r>
              <w:rPr>
                <w:rFonts w:ascii="宋体" w:hAnsi="宋体" w:eastAsia="宋体" w:cs="仿宋"/>
                <w:szCs w:val="21"/>
              </w:rPr>
              <w:fldChar w:fldCharType="end"/>
            </w:r>
            <w:r>
              <w:rPr>
                <w:rFonts w:hint="eastAsia" w:ascii="宋体" w:hAnsi="宋体" w:eastAsia="宋体" w:cs="仿宋"/>
                <w:szCs w:val="21"/>
              </w:rPr>
              <w:t>，防止冲击物伤害头部</w:t>
            </w:r>
          </w:p>
          <w:p w14:paraId="0D8788F2">
            <w:pPr>
              <w:jc w:val="left"/>
              <w:rPr>
                <w:rFonts w:hint="eastAsia" w:ascii="宋体" w:hAnsi="宋体" w:eastAsia="宋体" w:cs="仿宋"/>
                <w:szCs w:val="21"/>
              </w:rPr>
            </w:pPr>
            <w:r>
              <w:rPr>
                <w:rFonts w:hint="eastAsia" w:ascii="宋体" w:hAnsi="宋体" w:eastAsia="宋体" w:cs="仿宋"/>
                <w:szCs w:val="21"/>
              </w:rPr>
              <w:t>2.比赛全程选手必须佩戴安全帽</w:t>
            </w:r>
          </w:p>
        </w:tc>
      </w:tr>
      <w:tr w14:paraId="6A2F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702" w:type="dxa"/>
            <w:vAlign w:val="center"/>
          </w:tcPr>
          <w:p w14:paraId="78E80A81">
            <w:pPr>
              <w:spacing w:line="480" w:lineRule="exact"/>
              <w:jc w:val="center"/>
              <w:rPr>
                <w:rFonts w:hint="eastAsia" w:ascii="宋体" w:hAnsi="宋体" w:eastAsia="宋体" w:cs="仿宋"/>
                <w:szCs w:val="21"/>
              </w:rPr>
            </w:pPr>
            <w:r>
              <w:rPr>
                <w:rFonts w:hint="eastAsia" w:ascii="宋体" w:hAnsi="宋体" w:eastAsia="宋体" w:cs="仿宋"/>
                <w:szCs w:val="21"/>
              </w:rPr>
              <w:t>工作服</w:t>
            </w:r>
          </w:p>
        </w:tc>
        <w:tc>
          <w:tcPr>
            <w:tcW w:w="2268" w:type="dxa"/>
            <w:vAlign w:val="center"/>
          </w:tcPr>
          <w:p w14:paraId="78E7EC63">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0288" behindDoc="0" locked="0" layoutInCell="1" allowOverlap="1">
                  <wp:simplePos x="0" y="0"/>
                  <wp:positionH relativeFrom="column">
                    <wp:posOffset>393065</wp:posOffset>
                  </wp:positionH>
                  <wp:positionV relativeFrom="paragraph">
                    <wp:posOffset>144145</wp:posOffset>
                  </wp:positionV>
                  <wp:extent cx="673735" cy="751205"/>
                  <wp:effectExtent l="0" t="0" r="0" b="0"/>
                  <wp:wrapSquare wrapText="bothSides"/>
                  <wp:docPr id="907849845" name="图片 15" descr="工作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49845" name="图片 15" descr="工作服"/>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73735" cy="751205"/>
                          </a:xfrm>
                          <a:prstGeom prst="rect">
                            <a:avLst/>
                          </a:prstGeom>
                          <a:noFill/>
                          <a:ln>
                            <a:noFill/>
                          </a:ln>
                        </pic:spPr>
                      </pic:pic>
                    </a:graphicData>
                  </a:graphic>
                </wp:anchor>
              </w:drawing>
            </w:r>
          </w:p>
        </w:tc>
        <w:tc>
          <w:tcPr>
            <w:tcW w:w="4252" w:type="dxa"/>
            <w:vAlign w:val="center"/>
          </w:tcPr>
          <w:p w14:paraId="74647B63">
            <w:pPr>
              <w:jc w:val="left"/>
              <w:rPr>
                <w:rFonts w:hint="eastAsia" w:ascii="宋体" w:hAnsi="宋体" w:eastAsia="宋体" w:cs="仿宋"/>
                <w:szCs w:val="21"/>
              </w:rPr>
            </w:pPr>
            <w:r>
              <w:rPr>
                <w:rFonts w:hint="eastAsia" w:ascii="宋体" w:hAnsi="宋体" w:eastAsia="宋体" w:cs="仿宋"/>
                <w:szCs w:val="21"/>
              </w:rPr>
              <w:t>1.必须是长裤</w:t>
            </w:r>
          </w:p>
          <w:p w14:paraId="4DDE74AF">
            <w:pPr>
              <w:jc w:val="left"/>
              <w:rPr>
                <w:rFonts w:hint="eastAsia" w:ascii="宋体" w:hAnsi="宋体" w:eastAsia="宋体" w:cs="仿宋"/>
                <w:szCs w:val="21"/>
              </w:rPr>
            </w:pPr>
            <w:r>
              <w:rPr>
                <w:rFonts w:hint="eastAsia" w:ascii="宋体" w:hAnsi="宋体" w:eastAsia="宋体" w:cs="仿宋"/>
                <w:szCs w:val="21"/>
              </w:rPr>
              <w:t>2.防护服必须紧身不松垮，达到三紧要求</w:t>
            </w:r>
          </w:p>
        </w:tc>
      </w:tr>
    </w:tbl>
    <w:p w14:paraId="0DA297FA">
      <w:pPr>
        <w:spacing w:line="360" w:lineRule="auto"/>
        <w:ind w:firstLine="482" w:firstLineChars="200"/>
        <w:rPr>
          <w:rFonts w:hint="eastAsia" w:ascii="宋体" w:hAnsi="宋体" w:eastAsia="宋体"/>
          <w:b/>
          <w:bCs/>
          <w:sz w:val="24"/>
          <w:szCs w:val="24"/>
        </w:rPr>
      </w:pPr>
    </w:p>
    <w:p w14:paraId="67BE36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时，裁判员对违反安全与健康条例、违反操作规程的选手和现象将提出警告并进行纠正。不听警告，不进行纠正的参赛选手会受到不允许进入竞赛现场、罚去安全分、停止加工、取消竞赛资格等不同程度的惩罚。选手防护装备佩戴要求见表4。</w:t>
      </w:r>
    </w:p>
    <w:p w14:paraId="2CCDAA21">
      <w:pPr>
        <w:spacing w:line="360" w:lineRule="auto"/>
        <w:ind w:firstLine="420" w:firstLineChars="200"/>
        <w:jc w:val="center"/>
        <w:rPr>
          <w:rFonts w:hint="eastAsia" w:ascii="宋体" w:hAnsi="宋体" w:eastAsia="宋体"/>
          <w:szCs w:val="21"/>
        </w:rPr>
      </w:pPr>
      <w:r>
        <w:rPr>
          <w:rFonts w:hint="eastAsia" w:ascii="宋体" w:hAnsi="宋体" w:eastAsia="宋体"/>
          <w:szCs w:val="21"/>
        </w:rPr>
        <w:t>表4  选手防护装备佩戴要求</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5103"/>
        <w:gridCol w:w="1751"/>
      </w:tblGrid>
      <w:tr w14:paraId="7BE0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shd w:val="clear" w:color="auto" w:fill="FFFFFF"/>
            <w:vAlign w:val="center"/>
          </w:tcPr>
          <w:p w14:paraId="1C0E6612">
            <w:pPr>
              <w:jc w:val="center"/>
              <w:rPr>
                <w:rFonts w:hint="eastAsia" w:ascii="宋体" w:hAnsi="宋体" w:eastAsia="宋体" w:cs="仿宋"/>
                <w:b/>
                <w:szCs w:val="21"/>
              </w:rPr>
            </w:pPr>
            <w:r>
              <w:rPr>
                <w:rFonts w:hint="eastAsia" w:ascii="宋体" w:hAnsi="宋体" w:eastAsia="宋体" w:cs="仿宋"/>
                <w:b/>
                <w:szCs w:val="21"/>
              </w:rPr>
              <w:t>时段</w:t>
            </w:r>
          </w:p>
        </w:tc>
        <w:tc>
          <w:tcPr>
            <w:tcW w:w="5103" w:type="dxa"/>
            <w:shd w:val="clear" w:color="auto" w:fill="FFFFFF"/>
            <w:vAlign w:val="center"/>
          </w:tcPr>
          <w:p w14:paraId="6F6E8446">
            <w:pPr>
              <w:jc w:val="center"/>
              <w:rPr>
                <w:rFonts w:hint="eastAsia" w:ascii="宋体" w:hAnsi="宋体" w:eastAsia="宋体" w:cs="仿宋"/>
                <w:b/>
                <w:szCs w:val="21"/>
              </w:rPr>
            </w:pPr>
            <w:r>
              <w:rPr>
                <w:rFonts w:hint="eastAsia" w:ascii="宋体" w:hAnsi="宋体" w:eastAsia="宋体" w:cs="仿宋"/>
                <w:b/>
                <w:szCs w:val="21"/>
              </w:rPr>
              <w:t>要求</w:t>
            </w:r>
          </w:p>
        </w:tc>
        <w:tc>
          <w:tcPr>
            <w:tcW w:w="1751" w:type="dxa"/>
            <w:shd w:val="clear" w:color="auto" w:fill="FFFFFF"/>
            <w:vAlign w:val="center"/>
          </w:tcPr>
          <w:p w14:paraId="7DD5530F">
            <w:pPr>
              <w:jc w:val="center"/>
              <w:rPr>
                <w:rFonts w:hint="eastAsia" w:ascii="宋体" w:hAnsi="宋体" w:eastAsia="宋体" w:cs="仿宋"/>
                <w:b/>
                <w:szCs w:val="21"/>
              </w:rPr>
            </w:pPr>
            <w:r>
              <w:rPr>
                <w:rFonts w:hint="eastAsia" w:ascii="宋体" w:hAnsi="宋体" w:eastAsia="宋体" w:cs="仿宋"/>
                <w:b/>
                <w:szCs w:val="21"/>
              </w:rPr>
              <w:t>备注</w:t>
            </w:r>
          </w:p>
        </w:tc>
      </w:tr>
      <w:tr w14:paraId="0EBE0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68F77B9F">
            <w:pPr>
              <w:spacing w:line="480" w:lineRule="exact"/>
              <w:jc w:val="center"/>
              <w:rPr>
                <w:rFonts w:hint="eastAsia" w:ascii="宋体" w:hAnsi="宋体" w:eastAsia="宋体" w:cs="仿宋"/>
                <w:szCs w:val="21"/>
              </w:rPr>
            </w:pPr>
            <w:r>
              <w:rPr>
                <w:rFonts w:hint="eastAsia" w:ascii="宋体" w:hAnsi="宋体" w:eastAsia="宋体" w:cs="仿宋"/>
                <w:szCs w:val="21"/>
              </w:rPr>
              <w:t>操作设备时</w:t>
            </w:r>
          </w:p>
        </w:tc>
        <w:tc>
          <w:tcPr>
            <w:tcW w:w="5103" w:type="dxa"/>
            <w:vAlign w:val="center"/>
          </w:tcPr>
          <w:p w14:paraId="794E7ADE">
            <w:pPr>
              <w:jc w:val="center"/>
              <w:rPr>
                <w:rFonts w:hint="eastAsia" w:ascii="宋体" w:hAnsi="宋体" w:eastAsia="宋体" w:cs="仿宋"/>
                <w:szCs w:val="21"/>
              </w:rPr>
            </w:pPr>
            <w:r>
              <w:rPr>
                <w:rFonts w:ascii="宋体" w:hAnsi="宋体" w:eastAsia="宋体"/>
                <w:szCs w:val="21"/>
              </w:rPr>
              <w:drawing>
                <wp:inline distT="0" distB="0" distL="0" distR="0">
                  <wp:extent cx="513080" cy="701040"/>
                  <wp:effectExtent l="0" t="0" r="1270" b="3810"/>
                  <wp:docPr id="15687388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738822" name="图片 1"/>
                          <pic:cNvPicPr>
                            <a:picLocks noChangeAspect="1"/>
                          </pic:cNvPicPr>
                        </pic:nvPicPr>
                        <pic:blipFill>
                          <a:blip r:embed="rId12"/>
                          <a:stretch>
                            <a:fillRect/>
                          </a:stretch>
                        </pic:blipFill>
                        <pic:spPr>
                          <a:xfrm>
                            <a:off x="0" y="0"/>
                            <a:ext cx="521643" cy="712488"/>
                          </a:xfrm>
                          <a:prstGeom prst="rect">
                            <a:avLst/>
                          </a:prstGeom>
                        </pic:spPr>
                      </pic:pic>
                    </a:graphicData>
                  </a:graphic>
                </wp:inline>
              </w:drawing>
            </w:r>
            <w:r>
              <w:rPr>
                <w:rFonts w:ascii="宋体" w:hAnsi="宋体" w:eastAsia="宋体" w:cs="仿宋"/>
                <w:szCs w:val="21"/>
              </w:rPr>
              <w:drawing>
                <wp:inline distT="0" distB="0" distL="0" distR="0">
                  <wp:extent cx="525780" cy="701040"/>
                  <wp:effectExtent l="0" t="0" r="7620" b="3810"/>
                  <wp:docPr id="369067518" name="图片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067518" name="图片 2" descr="图标&#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r>
              <w:rPr>
                <w:rFonts w:ascii="宋体" w:hAnsi="宋体" w:eastAsia="宋体" w:cs="仿宋"/>
                <w:szCs w:val="21"/>
              </w:rPr>
              <w:drawing>
                <wp:inline distT="0" distB="0" distL="0" distR="0">
                  <wp:extent cx="525780" cy="701040"/>
                  <wp:effectExtent l="0" t="0" r="7620" b="3810"/>
                  <wp:docPr id="692181244" name="图片 1" descr="http://t02.pic.sogou.com/1bd6e0d6103d2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181244" name="图片 1" descr="http://t02.pic.sogou.com/1bd6e0d6103d237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p>
        </w:tc>
        <w:tc>
          <w:tcPr>
            <w:tcW w:w="1751" w:type="dxa"/>
            <w:vAlign w:val="center"/>
          </w:tcPr>
          <w:p w14:paraId="52CC9D5E">
            <w:pPr>
              <w:spacing w:line="480" w:lineRule="exact"/>
              <w:jc w:val="center"/>
              <w:rPr>
                <w:rFonts w:hint="eastAsia" w:ascii="宋体" w:hAnsi="宋体" w:eastAsia="宋体" w:cs="仿宋"/>
                <w:szCs w:val="21"/>
              </w:rPr>
            </w:pPr>
          </w:p>
        </w:tc>
      </w:tr>
      <w:tr w14:paraId="18128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087EDA30">
            <w:pPr>
              <w:spacing w:line="480" w:lineRule="exact"/>
              <w:jc w:val="center"/>
              <w:rPr>
                <w:rFonts w:hint="eastAsia" w:ascii="宋体" w:hAnsi="宋体" w:eastAsia="宋体" w:cs="仿宋"/>
                <w:szCs w:val="21"/>
              </w:rPr>
            </w:pPr>
            <w:r>
              <w:rPr>
                <w:rFonts w:hint="eastAsia" w:ascii="宋体" w:hAnsi="宋体" w:eastAsia="宋体" w:cs="仿宋"/>
                <w:szCs w:val="21"/>
              </w:rPr>
              <w:t>采集数据时</w:t>
            </w:r>
          </w:p>
        </w:tc>
        <w:tc>
          <w:tcPr>
            <w:tcW w:w="5103" w:type="dxa"/>
            <w:vAlign w:val="center"/>
          </w:tcPr>
          <w:p w14:paraId="05850D2D">
            <w:pPr>
              <w:jc w:val="center"/>
              <w:rPr>
                <w:rFonts w:hint="eastAsia" w:ascii="宋体" w:hAnsi="宋体" w:eastAsia="宋体" w:cs="仿宋"/>
                <w:szCs w:val="21"/>
              </w:rPr>
            </w:pPr>
            <w:r>
              <w:rPr>
                <w:rFonts w:ascii="宋体" w:hAnsi="宋体" w:eastAsia="宋体" w:cs="仿宋"/>
                <w:szCs w:val="21"/>
              </w:rPr>
              <w:drawing>
                <wp:inline distT="0" distB="0" distL="0" distR="0">
                  <wp:extent cx="525780" cy="701040"/>
                  <wp:effectExtent l="0" t="0" r="7620" b="3810"/>
                  <wp:docPr id="2103745835" name="图片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745835" name="图片 2" descr="图标&#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r>
              <w:rPr>
                <w:rFonts w:ascii="宋体" w:hAnsi="宋体" w:eastAsia="宋体" w:cs="仿宋"/>
                <w:szCs w:val="21"/>
              </w:rPr>
              <w:drawing>
                <wp:inline distT="0" distB="0" distL="0" distR="0">
                  <wp:extent cx="525780" cy="701040"/>
                  <wp:effectExtent l="0" t="0" r="7620" b="3810"/>
                  <wp:docPr id="791245691" name="图片 1" descr="http://t02.pic.sogou.com/1bd6e0d6103d2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45691" name="图片 1" descr="http://t02.pic.sogou.com/1bd6e0d6103d237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p>
        </w:tc>
        <w:tc>
          <w:tcPr>
            <w:tcW w:w="1751" w:type="dxa"/>
            <w:vAlign w:val="center"/>
          </w:tcPr>
          <w:p w14:paraId="5C57317E">
            <w:pPr>
              <w:spacing w:line="480" w:lineRule="exact"/>
              <w:jc w:val="center"/>
              <w:rPr>
                <w:rFonts w:hint="eastAsia" w:ascii="宋体" w:hAnsi="宋体" w:eastAsia="宋体" w:cs="仿宋"/>
                <w:szCs w:val="21"/>
              </w:rPr>
            </w:pPr>
          </w:p>
        </w:tc>
      </w:tr>
      <w:tr w14:paraId="63EC0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3778D105">
            <w:pPr>
              <w:spacing w:line="480" w:lineRule="exact"/>
              <w:jc w:val="center"/>
              <w:rPr>
                <w:rFonts w:hint="eastAsia" w:ascii="宋体" w:hAnsi="宋体" w:eastAsia="宋体" w:cs="仿宋"/>
                <w:szCs w:val="21"/>
              </w:rPr>
            </w:pPr>
            <w:r>
              <w:rPr>
                <w:rFonts w:ascii="宋体" w:hAnsi="宋体" w:eastAsia="宋体"/>
                <w:szCs w:val="21"/>
              </w:rPr>
              <w:t>编程时</w:t>
            </w:r>
          </w:p>
        </w:tc>
        <w:tc>
          <w:tcPr>
            <w:tcW w:w="5103" w:type="dxa"/>
            <w:vAlign w:val="center"/>
          </w:tcPr>
          <w:p w14:paraId="30F774AD">
            <w:pPr>
              <w:jc w:val="center"/>
              <w:rPr>
                <w:rFonts w:hint="eastAsia" w:ascii="宋体" w:hAnsi="宋体" w:eastAsia="宋体" w:cs="仿宋"/>
                <w:szCs w:val="21"/>
              </w:rPr>
            </w:pPr>
            <w:r>
              <w:rPr>
                <w:rFonts w:ascii="宋体" w:hAnsi="宋体" w:eastAsia="宋体" w:cs="仿宋"/>
                <w:szCs w:val="21"/>
              </w:rPr>
              <w:drawing>
                <wp:inline distT="0" distB="0" distL="0" distR="0">
                  <wp:extent cx="525780" cy="701040"/>
                  <wp:effectExtent l="0" t="0" r="7620" b="3810"/>
                  <wp:docPr id="302457764" name="图片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57764" name="图片 2" descr="图标&#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r>
              <w:rPr>
                <w:rFonts w:ascii="宋体" w:hAnsi="宋体" w:eastAsia="宋体" w:cs="仿宋"/>
                <w:szCs w:val="21"/>
              </w:rPr>
              <w:drawing>
                <wp:inline distT="0" distB="0" distL="0" distR="0">
                  <wp:extent cx="525780" cy="701040"/>
                  <wp:effectExtent l="0" t="0" r="7620" b="3810"/>
                  <wp:docPr id="1689381522" name="图片 1" descr="http://t02.pic.sogou.com/1bd6e0d6103d2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381522" name="图片 1" descr="http://t02.pic.sogou.com/1bd6e0d6103d237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p>
        </w:tc>
        <w:tc>
          <w:tcPr>
            <w:tcW w:w="1751" w:type="dxa"/>
            <w:vAlign w:val="center"/>
          </w:tcPr>
          <w:p w14:paraId="2043CBBE">
            <w:pPr>
              <w:spacing w:line="480" w:lineRule="exact"/>
              <w:jc w:val="center"/>
              <w:rPr>
                <w:rFonts w:hint="eastAsia" w:ascii="宋体" w:hAnsi="宋体" w:eastAsia="宋体" w:cs="仿宋"/>
                <w:szCs w:val="21"/>
              </w:rPr>
            </w:pPr>
          </w:p>
        </w:tc>
      </w:tr>
    </w:tbl>
    <w:p w14:paraId="28DEFF27">
      <w:pPr>
        <w:spacing w:line="360" w:lineRule="auto"/>
        <w:ind w:firstLine="482" w:firstLineChars="200"/>
        <w:rPr>
          <w:rFonts w:hint="eastAsia" w:ascii="宋体" w:hAnsi="宋体" w:eastAsia="宋体"/>
          <w:b/>
          <w:bCs/>
          <w:sz w:val="24"/>
          <w:szCs w:val="24"/>
        </w:rPr>
      </w:pPr>
    </w:p>
    <w:p w14:paraId="2D97EDB3">
      <w:pPr>
        <w:spacing w:line="360" w:lineRule="auto"/>
        <w:ind w:firstLine="482" w:firstLineChars="200"/>
        <w:outlineLvl w:val="1"/>
        <w:rPr>
          <w:rFonts w:hint="eastAsia" w:ascii="宋体" w:hAnsi="宋体" w:eastAsia="宋体"/>
          <w:b/>
          <w:bCs/>
          <w:sz w:val="24"/>
          <w:szCs w:val="24"/>
        </w:rPr>
      </w:pPr>
      <w:bookmarkStart w:id="65" w:name="_Toc5383"/>
      <w:r>
        <w:rPr>
          <w:rFonts w:ascii="宋体" w:hAnsi="宋体" w:eastAsia="宋体"/>
          <w:b/>
          <w:bCs/>
          <w:sz w:val="24"/>
          <w:szCs w:val="24"/>
        </w:rPr>
        <w:t>（二）有毒有害物品的管理和限制</w:t>
      </w:r>
      <w:bookmarkEnd w:id="65"/>
    </w:p>
    <w:p w14:paraId="22314C0D">
      <w:pPr>
        <w:spacing w:line="360" w:lineRule="auto"/>
        <w:ind w:firstLine="480" w:firstLineChars="200"/>
        <w:rPr>
          <w:rFonts w:hint="eastAsia" w:ascii="宋体" w:hAnsi="宋体" w:eastAsia="宋体"/>
          <w:sz w:val="24"/>
          <w:szCs w:val="24"/>
        </w:rPr>
      </w:pPr>
      <w:r>
        <w:rPr>
          <w:rFonts w:ascii="宋体" w:hAnsi="宋体" w:eastAsia="宋体"/>
          <w:sz w:val="24"/>
          <w:szCs w:val="24"/>
        </w:rPr>
        <w:t>选手禁止携带易燃易爆和有毒有害物品，见表5。</w:t>
      </w:r>
    </w:p>
    <w:p w14:paraId="4347F6BB">
      <w:pPr>
        <w:spacing w:line="360" w:lineRule="auto"/>
        <w:ind w:firstLine="420" w:firstLineChars="200"/>
        <w:jc w:val="center"/>
        <w:rPr>
          <w:rFonts w:hint="eastAsia" w:ascii="宋体" w:hAnsi="宋体" w:eastAsia="宋体"/>
          <w:szCs w:val="21"/>
        </w:rPr>
      </w:pPr>
      <w:r>
        <w:rPr>
          <w:rFonts w:hint="eastAsia" w:ascii="宋体" w:hAnsi="宋体" w:eastAsia="宋体"/>
          <w:szCs w:val="21"/>
        </w:rPr>
        <w:t>表5 选手禁带的物品</w:t>
      </w:r>
    </w:p>
    <w:tbl>
      <w:tblPr>
        <w:tblStyle w:val="11"/>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1"/>
        <w:gridCol w:w="1472"/>
        <w:gridCol w:w="1473"/>
        <w:gridCol w:w="2467"/>
      </w:tblGrid>
      <w:tr w14:paraId="148C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1" w:type="dxa"/>
            <w:vAlign w:val="center"/>
          </w:tcPr>
          <w:p w14:paraId="434721E2">
            <w:pPr>
              <w:spacing w:line="480" w:lineRule="exact"/>
              <w:jc w:val="center"/>
              <w:rPr>
                <w:rFonts w:hint="eastAsia" w:ascii="宋体" w:hAnsi="宋体" w:eastAsia="宋体" w:cs="仿宋"/>
                <w:b/>
                <w:szCs w:val="21"/>
              </w:rPr>
            </w:pPr>
            <w:r>
              <w:rPr>
                <w:rFonts w:hint="eastAsia" w:ascii="宋体" w:hAnsi="宋体" w:eastAsia="宋体" w:cs="仿宋"/>
                <w:b/>
                <w:szCs w:val="21"/>
              </w:rPr>
              <w:t>有害物品</w:t>
            </w:r>
          </w:p>
        </w:tc>
        <w:tc>
          <w:tcPr>
            <w:tcW w:w="2945" w:type="dxa"/>
            <w:gridSpan w:val="2"/>
            <w:vAlign w:val="center"/>
          </w:tcPr>
          <w:p w14:paraId="1AEBBD2F">
            <w:pPr>
              <w:spacing w:line="480" w:lineRule="exact"/>
              <w:jc w:val="center"/>
              <w:rPr>
                <w:rFonts w:hint="eastAsia" w:ascii="宋体" w:hAnsi="宋体" w:eastAsia="宋体" w:cs="仿宋"/>
                <w:b/>
                <w:szCs w:val="21"/>
              </w:rPr>
            </w:pPr>
            <w:r>
              <w:rPr>
                <w:rFonts w:hint="eastAsia" w:ascii="宋体" w:hAnsi="宋体" w:eastAsia="宋体" w:cs="仿宋"/>
                <w:b/>
                <w:szCs w:val="21"/>
              </w:rPr>
              <w:t>图示</w:t>
            </w:r>
          </w:p>
        </w:tc>
        <w:tc>
          <w:tcPr>
            <w:tcW w:w="2467" w:type="dxa"/>
            <w:vAlign w:val="center"/>
          </w:tcPr>
          <w:p w14:paraId="60C584FF">
            <w:pPr>
              <w:spacing w:line="480" w:lineRule="exact"/>
              <w:jc w:val="center"/>
              <w:rPr>
                <w:rFonts w:hint="eastAsia" w:ascii="宋体" w:hAnsi="宋体" w:eastAsia="宋体" w:cs="仿宋"/>
                <w:b/>
                <w:szCs w:val="21"/>
              </w:rPr>
            </w:pPr>
            <w:r>
              <w:rPr>
                <w:rFonts w:hint="eastAsia" w:ascii="宋体" w:hAnsi="宋体" w:eastAsia="宋体" w:cs="仿宋"/>
                <w:b/>
                <w:szCs w:val="21"/>
              </w:rPr>
              <w:t>说明</w:t>
            </w:r>
          </w:p>
        </w:tc>
      </w:tr>
      <w:tr w14:paraId="3FFB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3011" w:type="dxa"/>
            <w:vAlign w:val="center"/>
          </w:tcPr>
          <w:p w14:paraId="5B91829C">
            <w:pPr>
              <w:spacing w:line="480" w:lineRule="exact"/>
              <w:jc w:val="center"/>
              <w:rPr>
                <w:rFonts w:hint="eastAsia" w:ascii="宋体" w:hAnsi="宋体" w:eastAsia="宋体" w:cs="仿宋"/>
                <w:szCs w:val="21"/>
              </w:rPr>
            </w:pPr>
            <w:r>
              <w:rPr>
                <w:rFonts w:hint="eastAsia" w:ascii="宋体" w:hAnsi="宋体" w:eastAsia="宋体" w:cs="仿宋"/>
                <w:szCs w:val="21"/>
              </w:rPr>
              <w:t>防锈清洗剂</w:t>
            </w:r>
          </w:p>
        </w:tc>
        <w:tc>
          <w:tcPr>
            <w:tcW w:w="2945" w:type="dxa"/>
            <w:gridSpan w:val="2"/>
            <w:vAlign w:val="center"/>
          </w:tcPr>
          <w:p w14:paraId="784C890A">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5408" behindDoc="0" locked="0" layoutInCell="1" allowOverlap="1">
                  <wp:simplePos x="0" y="0"/>
                  <wp:positionH relativeFrom="column">
                    <wp:posOffset>413385</wp:posOffset>
                  </wp:positionH>
                  <wp:positionV relativeFrom="paragraph">
                    <wp:posOffset>85090</wp:posOffset>
                  </wp:positionV>
                  <wp:extent cx="596265" cy="596265"/>
                  <wp:effectExtent l="0" t="0" r="0" b="0"/>
                  <wp:wrapSquare wrapText="bothSides"/>
                  <wp:docPr id="531308080" name="图片 14" descr="W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308080" name="图片 14" descr="W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6265" cy="596265"/>
                          </a:xfrm>
                          <a:prstGeom prst="rect">
                            <a:avLst/>
                          </a:prstGeom>
                          <a:noFill/>
                          <a:ln>
                            <a:noFill/>
                          </a:ln>
                        </pic:spPr>
                      </pic:pic>
                    </a:graphicData>
                  </a:graphic>
                </wp:anchor>
              </w:drawing>
            </w:r>
          </w:p>
        </w:tc>
        <w:tc>
          <w:tcPr>
            <w:tcW w:w="2467" w:type="dxa"/>
            <w:vAlign w:val="center"/>
          </w:tcPr>
          <w:p w14:paraId="2B3233D4">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71552" behindDoc="0" locked="0" layoutInCell="1" allowOverlap="1">
                  <wp:simplePos x="0" y="0"/>
                  <wp:positionH relativeFrom="column">
                    <wp:posOffset>1148715</wp:posOffset>
                  </wp:positionH>
                  <wp:positionV relativeFrom="paragraph">
                    <wp:posOffset>174625</wp:posOffset>
                  </wp:positionV>
                  <wp:extent cx="371475" cy="350520"/>
                  <wp:effectExtent l="0" t="0" r="9525" b="0"/>
                  <wp:wrapSquare wrapText="bothSides"/>
                  <wp:docPr id="1621193241" name="图片 13"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193241" name="图片 13" descr="徽标&#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a:ln>
                            <a:noFill/>
                          </a:ln>
                        </pic:spPr>
                      </pic:pic>
                    </a:graphicData>
                  </a:graphic>
                </wp:anchor>
              </w:drawing>
            </w:r>
            <w:r>
              <w:rPr>
                <w:rFonts w:hint="eastAsia" w:ascii="宋体" w:hAnsi="宋体" w:eastAsia="宋体" w:cs="仿宋"/>
                <w:szCs w:val="21"/>
              </w:rPr>
              <w:t>禁止携带</w:t>
            </w:r>
          </w:p>
        </w:tc>
      </w:tr>
      <w:tr w14:paraId="6371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3011" w:type="dxa"/>
            <w:vAlign w:val="center"/>
          </w:tcPr>
          <w:p w14:paraId="1E58B1B8">
            <w:pPr>
              <w:spacing w:line="480" w:lineRule="exact"/>
              <w:jc w:val="center"/>
              <w:rPr>
                <w:rFonts w:hint="eastAsia" w:ascii="宋体" w:hAnsi="宋体" w:eastAsia="宋体" w:cs="仿宋"/>
                <w:szCs w:val="21"/>
              </w:rPr>
            </w:pPr>
            <w:r>
              <w:rPr>
                <w:rFonts w:hint="eastAsia" w:ascii="宋体" w:hAnsi="宋体" w:eastAsia="宋体" w:cs="仿宋"/>
                <w:szCs w:val="21"/>
              </w:rPr>
              <w:t>酒精、汽油</w:t>
            </w:r>
          </w:p>
        </w:tc>
        <w:tc>
          <w:tcPr>
            <w:tcW w:w="1472" w:type="dxa"/>
            <w:vAlign w:val="center"/>
          </w:tcPr>
          <w:p w14:paraId="4BA6A5C0">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8480" behindDoc="0" locked="0" layoutInCell="1" allowOverlap="1">
                  <wp:simplePos x="0" y="0"/>
                  <wp:positionH relativeFrom="column">
                    <wp:posOffset>243840</wp:posOffset>
                  </wp:positionH>
                  <wp:positionV relativeFrom="paragraph">
                    <wp:posOffset>69850</wp:posOffset>
                  </wp:positionV>
                  <wp:extent cx="459740" cy="459740"/>
                  <wp:effectExtent l="0" t="0" r="0" b="0"/>
                  <wp:wrapNone/>
                  <wp:docPr id="1816879657" name="图片 12" descr="酒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879657" name="图片 12" descr="酒精"/>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59740" cy="459740"/>
                          </a:xfrm>
                          <a:prstGeom prst="rect">
                            <a:avLst/>
                          </a:prstGeom>
                          <a:noFill/>
                          <a:ln>
                            <a:noFill/>
                          </a:ln>
                        </pic:spPr>
                      </pic:pic>
                    </a:graphicData>
                  </a:graphic>
                </wp:anchor>
              </w:drawing>
            </w:r>
          </w:p>
        </w:tc>
        <w:tc>
          <w:tcPr>
            <w:tcW w:w="1473" w:type="dxa"/>
            <w:vAlign w:val="center"/>
          </w:tcPr>
          <w:p w14:paraId="5331A2A5">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9504" behindDoc="0" locked="0" layoutInCell="1" allowOverlap="1">
                  <wp:simplePos x="0" y="0"/>
                  <wp:positionH relativeFrom="column">
                    <wp:posOffset>123825</wp:posOffset>
                  </wp:positionH>
                  <wp:positionV relativeFrom="paragraph">
                    <wp:posOffset>83820</wp:posOffset>
                  </wp:positionV>
                  <wp:extent cx="499745" cy="446405"/>
                  <wp:effectExtent l="0" t="0" r="0" b="0"/>
                  <wp:wrapNone/>
                  <wp:docPr id="440561300" name="图片 11" descr="汽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561300" name="图片 11" descr="汽油"/>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99745" cy="446405"/>
                          </a:xfrm>
                          <a:prstGeom prst="rect">
                            <a:avLst/>
                          </a:prstGeom>
                          <a:noFill/>
                          <a:ln>
                            <a:noFill/>
                          </a:ln>
                        </pic:spPr>
                      </pic:pic>
                    </a:graphicData>
                  </a:graphic>
                </wp:anchor>
              </w:drawing>
            </w:r>
          </w:p>
        </w:tc>
        <w:tc>
          <w:tcPr>
            <w:tcW w:w="2467" w:type="dxa"/>
            <w:vAlign w:val="center"/>
          </w:tcPr>
          <w:p w14:paraId="3239835C">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70528" behindDoc="0" locked="0" layoutInCell="1" allowOverlap="1">
                  <wp:simplePos x="0" y="0"/>
                  <wp:positionH relativeFrom="column">
                    <wp:posOffset>1101725</wp:posOffset>
                  </wp:positionH>
                  <wp:positionV relativeFrom="paragraph">
                    <wp:posOffset>101600</wp:posOffset>
                  </wp:positionV>
                  <wp:extent cx="371475" cy="350520"/>
                  <wp:effectExtent l="0" t="0" r="9525" b="0"/>
                  <wp:wrapSquare wrapText="bothSides"/>
                  <wp:docPr id="143742063" name="图片 10"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2063" name="图片 10" descr="徽标&#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a:ln>
                            <a:noFill/>
                          </a:ln>
                        </pic:spPr>
                      </pic:pic>
                    </a:graphicData>
                  </a:graphic>
                </wp:anchor>
              </w:drawing>
            </w:r>
            <w:r>
              <w:rPr>
                <w:rFonts w:hint="eastAsia" w:ascii="宋体" w:hAnsi="宋体" w:eastAsia="宋体" w:cs="仿宋"/>
                <w:szCs w:val="21"/>
              </w:rPr>
              <w:t>严禁携带</w:t>
            </w:r>
          </w:p>
        </w:tc>
      </w:tr>
      <w:tr w14:paraId="6220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011" w:type="dxa"/>
            <w:vAlign w:val="center"/>
          </w:tcPr>
          <w:p w14:paraId="0A67876B">
            <w:pPr>
              <w:spacing w:line="480" w:lineRule="exact"/>
              <w:jc w:val="center"/>
              <w:rPr>
                <w:rFonts w:hint="eastAsia" w:ascii="宋体" w:hAnsi="宋体" w:eastAsia="宋体" w:cs="仿宋"/>
                <w:szCs w:val="21"/>
              </w:rPr>
            </w:pPr>
            <w:r>
              <w:rPr>
                <w:rFonts w:hint="eastAsia" w:ascii="宋体" w:hAnsi="宋体" w:eastAsia="宋体" w:cs="仿宋"/>
                <w:szCs w:val="21"/>
              </w:rPr>
              <w:t>有毒有害物</w:t>
            </w:r>
          </w:p>
        </w:tc>
        <w:tc>
          <w:tcPr>
            <w:tcW w:w="2945" w:type="dxa"/>
            <w:gridSpan w:val="2"/>
            <w:vAlign w:val="center"/>
          </w:tcPr>
          <w:p w14:paraId="40C2DAE7">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6432" behindDoc="0" locked="0" layoutInCell="1" allowOverlap="1">
                  <wp:simplePos x="0" y="0"/>
                  <wp:positionH relativeFrom="column">
                    <wp:posOffset>429260</wp:posOffset>
                  </wp:positionH>
                  <wp:positionV relativeFrom="paragraph">
                    <wp:posOffset>93345</wp:posOffset>
                  </wp:positionV>
                  <wp:extent cx="775970" cy="397510"/>
                  <wp:effectExtent l="0" t="0" r="5080" b="2540"/>
                  <wp:wrapSquare wrapText="bothSides"/>
                  <wp:docPr id="1006801521" name="图片 9" descr="有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01521" name="图片 9" descr="有毒"/>
                          <pic:cNvPicPr>
                            <a:picLocks noChangeAspect="1" noChangeArrowheads="1"/>
                          </pic:cNvPicPr>
                        </pic:nvPicPr>
                        <pic:blipFill>
                          <a:blip r:embed="rId19">
                            <a:extLst>
                              <a:ext uri="{28A0092B-C50C-407E-A947-70E740481C1C}">
                                <a14:useLocalDpi xmlns:a14="http://schemas.microsoft.com/office/drawing/2010/main" val="0"/>
                              </a:ext>
                            </a:extLst>
                          </a:blip>
                          <a:srcRect b="14420"/>
                          <a:stretch>
                            <a:fillRect/>
                          </a:stretch>
                        </pic:blipFill>
                        <pic:spPr>
                          <a:xfrm>
                            <a:off x="0" y="0"/>
                            <a:ext cx="775970" cy="397510"/>
                          </a:xfrm>
                          <a:prstGeom prst="rect">
                            <a:avLst/>
                          </a:prstGeom>
                          <a:noFill/>
                          <a:ln>
                            <a:noFill/>
                          </a:ln>
                        </pic:spPr>
                      </pic:pic>
                    </a:graphicData>
                  </a:graphic>
                </wp:anchor>
              </w:drawing>
            </w:r>
          </w:p>
        </w:tc>
        <w:tc>
          <w:tcPr>
            <w:tcW w:w="2467" w:type="dxa"/>
            <w:vAlign w:val="center"/>
          </w:tcPr>
          <w:p w14:paraId="0E54B141">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7456" behindDoc="0" locked="0" layoutInCell="1" allowOverlap="1">
                  <wp:simplePos x="0" y="0"/>
                  <wp:positionH relativeFrom="column">
                    <wp:posOffset>1141730</wp:posOffset>
                  </wp:positionH>
                  <wp:positionV relativeFrom="paragraph">
                    <wp:posOffset>121285</wp:posOffset>
                  </wp:positionV>
                  <wp:extent cx="372110" cy="351155"/>
                  <wp:effectExtent l="0" t="0" r="8890" b="0"/>
                  <wp:wrapSquare wrapText="bothSides"/>
                  <wp:docPr id="487098168" name="图片 8"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098168" name="图片 8" descr="徽标&#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2110" cy="351155"/>
                          </a:xfrm>
                          <a:prstGeom prst="rect">
                            <a:avLst/>
                          </a:prstGeom>
                          <a:noFill/>
                          <a:ln>
                            <a:noFill/>
                          </a:ln>
                        </pic:spPr>
                      </pic:pic>
                    </a:graphicData>
                  </a:graphic>
                </wp:anchor>
              </w:drawing>
            </w:r>
            <w:r>
              <w:rPr>
                <w:rFonts w:hint="eastAsia" w:ascii="宋体" w:hAnsi="宋体" w:eastAsia="宋体" w:cs="仿宋"/>
                <w:szCs w:val="21"/>
              </w:rPr>
              <w:t>严禁携带</w:t>
            </w:r>
          </w:p>
        </w:tc>
      </w:tr>
    </w:tbl>
    <w:p w14:paraId="4C794E2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竞赛期间产生的废料等必须分类收集和回收。</w:t>
      </w:r>
    </w:p>
    <w:p w14:paraId="0C6D23D8">
      <w:pPr>
        <w:spacing w:line="360" w:lineRule="auto"/>
        <w:ind w:firstLine="482" w:firstLineChars="200"/>
        <w:outlineLvl w:val="1"/>
        <w:rPr>
          <w:rFonts w:hint="eastAsia" w:ascii="宋体" w:hAnsi="宋体" w:eastAsia="宋体"/>
          <w:b/>
          <w:bCs/>
          <w:sz w:val="24"/>
          <w:szCs w:val="24"/>
        </w:rPr>
      </w:pPr>
      <w:bookmarkStart w:id="66" w:name="_Toc12478"/>
      <w:r>
        <w:rPr>
          <w:rFonts w:hint="eastAsia" w:ascii="宋体" w:hAnsi="宋体" w:eastAsia="宋体"/>
          <w:b/>
          <w:bCs/>
          <w:sz w:val="24"/>
          <w:szCs w:val="24"/>
        </w:rPr>
        <w:t>（三） 医疗设备和措施</w:t>
      </w:r>
      <w:bookmarkEnd w:id="66"/>
    </w:p>
    <w:p w14:paraId="2906118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赛场必须配备医护人员和必须的药品。</w:t>
      </w:r>
    </w:p>
    <w:p w14:paraId="6C6F7670">
      <w:pPr>
        <w:spacing w:line="360" w:lineRule="auto"/>
        <w:ind w:firstLine="482" w:firstLineChars="200"/>
        <w:outlineLvl w:val="0"/>
        <w:rPr>
          <w:rFonts w:hint="eastAsia" w:ascii="宋体" w:hAnsi="宋体" w:eastAsia="宋体"/>
          <w:b/>
          <w:bCs/>
          <w:sz w:val="24"/>
          <w:szCs w:val="24"/>
        </w:rPr>
      </w:pPr>
      <w:bookmarkStart w:id="67" w:name="_Toc4616"/>
      <w:r>
        <w:rPr>
          <w:rFonts w:hint="eastAsia" w:ascii="宋体" w:hAnsi="宋体" w:eastAsia="宋体"/>
          <w:b/>
          <w:bCs/>
          <w:sz w:val="24"/>
          <w:szCs w:val="24"/>
        </w:rPr>
        <w:t>十、竞赛须知</w:t>
      </w:r>
      <w:bookmarkEnd w:id="67"/>
    </w:p>
    <w:p w14:paraId="0B1F9C54">
      <w:pPr>
        <w:spacing w:line="360" w:lineRule="auto"/>
        <w:ind w:firstLine="482" w:firstLineChars="200"/>
        <w:outlineLvl w:val="1"/>
        <w:rPr>
          <w:rFonts w:hint="eastAsia" w:ascii="宋体" w:hAnsi="宋体" w:eastAsia="宋体"/>
          <w:b/>
          <w:bCs/>
          <w:sz w:val="24"/>
          <w:szCs w:val="24"/>
        </w:rPr>
      </w:pPr>
      <w:bookmarkStart w:id="68" w:name="_Toc10314"/>
      <w:r>
        <w:rPr>
          <w:rFonts w:hint="eastAsia" w:ascii="宋体" w:hAnsi="宋体" w:eastAsia="宋体"/>
          <w:b/>
          <w:bCs/>
          <w:sz w:val="24"/>
          <w:szCs w:val="24"/>
        </w:rPr>
        <w:t>（一）参赛队须知</w:t>
      </w:r>
      <w:bookmarkEnd w:id="68"/>
    </w:p>
    <w:p w14:paraId="119E45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1.本赛项为团体赛，每支参赛队由2名选手组成，其分工自行决定。</w:t>
      </w:r>
    </w:p>
    <w:p w14:paraId="1C935C2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队员在报名获得审核确认后，原则上不再更换，如筹备过程中，队员因故不能参赛，须由参赛学校或单位于相应赛项开赛10个工作日之前出具书面说明，按相关规定补充人员并接受审核。竞赛开始后，参赛队不得更换参赛队员。</w:t>
      </w:r>
    </w:p>
    <w:p w14:paraId="766CAEC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3.参赛队按照大赛赛程安排，凭大赛组委会颁发的参赛证以及工作证、学生证、身份证等身份证明文件参加竞赛及相关活动。</w:t>
      </w:r>
    </w:p>
    <w:p w14:paraId="4D4E899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4.各参赛队按竞赛组委会统一安排参加竞赛前熟悉场地环境的活动，未按时参加视为自动放弃熟悉场地。</w:t>
      </w:r>
    </w:p>
    <w:p w14:paraId="590034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5.各参赛队按组委会统一要求，准时参加赛前领队会。</w:t>
      </w:r>
    </w:p>
    <w:p w14:paraId="77E24EE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6.各参赛队在竞赛期间要注意饮食卫生，防止食物中毒。</w:t>
      </w:r>
    </w:p>
    <w:p w14:paraId="61DF611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7.各参赛队在竞赛期间，应保证所有人员的安全，防止交通事故和其它意外事故的发生，应为领队、教练（指导教师）和参赛选手购买人身意外保险。</w:t>
      </w:r>
    </w:p>
    <w:p w14:paraId="519BDFB5">
      <w:pPr>
        <w:spacing w:line="360" w:lineRule="auto"/>
        <w:ind w:firstLine="480" w:firstLineChars="200"/>
        <w:outlineLvl w:val="2"/>
        <w:rPr>
          <w:rFonts w:hint="eastAsia" w:ascii="宋体" w:hAnsi="宋体" w:eastAsia="宋体"/>
          <w:sz w:val="24"/>
          <w:szCs w:val="24"/>
        </w:rPr>
      </w:pPr>
      <w:bookmarkStart w:id="69" w:name="_Toc28877"/>
      <w:r>
        <w:rPr>
          <w:rFonts w:hint="eastAsia" w:ascii="宋体" w:hAnsi="宋体" w:eastAsia="宋体"/>
          <w:sz w:val="24"/>
          <w:szCs w:val="24"/>
        </w:rPr>
        <w:t>8.各参赛队要发扬良好道德风尚，听从指挥，服从裁判。</w:t>
      </w:r>
      <w:bookmarkEnd w:id="69"/>
    </w:p>
    <w:p w14:paraId="63E1F95F">
      <w:pPr>
        <w:spacing w:line="360" w:lineRule="auto"/>
        <w:ind w:firstLine="482" w:firstLineChars="200"/>
        <w:outlineLvl w:val="1"/>
        <w:rPr>
          <w:rFonts w:hint="eastAsia" w:ascii="宋体" w:hAnsi="宋体" w:eastAsia="宋体"/>
          <w:b/>
          <w:bCs/>
          <w:sz w:val="24"/>
          <w:szCs w:val="24"/>
        </w:rPr>
      </w:pPr>
      <w:bookmarkStart w:id="70" w:name="_Toc2142"/>
      <w:r>
        <w:rPr>
          <w:rFonts w:hint="eastAsia" w:ascii="宋体" w:hAnsi="宋体" w:eastAsia="宋体"/>
          <w:b/>
          <w:bCs/>
          <w:sz w:val="24"/>
          <w:szCs w:val="24"/>
        </w:rPr>
        <w:t>（二）教练（指导教师）须知</w:t>
      </w:r>
      <w:bookmarkEnd w:id="70"/>
    </w:p>
    <w:p w14:paraId="5D8676B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一支参赛队只能配备一名教练（指导教师），一名教练（指导教师）可指导多名选手。教练经报名、审核后确定，一经确定不得更换，如需更换，须由各省人社行政部门于相应赛项开赛10个工作日之前出具书面说明，按相关规定补充人员并接受审核；竞赛开始后，参赛队不得更换教练（指导教师）。如发现弄虚作假者，取消评定优秀教练（指导教师）资格。</w:t>
      </w:r>
    </w:p>
    <w:p w14:paraId="5EBF681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2.对申诉的仲裁结果，领队和教练（指导教师）应带头服从和执行，还应说服选手服从和执行。凡恶意申诉，一经查实，全国组委会将追查相关人员责任。</w:t>
      </w:r>
    </w:p>
    <w:p w14:paraId="5605DA3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3.教练（指导教师）应认真研究和掌握本赛项竞赛的技术规则和赛场要求，指导选手做好赛前的一切准备工作。</w:t>
      </w:r>
    </w:p>
    <w:p w14:paraId="3991CDB2">
      <w:pPr>
        <w:spacing w:line="360" w:lineRule="auto"/>
        <w:ind w:firstLine="480" w:firstLineChars="200"/>
        <w:outlineLvl w:val="2"/>
        <w:rPr>
          <w:rFonts w:hint="eastAsia" w:ascii="宋体" w:hAnsi="宋体" w:eastAsia="宋体"/>
          <w:sz w:val="24"/>
          <w:szCs w:val="24"/>
        </w:rPr>
      </w:pPr>
      <w:bookmarkStart w:id="71" w:name="_Toc30099"/>
      <w:r>
        <w:rPr>
          <w:rFonts w:hint="eastAsia" w:ascii="宋体" w:hAnsi="宋体" w:eastAsia="宋体"/>
          <w:sz w:val="24"/>
          <w:szCs w:val="24"/>
        </w:rPr>
        <w:t>4.领队和教练（指导教师）应在赛后做好技术总结和工作总结。</w:t>
      </w:r>
      <w:bookmarkEnd w:id="71"/>
    </w:p>
    <w:p w14:paraId="298CEB59">
      <w:pPr>
        <w:spacing w:line="360" w:lineRule="auto"/>
        <w:ind w:firstLine="482" w:firstLineChars="200"/>
        <w:outlineLvl w:val="1"/>
        <w:rPr>
          <w:rFonts w:hint="eastAsia" w:ascii="宋体" w:hAnsi="宋体" w:eastAsia="宋体"/>
          <w:b/>
          <w:bCs/>
          <w:sz w:val="24"/>
          <w:szCs w:val="24"/>
        </w:rPr>
      </w:pPr>
      <w:bookmarkStart w:id="72" w:name="_Toc15531"/>
      <w:r>
        <w:rPr>
          <w:rFonts w:hint="eastAsia" w:ascii="宋体" w:hAnsi="宋体" w:eastAsia="宋体"/>
          <w:b/>
          <w:bCs/>
          <w:sz w:val="24"/>
          <w:szCs w:val="24"/>
        </w:rPr>
        <w:t>（三）参赛选手须知</w:t>
      </w:r>
      <w:bookmarkEnd w:id="72"/>
    </w:p>
    <w:p w14:paraId="79ADBA9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1.参赛选手应严格遵守竞赛规则和竞赛纪律，服从裁判员和竞赛工作人员的统一指挥安排，自觉维护赛场秩序，不得因申诉处理意见不服而停止竞赛，否则以弃权处理。</w:t>
      </w:r>
    </w:p>
    <w:p w14:paraId="37C0ED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2.参赛选手在赛前熟悉和竞赛时间内，应该严格遵守竞赛设备守则和竞赛设备安全操作规程，杜绝出现安全事故。</w:t>
      </w:r>
    </w:p>
    <w:p w14:paraId="6720756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3.参赛选手不得将通讯工具、任何技术资料、工具书、自编电子或文字资料、笔记本电脑、通讯工具、摄像工具以及其他即插即用的硬件设备带入比赛现场，否则取消选手比赛资格。</w:t>
      </w:r>
    </w:p>
    <w:p w14:paraId="63456163">
      <w:pPr>
        <w:spacing w:line="360" w:lineRule="auto"/>
        <w:ind w:firstLine="480" w:firstLineChars="200"/>
        <w:outlineLvl w:val="2"/>
        <w:rPr>
          <w:rFonts w:hint="eastAsia" w:ascii="宋体" w:hAnsi="宋体" w:eastAsia="宋体"/>
          <w:sz w:val="24"/>
          <w:szCs w:val="24"/>
        </w:rPr>
      </w:pPr>
      <w:bookmarkStart w:id="73" w:name="_Toc31723"/>
      <w:r>
        <w:rPr>
          <w:rFonts w:hint="eastAsia" w:ascii="宋体" w:hAnsi="宋体" w:eastAsia="宋体"/>
          <w:sz w:val="24"/>
          <w:szCs w:val="24"/>
        </w:rPr>
        <w:t>4.参赛选手应严格按竞赛流程进行竞赛。</w:t>
      </w:r>
      <w:bookmarkEnd w:id="73"/>
    </w:p>
    <w:p w14:paraId="1A30622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5.参赛选手必须持本人身份证、并佩戴组委会签发的参赛证件，按竞赛规定的时间，到指定的场地参赛。</w:t>
      </w:r>
    </w:p>
    <w:p w14:paraId="2B649B96">
      <w:pPr>
        <w:spacing w:line="360" w:lineRule="auto"/>
        <w:ind w:firstLine="480" w:firstLineChars="200"/>
        <w:outlineLvl w:val="2"/>
        <w:rPr>
          <w:rFonts w:hint="eastAsia" w:ascii="宋体" w:hAnsi="宋体" w:eastAsia="宋体"/>
          <w:sz w:val="24"/>
          <w:szCs w:val="24"/>
        </w:rPr>
      </w:pPr>
      <w:bookmarkStart w:id="74" w:name="_Toc32391"/>
      <w:r>
        <w:rPr>
          <w:rFonts w:hint="eastAsia" w:ascii="宋体" w:hAnsi="宋体" w:eastAsia="宋体"/>
          <w:sz w:val="24"/>
          <w:szCs w:val="24"/>
        </w:rPr>
        <w:t>6.参赛选手按照裁判长指令开始和结束竞赛。</w:t>
      </w:r>
      <w:bookmarkEnd w:id="74"/>
    </w:p>
    <w:p w14:paraId="674AC37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参赛选手须在赛前60分钟到达赛场进行检录、抽取赛位号，在赛前30分钟统一入场，进行赛前准备，等候比赛开始指令。正式竞赛开始尚未检录的选手，不得参加竞赛。已检录入场的参赛选手未经允许，不得擅自离开。</w:t>
      </w:r>
    </w:p>
    <w:p w14:paraId="26A0DE6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8.参赛选手按规定进入竞赛工位，在现场工作人员引导下，进行赛前准备，检查并确认竞赛设备、竞赛工位计算机、配套的工具、相关软件等，并签字确认。</w:t>
      </w:r>
    </w:p>
    <w:p w14:paraId="0480BCAF">
      <w:pPr>
        <w:spacing w:line="360" w:lineRule="auto"/>
        <w:ind w:firstLine="480" w:firstLineChars="200"/>
        <w:outlineLvl w:val="2"/>
        <w:rPr>
          <w:rFonts w:hint="eastAsia" w:ascii="宋体" w:hAnsi="宋体" w:eastAsia="宋体"/>
          <w:sz w:val="24"/>
          <w:szCs w:val="24"/>
        </w:rPr>
      </w:pPr>
      <w:bookmarkStart w:id="75" w:name="_Toc31695"/>
      <w:r>
        <w:rPr>
          <w:rFonts w:hint="eastAsia" w:ascii="宋体" w:hAnsi="宋体" w:eastAsia="宋体"/>
          <w:sz w:val="24"/>
          <w:szCs w:val="24"/>
        </w:rPr>
        <w:t>9.裁判长宣布比赛开始，参赛选手方可进行竞赛操作。</w:t>
      </w:r>
      <w:bookmarkEnd w:id="75"/>
    </w:p>
    <w:p w14:paraId="40CBFF0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10.参赛选手必须及时备份竞赛中自己的竞赛数据，防止意外断电及其它情况造成程序或资料的丢失。并将全部数据文件存储至计算机指定盘符下，不按要求存储数据导致数据丢失者，责任自负。</w:t>
      </w:r>
    </w:p>
    <w:p w14:paraId="33A7834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11.竞赛过程中，选手若需休息、饮水或去洗手间，一律计算在比赛时间内。食品和饮水由赛场统一提供。</w:t>
      </w:r>
    </w:p>
    <w:p w14:paraId="3CFF47A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竞赛过程中，参赛选手须严格遵守相关操作规程，确保人身及设备安全，并接受裁判员的监督和警示，若因选手个人因素造成人身安全事故和设备故障，不予延时，情节特别严重者，由大赛裁判组视具体情况作出处理决定（最高至终止比赛）并由裁判长上报竞监督仲裁组；若因非选手个人因素造成设备故障，由大赛裁判组视具体情况作出延时处理并由裁判长上报竞赛监督仲裁组。</w:t>
      </w:r>
    </w:p>
    <w:p w14:paraId="59DD0A4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13.参赛选手在竞赛过程中不得擅自离开赛场，如有特殊情况，需经裁判员同意后，特殊处理。</w:t>
      </w:r>
    </w:p>
    <w:p w14:paraId="155DC5F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14.参赛选手在比赛过程中，如遇问题，需举手向裁判员提问。选手之间不得发生任何交流，否则，按作弊处理。</w:t>
      </w:r>
    </w:p>
    <w:p w14:paraId="4A02976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15.参赛选手在操作技能竞赛过程中，视任务需求戴安全帽（长发不得外露）、穿工作服、防砸防刺穿劳保工作鞋以及佩戴护目镜。</w:t>
      </w:r>
    </w:p>
    <w:p w14:paraId="639D698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16.除特殊说明外，各项任务裁判只验收1次，请根据赛题说明，确认完成后再提请裁判验收。</w:t>
      </w:r>
    </w:p>
    <w:p w14:paraId="098E71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裁判长在比赛结束前15分钟对选手做出提示。裁判长宣布比赛结束后，选手应立即停止竞赛操作，现场裁判员监督竞赛设备的停止，在规定时间内必须把竞赛作品、赛题、图纸、草稿纸等所有相关内容上交至现场裁判员，如选手未按规定执行，裁判有权终止比赛，要求选手至指定位置。</w:t>
      </w:r>
    </w:p>
    <w:p w14:paraId="61170D7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18.竞赛结束后，由现场裁判员和选手检查确认提交的内容，现场裁判员当选手面封装上交竞赛作品，选手在收件表上签字确认，现场裁判员签字确认。</w:t>
      </w:r>
    </w:p>
    <w:p w14:paraId="531D60D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19.比赛结束，选手应立即清理现场，包括竞赛设备及周边卫生并恢复竞赛设备原始状态等。经现场裁判员和现场工作人员确认后方可离开工位。经裁判长确认后，选手方可离开赛场。此项工作将在选手职业素养环节进行评判。</w:t>
      </w:r>
    </w:p>
    <w:p w14:paraId="0D93CA7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20.参赛选手在竞赛期间未经组委会的批准，不得接受其他单位和个人进行的与竞赛内容相关的采访；参赛选手不得私自公开比赛相关资料。</w:t>
      </w:r>
    </w:p>
    <w:p w14:paraId="79CB6FED">
      <w:pPr>
        <w:spacing w:line="360" w:lineRule="auto"/>
        <w:ind w:firstLine="482" w:firstLineChars="200"/>
        <w:outlineLvl w:val="1"/>
        <w:rPr>
          <w:rFonts w:hint="eastAsia" w:ascii="宋体" w:hAnsi="宋体" w:eastAsia="宋体"/>
          <w:b/>
          <w:bCs/>
          <w:sz w:val="24"/>
          <w:szCs w:val="24"/>
        </w:rPr>
      </w:pPr>
      <w:bookmarkStart w:id="76" w:name="_Toc25104"/>
      <w:r>
        <w:rPr>
          <w:rFonts w:hint="eastAsia" w:ascii="宋体" w:hAnsi="宋体" w:eastAsia="宋体"/>
          <w:b/>
          <w:bCs/>
          <w:sz w:val="24"/>
          <w:szCs w:val="24"/>
        </w:rPr>
        <w:t>（四）工作人员须知</w:t>
      </w:r>
      <w:bookmarkEnd w:id="76"/>
    </w:p>
    <w:p w14:paraId="5084E7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1.工作人员必须服从赛项组委会统一指挥，佩戴工作人员标识，认真履行职责，做好竞赛服务工作。</w:t>
      </w:r>
    </w:p>
    <w:p w14:paraId="267F65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2.工作人员按照分工准时上岗，不得擅自离岗，应认真履行各自的工作职责，保证竞赛工作的顺利进行。</w:t>
      </w:r>
    </w:p>
    <w:p w14:paraId="6180490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3.工作人员应在规定的区域内工作，未经许可，不得擅自进入竞赛场地。进场需经过裁判长同意，核准证件后入场。</w:t>
      </w:r>
    </w:p>
    <w:p w14:paraId="21A6A33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4.如遇突发事件须及时向裁判员报告，同时做好疏导工作避免重大事故发生。</w:t>
      </w:r>
    </w:p>
    <w:p w14:paraId="13C3455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竞赛期间，工作人员不得干涉工作职责之外事宜，不得利用工作之便，弄虚作假、徇私舞弊。如有上述现象或因工作不负责任造成竞赛程序无法继续进行的，由赛项组委会视情节轻重给予通报批评或停止工作，并通知其所在单位做出相应处理。</w:t>
      </w:r>
    </w:p>
    <w:p w14:paraId="1F865B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6.各类赛务人员必须统一佩戴由大赛组委会签发的相关证件，着装整齐。</w:t>
      </w:r>
    </w:p>
    <w:p w14:paraId="5F863A7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7.除现场裁判员和参赛选手外，其他人员不得进入竞赛区域。赛场安全员、设备和软件技术支持人员、工作人员必须在指定区域等待，未经裁判长允许不得进入竞赛区域，候场选手不得进入赛场。</w:t>
      </w:r>
    </w:p>
    <w:p w14:paraId="3B7F1039">
      <w:pPr>
        <w:spacing w:line="360" w:lineRule="auto"/>
        <w:ind w:firstLine="482" w:firstLineChars="200"/>
        <w:outlineLvl w:val="1"/>
        <w:rPr>
          <w:rFonts w:hint="eastAsia" w:ascii="宋体" w:hAnsi="宋体" w:eastAsia="宋体"/>
          <w:b/>
          <w:bCs/>
          <w:sz w:val="24"/>
          <w:szCs w:val="24"/>
        </w:rPr>
      </w:pPr>
      <w:bookmarkStart w:id="77" w:name="_Toc3248"/>
      <w:r>
        <w:rPr>
          <w:rFonts w:hint="eastAsia" w:ascii="宋体" w:hAnsi="宋体" w:eastAsia="宋体"/>
          <w:b/>
          <w:bCs/>
          <w:sz w:val="24"/>
          <w:szCs w:val="24"/>
        </w:rPr>
        <w:t>（五）裁判员须知</w:t>
      </w:r>
      <w:bookmarkEnd w:id="77"/>
    </w:p>
    <w:p w14:paraId="15D99EF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1.裁判员须佩带裁判员标识上岗。执裁期间，统一着装，举止文明礼貌，接受参赛人员的监督。</w:t>
      </w:r>
    </w:p>
    <w:p w14:paraId="76403DE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2.严守竞赛纪律，执行竞赛规则，服从赛项组委会和裁判长的领导。按照分工开展工作，坚守工作岗位，不得擅自离岗。</w:t>
      </w:r>
    </w:p>
    <w:p w14:paraId="1993F32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3.裁判员的工作分为加密裁判、现场执裁和评判裁判等。</w:t>
      </w:r>
    </w:p>
    <w:p w14:paraId="5BE4F5F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4.裁判员在工作期间严禁使用各种器材进行摄像或照相。</w:t>
      </w:r>
    </w:p>
    <w:p w14:paraId="5DBBF85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5.现场执裁的裁判员负责检查选手携带的物品，违规物品一律清出赛场，比赛结束后裁判员要监督或命令选手停止竞赛操作。</w:t>
      </w:r>
    </w:p>
    <w:p w14:paraId="7C1C57DD">
      <w:pPr>
        <w:spacing w:line="360" w:lineRule="auto"/>
        <w:ind w:firstLine="480" w:firstLineChars="200"/>
        <w:outlineLvl w:val="2"/>
        <w:rPr>
          <w:rFonts w:hint="eastAsia" w:ascii="宋体" w:hAnsi="宋体" w:eastAsia="宋体"/>
          <w:sz w:val="24"/>
          <w:szCs w:val="24"/>
        </w:rPr>
      </w:pPr>
      <w:bookmarkStart w:id="78" w:name="_Toc19868"/>
      <w:r>
        <w:rPr>
          <w:rFonts w:hint="eastAsia" w:ascii="宋体" w:hAnsi="宋体" w:eastAsia="宋体"/>
          <w:sz w:val="24"/>
          <w:szCs w:val="24"/>
        </w:rPr>
        <w:t>6.裁判员不得影响选手正常竞赛。</w:t>
      </w:r>
      <w:bookmarkEnd w:id="78"/>
    </w:p>
    <w:p w14:paraId="60F86D2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7.严格执行赛场纪律，不得向参赛选手暗示或解答与竞赛有关的内容。对裁判工作中有争议的技术问题、突发事件要及时处理、妥善解决，并及时向裁判长汇报。</w:t>
      </w:r>
    </w:p>
    <w:p w14:paraId="473A94A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8.及时制止选手的违纪行为，提醒选手注意操作安全，对选手违规操作或有可能引发人身伤害、设备损坏等行为，应立即制止并向现场负责人报告。</w:t>
      </w:r>
    </w:p>
    <w:p w14:paraId="2477FE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9.严格执行竞赛项目评分标准，做到公平、公正、真实、准确，杜绝随意打分；严禁利用工作之便，弄虚作假、徇私舞弊。</w:t>
      </w:r>
    </w:p>
    <w:p w14:paraId="47C82CD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10.严格遵守保密纪律。裁判员不得私自与参赛选手或代表队联系，不得透露竞赛的有关情况。</w:t>
      </w:r>
    </w:p>
    <w:p w14:paraId="656D58C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11.裁判员必须参加赛前培训，否则取消竞赛裁判资格。</w:t>
      </w:r>
    </w:p>
    <w:p w14:paraId="2EF46D6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12.竞赛过程中如出现问题或异议，服从裁判长的裁决。</w:t>
      </w:r>
    </w:p>
    <w:p w14:paraId="13E180F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13.竞赛期间，因裁判人员工作不负责任，造成竞赛程序无法继续进行或评判结果失实情况，由赛项组委会视情节轻重，给予通报批评或停止裁判资格，并通知其所在单位做出相应处理。</w:t>
      </w:r>
    </w:p>
    <w:p w14:paraId="4D1D8D73">
      <w:pPr>
        <w:spacing w:line="360" w:lineRule="auto"/>
        <w:ind w:firstLine="482" w:firstLineChars="200"/>
        <w:outlineLvl w:val="0"/>
        <w:rPr>
          <w:rFonts w:hint="eastAsia" w:ascii="宋体" w:hAnsi="宋体" w:eastAsia="宋体"/>
          <w:b/>
          <w:bCs/>
          <w:sz w:val="24"/>
          <w:szCs w:val="24"/>
        </w:rPr>
      </w:pPr>
      <w:bookmarkStart w:id="79" w:name="_Toc32164"/>
      <w:r>
        <w:rPr>
          <w:rFonts w:hint="eastAsia" w:ascii="宋体" w:hAnsi="宋体" w:eastAsia="宋体"/>
          <w:b/>
          <w:bCs/>
          <w:sz w:val="24"/>
          <w:szCs w:val="24"/>
        </w:rPr>
        <w:t>十一、申诉与仲裁</w:t>
      </w:r>
      <w:bookmarkEnd w:id="79"/>
    </w:p>
    <w:p w14:paraId="383246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在竞赛过程中若出现有失公正或有关人员违规等现象，各代表队领队可在竞赛结束后2小时之内向监督仲裁组提出书面申诉。大赛组委会选派人员参加监督仲裁工作，监督仲裁工作组在接到申诉后的2小时内组织复议，并及时反馈仲裁结果，仲裁结果为最终结果。</w:t>
      </w:r>
    </w:p>
    <w:p w14:paraId="48B75EB0">
      <w:pPr>
        <w:spacing w:line="360" w:lineRule="auto"/>
        <w:ind w:firstLine="482" w:firstLineChars="200"/>
        <w:outlineLvl w:val="0"/>
        <w:rPr>
          <w:rFonts w:hint="eastAsia" w:ascii="宋体" w:hAnsi="宋体" w:eastAsia="宋体"/>
          <w:b/>
          <w:bCs/>
          <w:sz w:val="24"/>
          <w:szCs w:val="24"/>
        </w:rPr>
      </w:pPr>
      <w:bookmarkStart w:id="80" w:name="_Toc13714"/>
      <w:r>
        <w:rPr>
          <w:rFonts w:hint="eastAsia" w:ascii="宋体" w:hAnsi="宋体" w:eastAsia="宋体"/>
          <w:b/>
          <w:bCs/>
          <w:sz w:val="24"/>
          <w:szCs w:val="24"/>
        </w:rPr>
        <w:t>十二、开放现场的要求</w:t>
      </w:r>
      <w:bookmarkEnd w:id="80"/>
    </w:p>
    <w:p w14:paraId="3DB86B8A">
      <w:pPr>
        <w:spacing w:line="360" w:lineRule="auto"/>
        <w:ind w:firstLine="482" w:firstLineChars="200"/>
        <w:outlineLvl w:val="1"/>
        <w:rPr>
          <w:rFonts w:hint="eastAsia" w:ascii="宋体" w:hAnsi="宋体" w:eastAsia="宋体"/>
          <w:b/>
          <w:bCs/>
          <w:sz w:val="24"/>
          <w:szCs w:val="24"/>
        </w:rPr>
      </w:pPr>
      <w:bookmarkStart w:id="81" w:name="_Toc5217"/>
      <w:r>
        <w:rPr>
          <w:rFonts w:hint="eastAsia" w:ascii="宋体" w:hAnsi="宋体" w:eastAsia="宋体"/>
          <w:b/>
          <w:bCs/>
          <w:sz w:val="24"/>
          <w:szCs w:val="24"/>
        </w:rPr>
        <w:t>（一）对于公众开放的要求</w:t>
      </w:r>
      <w:bookmarkEnd w:id="81"/>
    </w:p>
    <w:p w14:paraId="63F59B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赛场开放，公众可在赛场开放区域自由观摩，但不能妨碍选手比赛，不得进入竞赛区域。</w:t>
      </w:r>
    </w:p>
    <w:p w14:paraId="606CC252">
      <w:pPr>
        <w:spacing w:line="360" w:lineRule="auto"/>
        <w:ind w:firstLine="482" w:firstLineChars="200"/>
        <w:outlineLvl w:val="1"/>
        <w:rPr>
          <w:rFonts w:hint="eastAsia" w:ascii="宋体" w:hAnsi="宋体" w:eastAsia="宋体"/>
          <w:b/>
          <w:bCs/>
          <w:sz w:val="24"/>
          <w:szCs w:val="24"/>
        </w:rPr>
      </w:pPr>
      <w:bookmarkStart w:id="82" w:name="_Toc2077"/>
      <w:r>
        <w:rPr>
          <w:rFonts w:hint="eastAsia" w:ascii="宋体" w:hAnsi="宋体" w:eastAsia="宋体"/>
          <w:b/>
          <w:bCs/>
          <w:sz w:val="24"/>
          <w:szCs w:val="24"/>
        </w:rPr>
        <w:t>（二）关于赞助商和宣传的要求</w:t>
      </w:r>
      <w:bookmarkEnd w:id="82"/>
    </w:p>
    <w:p w14:paraId="52C2EAE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经大赛组委会允许的赞助商和负责宣传的媒体记者，按竞赛规则的要求进入赛场相关区域。上述相关人员不得妨碍、干扰选手竞赛，不得有任何影响竞赛公平、公正的行为。</w:t>
      </w:r>
    </w:p>
    <w:p w14:paraId="1ABB7ECF">
      <w:pPr>
        <w:spacing w:line="360" w:lineRule="auto"/>
        <w:ind w:firstLine="482" w:firstLineChars="200"/>
        <w:outlineLvl w:val="0"/>
        <w:rPr>
          <w:rFonts w:hint="eastAsia" w:ascii="宋体" w:hAnsi="宋体" w:eastAsia="宋体"/>
          <w:b/>
          <w:bCs/>
          <w:sz w:val="24"/>
          <w:szCs w:val="24"/>
        </w:rPr>
      </w:pPr>
      <w:bookmarkStart w:id="83" w:name="_Toc20643"/>
      <w:r>
        <w:rPr>
          <w:rFonts w:hint="eastAsia" w:ascii="宋体" w:hAnsi="宋体" w:eastAsia="宋体"/>
          <w:b/>
          <w:bCs/>
          <w:sz w:val="24"/>
          <w:szCs w:val="24"/>
        </w:rPr>
        <w:t>十三、绿色环保</w:t>
      </w:r>
      <w:bookmarkEnd w:id="83"/>
    </w:p>
    <w:p w14:paraId="25FC9694">
      <w:pPr>
        <w:spacing w:line="360" w:lineRule="auto"/>
        <w:ind w:firstLine="482" w:firstLineChars="200"/>
        <w:outlineLvl w:val="1"/>
        <w:rPr>
          <w:rFonts w:hint="eastAsia" w:ascii="宋体" w:hAnsi="宋体" w:eastAsia="宋体"/>
          <w:b/>
          <w:bCs/>
          <w:sz w:val="24"/>
          <w:szCs w:val="24"/>
        </w:rPr>
      </w:pPr>
      <w:bookmarkStart w:id="84" w:name="_Toc20307"/>
      <w:r>
        <w:rPr>
          <w:rFonts w:hint="eastAsia" w:ascii="宋体" w:hAnsi="宋体" w:eastAsia="宋体"/>
          <w:b/>
          <w:bCs/>
          <w:sz w:val="24"/>
          <w:szCs w:val="24"/>
        </w:rPr>
        <w:t>（一）环境保护</w:t>
      </w:r>
      <w:bookmarkEnd w:id="84"/>
    </w:p>
    <w:p w14:paraId="66297B4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大赛应注重环境保护，不允许破坏环境。</w:t>
      </w:r>
    </w:p>
    <w:p w14:paraId="606AAED3">
      <w:pPr>
        <w:spacing w:line="360" w:lineRule="auto"/>
        <w:ind w:firstLine="482" w:firstLineChars="200"/>
        <w:outlineLvl w:val="1"/>
        <w:rPr>
          <w:rFonts w:hint="eastAsia" w:ascii="宋体" w:hAnsi="宋体" w:eastAsia="宋体"/>
          <w:b/>
          <w:bCs/>
          <w:sz w:val="24"/>
          <w:szCs w:val="24"/>
        </w:rPr>
      </w:pPr>
      <w:bookmarkStart w:id="85" w:name="_Toc16430"/>
      <w:r>
        <w:rPr>
          <w:rFonts w:hint="eastAsia" w:ascii="宋体" w:hAnsi="宋体" w:eastAsia="宋体"/>
          <w:b/>
          <w:bCs/>
          <w:sz w:val="24"/>
          <w:szCs w:val="24"/>
        </w:rPr>
        <w:t>（二）循环利用</w:t>
      </w:r>
      <w:bookmarkEnd w:id="85"/>
    </w:p>
    <w:p w14:paraId="6F3B734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大赛期间产生的废料必须分类收集和回收。</w:t>
      </w:r>
    </w:p>
    <w:p w14:paraId="08FA8FEB">
      <w:pPr>
        <w:spacing w:line="360" w:lineRule="auto"/>
        <w:ind w:firstLine="480" w:firstLineChars="200"/>
        <w:rPr>
          <w:rFonts w:hint="eastAsia" w:ascii="宋体" w:hAnsi="宋体" w:eastAsia="宋体"/>
          <w:sz w:val="24"/>
          <w:szCs w:val="24"/>
        </w:rPr>
      </w:pPr>
    </w:p>
    <w:p w14:paraId="1DC91918">
      <w:pPr>
        <w:spacing w:line="360" w:lineRule="auto"/>
        <w:ind w:firstLine="480" w:firstLineChars="200"/>
        <w:rPr>
          <w:rFonts w:hint="eastAsia" w:ascii="宋体" w:hAnsi="宋体" w:eastAsia="宋体"/>
          <w:sz w:val="24"/>
          <w:szCs w:val="24"/>
        </w:rPr>
      </w:pPr>
    </w:p>
    <w:p w14:paraId="13C038E6">
      <w:pPr>
        <w:widowControl/>
        <w:jc w:val="left"/>
        <w:rPr>
          <w:rFonts w:hint="eastAsia" w:ascii="宋体" w:hAnsi="宋体" w:eastAsia="宋体"/>
          <w:sz w:val="24"/>
          <w:szCs w:val="24"/>
        </w:rPr>
      </w:pPr>
      <w:r>
        <w:rPr>
          <w:rFonts w:hint="eastAsia" w:ascii="宋体" w:hAnsi="宋体" w:eastAsia="宋体"/>
          <w:sz w:val="24"/>
          <w:szCs w:val="24"/>
        </w:rPr>
        <w:br w:type="page"/>
      </w:r>
    </w:p>
    <w:p w14:paraId="23F0D824">
      <w:pPr>
        <w:widowControl/>
        <w:tabs>
          <w:tab w:val="left" w:pos="4680"/>
        </w:tabs>
        <w:kinsoku w:val="0"/>
        <w:autoSpaceDE w:val="0"/>
        <w:autoSpaceDN w:val="0"/>
        <w:adjustRightInd w:val="0"/>
        <w:snapToGrid w:val="0"/>
        <w:spacing w:line="560" w:lineRule="exact"/>
        <w:jc w:val="center"/>
        <w:textAlignment w:val="baseline"/>
        <w:rPr>
          <w:rFonts w:hint="eastAsia" w:ascii="方正小标宋_GBK" w:hAnsi="方正小标宋_GBK" w:eastAsia="方正小标宋_GBK" w:cs="方正小标宋_GBK"/>
          <w:bCs/>
          <w:snapToGrid w:val="0"/>
          <w:color w:val="000000"/>
          <w:kern w:val="0"/>
          <w:sz w:val="36"/>
          <w:szCs w:val="36"/>
        </w:rPr>
      </w:pPr>
      <w:r>
        <w:rPr>
          <w:rFonts w:hint="eastAsia" w:ascii="方正小标宋_GBK" w:hAnsi="方正小标宋_GBK" w:eastAsia="方正小标宋_GBK" w:cs="方正小标宋_GBK"/>
          <w:bCs/>
          <w:snapToGrid w:val="0"/>
          <w:color w:val="000000"/>
          <w:kern w:val="0"/>
          <w:sz w:val="36"/>
          <w:szCs w:val="36"/>
        </w:rPr>
        <w:t>汽车维修检验工（智能载运综合技术方向）赛项</w:t>
      </w:r>
    </w:p>
    <w:p w14:paraId="69A0A9E1">
      <w:pPr>
        <w:widowControl/>
        <w:tabs>
          <w:tab w:val="left" w:pos="4680"/>
        </w:tabs>
        <w:kinsoku w:val="0"/>
        <w:autoSpaceDE w:val="0"/>
        <w:autoSpaceDN w:val="0"/>
        <w:adjustRightInd w:val="0"/>
        <w:snapToGrid w:val="0"/>
        <w:spacing w:line="560" w:lineRule="exact"/>
        <w:jc w:val="center"/>
        <w:textAlignment w:val="baseline"/>
        <w:outlineLvl w:val="0"/>
        <w:rPr>
          <w:rFonts w:hint="eastAsia" w:ascii="方正小标宋_GBK" w:hAnsi="方正小标宋_GBK" w:eastAsia="方正小标宋_GBK" w:cs="方正小标宋_GBK"/>
          <w:bCs/>
          <w:snapToGrid w:val="0"/>
          <w:color w:val="000000"/>
          <w:kern w:val="0"/>
          <w:sz w:val="36"/>
          <w:szCs w:val="36"/>
          <w:lang w:bidi="en-US"/>
        </w:rPr>
      </w:pPr>
      <w:r>
        <w:rPr>
          <w:rFonts w:hint="eastAsia" w:ascii="方正小标宋_GBK" w:hAnsi="方正小标宋_GBK" w:eastAsia="方正小标宋_GBK" w:cs="方正小标宋_GBK"/>
          <w:bCs/>
          <w:snapToGrid w:val="0"/>
          <w:color w:val="000000"/>
          <w:kern w:val="0"/>
          <w:sz w:val="36"/>
          <w:szCs w:val="36"/>
          <w:lang w:bidi="en-US"/>
        </w:rPr>
        <w:t xml:space="preserve"> </w:t>
      </w:r>
      <w:bookmarkStart w:id="86" w:name="_Toc1483"/>
      <w:r>
        <w:rPr>
          <w:rFonts w:hint="eastAsia" w:ascii="方正小标宋_GBK" w:hAnsi="方正小标宋_GBK" w:eastAsia="方正小标宋_GBK" w:cs="方正小标宋_GBK"/>
          <w:bCs/>
          <w:snapToGrid w:val="0"/>
          <w:color w:val="000000"/>
          <w:kern w:val="0"/>
          <w:sz w:val="36"/>
          <w:szCs w:val="36"/>
          <w:lang w:bidi="en-US"/>
        </w:rPr>
        <w:t>(任务:</w:t>
      </w:r>
      <w:r>
        <w:rPr>
          <w:rFonts w:hint="eastAsia"/>
        </w:rPr>
        <w:t xml:space="preserve"> </w:t>
      </w:r>
      <w:r>
        <w:rPr>
          <w:rFonts w:hint="eastAsia" w:ascii="方正小标宋_GBK" w:hAnsi="方正小标宋_GBK" w:eastAsia="方正小标宋_GBK" w:cs="方正小标宋_GBK"/>
          <w:bCs/>
          <w:snapToGrid w:val="0"/>
          <w:color w:val="000000"/>
          <w:kern w:val="0"/>
          <w:sz w:val="36"/>
          <w:szCs w:val="36"/>
        </w:rPr>
        <w:t>智能载运系统的组装与调试</w:t>
      </w:r>
      <w:r>
        <w:rPr>
          <w:rFonts w:hint="eastAsia" w:ascii="方正小标宋_GBK" w:hAnsi="方正小标宋_GBK" w:eastAsia="方正小标宋_GBK" w:cs="方正小标宋_GBK"/>
          <w:bCs/>
          <w:snapToGrid w:val="0"/>
          <w:color w:val="000000"/>
          <w:kern w:val="0"/>
          <w:sz w:val="36"/>
          <w:szCs w:val="36"/>
          <w:lang w:bidi="en-US"/>
        </w:rPr>
        <w:t>)</w:t>
      </w:r>
      <w:bookmarkEnd w:id="86"/>
    </w:p>
    <w:p w14:paraId="53A1FD8B">
      <w:pPr>
        <w:widowControl/>
        <w:tabs>
          <w:tab w:val="left" w:pos="4680"/>
        </w:tabs>
        <w:kinsoku w:val="0"/>
        <w:autoSpaceDE w:val="0"/>
        <w:autoSpaceDN w:val="0"/>
        <w:adjustRightInd w:val="0"/>
        <w:snapToGrid w:val="0"/>
        <w:spacing w:line="560" w:lineRule="exact"/>
        <w:jc w:val="center"/>
        <w:textAlignment w:val="baseline"/>
        <w:outlineLvl w:val="0"/>
        <w:rPr>
          <w:rFonts w:hint="eastAsia" w:ascii="方正小标宋_GBK" w:hAnsi="方正小标宋_GBK" w:eastAsia="方正小标宋_GBK" w:cs="方正小标宋_GBK"/>
          <w:bCs/>
          <w:snapToGrid w:val="0"/>
          <w:color w:val="000000"/>
          <w:kern w:val="0"/>
          <w:sz w:val="36"/>
          <w:szCs w:val="36"/>
          <w:lang w:bidi="en-US"/>
        </w:rPr>
      </w:pPr>
      <w:bookmarkStart w:id="87" w:name="_Toc3990"/>
      <w:r>
        <w:rPr>
          <w:rFonts w:hint="eastAsia" w:ascii="方正小标宋_GBK" w:hAnsi="方正小标宋_GBK" w:eastAsia="方正小标宋_GBK" w:cs="方正小标宋_GBK"/>
          <w:bCs/>
          <w:snapToGrid w:val="0"/>
          <w:color w:val="000000"/>
          <w:kern w:val="0"/>
          <w:sz w:val="36"/>
          <w:szCs w:val="36"/>
          <w:lang w:bidi="en-US"/>
        </w:rPr>
        <w:t>选手作业单</w:t>
      </w:r>
      <w:bookmarkEnd w:id="87"/>
    </w:p>
    <w:p w14:paraId="0888B16A">
      <w:pPr>
        <w:widowControl/>
        <w:kinsoku w:val="0"/>
        <w:autoSpaceDE w:val="0"/>
        <w:autoSpaceDN w:val="0"/>
        <w:adjustRightInd w:val="0"/>
        <w:snapToGrid w:val="0"/>
        <w:spacing w:after="120"/>
        <w:jc w:val="left"/>
        <w:textAlignment w:val="baseline"/>
        <w:rPr>
          <w:rFonts w:ascii="Arial" w:hAnsi="Arial" w:eastAsia="宋体" w:cs="Arial"/>
          <w:snapToGrid w:val="0"/>
          <w:color w:val="000000"/>
          <w:kern w:val="0"/>
          <w:szCs w:val="21"/>
          <w:lang w:bidi="en-US"/>
        </w:rPr>
      </w:pPr>
    </w:p>
    <w:tbl>
      <w:tblPr>
        <w:tblStyle w:val="18"/>
        <w:tblW w:w="85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2"/>
        <w:gridCol w:w="1559"/>
        <w:gridCol w:w="3082"/>
        <w:gridCol w:w="1989"/>
      </w:tblGrid>
      <w:tr w14:paraId="1EB09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1882" w:type="dxa"/>
          </w:tcPr>
          <w:p w14:paraId="7F0AE2E8">
            <w:pPr>
              <w:widowControl/>
              <w:kinsoku w:val="0"/>
              <w:autoSpaceDE w:val="0"/>
              <w:autoSpaceDN w:val="0"/>
              <w:adjustRightInd w:val="0"/>
              <w:snapToGrid w:val="0"/>
              <w:spacing w:before="91" w:line="220" w:lineRule="auto"/>
              <w:ind w:left="489"/>
              <w:jc w:val="left"/>
              <w:textAlignment w:val="baseline"/>
              <w:rPr>
                <w:rFonts w:hint="eastAsia" w:ascii="仿宋_GB2312" w:hAnsi="宋体" w:eastAsia="仿宋_GB2312" w:cs="仿宋_GB2312"/>
                <w:bCs/>
                <w:snapToGrid w:val="0"/>
                <w:color w:val="000000"/>
                <w:kern w:val="0"/>
                <w:sz w:val="24"/>
                <w:szCs w:val="24"/>
                <w:lang w:eastAsia="en-US"/>
              </w:rPr>
            </w:pPr>
            <w:r>
              <w:rPr>
                <w:rFonts w:hint="eastAsia" w:ascii="仿宋_GB2312" w:hAnsi="宋体" w:eastAsia="仿宋_GB2312" w:cs="仿宋_GB2312"/>
                <w:bCs/>
                <w:snapToGrid w:val="0"/>
                <w:color w:val="000000"/>
                <w:spacing w:val="-2"/>
                <w:kern w:val="0"/>
                <w:sz w:val="24"/>
                <w:szCs w:val="24"/>
              </w:rPr>
              <w:t>场次</w:t>
            </w:r>
          </w:p>
        </w:tc>
        <w:tc>
          <w:tcPr>
            <w:tcW w:w="1559" w:type="dxa"/>
          </w:tcPr>
          <w:p w14:paraId="5FAFCF59">
            <w:pPr>
              <w:widowControl/>
              <w:kinsoku w:val="0"/>
              <w:autoSpaceDE w:val="0"/>
              <w:autoSpaceDN w:val="0"/>
              <w:adjustRightInd w:val="0"/>
              <w:snapToGrid w:val="0"/>
              <w:spacing w:before="91" w:line="222" w:lineRule="auto"/>
              <w:ind w:left="429"/>
              <w:jc w:val="left"/>
              <w:textAlignment w:val="baseline"/>
              <w:rPr>
                <w:rFonts w:hint="eastAsia" w:ascii="仿宋_GB2312" w:hAnsi="宋体" w:eastAsia="仿宋_GB2312" w:cs="仿宋_GB2312"/>
                <w:bCs/>
                <w:snapToGrid w:val="0"/>
                <w:color w:val="000000"/>
                <w:kern w:val="0"/>
                <w:sz w:val="24"/>
                <w:szCs w:val="24"/>
                <w:lang w:eastAsia="en-US"/>
              </w:rPr>
            </w:pPr>
            <w:r>
              <w:rPr>
                <w:rFonts w:hint="eastAsia" w:ascii="仿宋_GB2312" w:hAnsi="宋体" w:eastAsia="仿宋_GB2312" w:cs="仿宋_GB2312"/>
                <w:bCs/>
                <w:snapToGrid w:val="0"/>
                <w:color w:val="000000"/>
                <w:spacing w:val="-5"/>
                <w:kern w:val="0"/>
                <w:sz w:val="24"/>
                <w:szCs w:val="24"/>
                <w:lang w:eastAsia="en-US"/>
              </w:rPr>
              <w:t>工位号</w:t>
            </w:r>
          </w:p>
        </w:tc>
        <w:tc>
          <w:tcPr>
            <w:tcW w:w="3082" w:type="dxa"/>
          </w:tcPr>
          <w:p w14:paraId="76B266EA">
            <w:pPr>
              <w:widowControl/>
              <w:kinsoku w:val="0"/>
              <w:autoSpaceDE w:val="0"/>
              <w:autoSpaceDN w:val="0"/>
              <w:adjustRightInd w:val="0"/>
              <w:snapToGrid w:val="0"/>
              <w:spacing w:before="91" w:line="220" w:lineRule="auto"/>
              <w:ind w:left="1071"/>
              <w:jc w:val="left"/>
              <w:textAlignment w:val="baseline"/>
              <w:rPr>
                <w:rFonts w:hint="eastAsia" w:ascii="仿宋_GB2312" w:hAnsi="宋体" w:eastAsia="仿宋_GB2312" w:cs="仿宋_GB2312"/>
                <w:bCs/>
                <w:snapToGrid w:val="0"/>
                <w:color w:val="000000"/>
                <w:kern w:val="0"/>
                <w:sz w:val="24"/>
                <w:szCs w:val="24"/>
                <w:lang w:eastAsia="en-US"/>
              </w:rPr>
            </w:pPr>
            <w:r>
              <w:rPr>
                <w:rFonts w:hint="eastAsia" w:ascii="仿宋_GB2312" w:hAnsi="宋体" w:eastAsia="仿宋_GB2312" w:cs="仿宋_GB2312"/>
                <w:bCs/>
                <w:snapToGrid w:val="0"/>
                <w:color w:val="000000"/>
                <w:spacing w:val="-4"/>
                <w:kern w:val="0"/>
                <w:sz w:val="24"/>
                <w:szCs w:val="24"/>
                <w:lang w:eastAsia="en-US"/>
              </w:rPr>
              <w:t>竞赛日期</w:t>
            </w:r>
          </w:p>
        </w:tc>
        <w:tc>
          <w:tcPr>
            <w:tcW w:w="1989" w:type="dxa"/>
          </w:tcPr>
          <w:p w14:paraId="35231A31">
            <w:pPr>
              <w:widowControl/>
              <w:kinsoku w:val="0"/>
              <w:autoSpaceDE w:val="0"/>
              <w:autoSpaceDN w:val="0"/>
              <w:adjustRightInd w:val="0"/>
              <w:snapToGrid w:val="0"/>
              <w:spacing w:before="91" w:line="220" w:lineRule="auto"/>
              <w:ind w:left="524"/>
              <w:jc w:val="left"/>
              <w:textAlignment w:val="baseline"/>
              <w:rPr>
                <w:rFonts w:hint="eastAsia" w:ascii="仿宋_GB2312" w:hAnsi="宋体" w:eastAsia="仿宋_GB2312" w:cs="仿宋_GB2312"/>
                <w:bCs/>
                <w:snapToGrid w:val="0"/>
                <w:color w:val="000000"/>
                <w:kern w:val="0"/>
                <w:sz w:val="24"/>
                <w:szCs w:val="24"/>
                <w:lang w:eastAsia="en-US"/>
              </w:rPr>
            </w:pPr>
            <w:r>
              <w:rPr>
                <w:rFonts w:hint="eastAsia" w:ascii="仿宋_GB2312" w:hAnsi="宋体" w:eastAsia="仿宋_GB2312" w:cs="仿宋_GB2312"/>
                <w:bCs/>
                <w:snapToGrid w:val="0"/>
                <w:color w:val="000000"/>
                <w:spacing w:val="-4"/>
                <w:kern w:val="0"/>
                <w:sz w:val="24"/>
                <w:szCs w:val="24"/>
                <w:lang w:eastAsia="en-US"/>
              </w:rPr>
              <w:t>竞赛用时</w:t>
            </w:r>
          </w:p>
        </w:tc>
      </w:tr>
      <w:tr w14:paraId="5C831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1882" w:type="dxa"/>
          </w:tcPr>
          <w:p w14:paraId="774F3598">
            <w:pPr>
              <w:widowControl/>
              <w:kinsoku w:val="0"/>
              <w:autoSpaceDE w:val="0"/>
              <w:autoSpaceDN w:val="0"/>
              <w:adjustRightInd w:val="0"/>
              <w:snapToGrid w:val="0"/>
              <w:jc w:val="left"/>
              <w:textAlignment w:val="baseline"/>
              <w:rPr>
                <w:rFonts w:hint="eastAsia" w:ascii="仿宋_GB2312" w:hAnsi="宋体" w:eastAsia="仿宋_GB2312" w:cs="仿宋_GB2312"/>
                <w:snapToGrid w:val="0"/>
                <w:color w:val="000000"/>
                <w:kern w:val="0"/>
                <w:sz w:val="24"/>
                <w:szCs w:val="24"/>
                <w:lang w:eastAsia="en-US"/>
              </w:rPr>
            </w:pPr>
          </w:p>
        </w:tc>
        <w:tc>
          <w:tcPr>
            <w:tcW w:w="1559" w:type="dxa"/>
          </w:tcPr>
          <w:p w14:paraId="34C80A12">
            <w:pPr>
              <w:widowControl/>
              <w:kinsoku w:val="0"/>
              <w:autoSpaceDE w:val="0"/>
              <w:autoSpaceDN w:val="0"/>
              <w:adjustRightInd w:val="0"/>
              <w:snapToGrid w:val="0"/>
              <w:jc w:val="left"/>
              <w:textAlignment w:val="baseline"/>
              <w:rPr>
                <w:rFonts w:hint="eastAsia" w:ascii="仿宋_GB2312" w:hAnsi="宋体" w:eastAsia="仿宋_GB2312" w:cs="仿宋_GB2312"/>
                <w:snapToGrid w:val="0"/>
                <w:color w:val="000000"/>
                <w:kern w:val="0"/>
                <w:sz w:val="24"/>
                <w:szCs w:val="24"/>
                <w:lang w:eastAsia="en-US"/>
              </w:rPr>
            </w:pPr>
          </w:p>
        </w:tc>
        <w:tc>
          <w:tcPr>
            <w:tcW w:w="3082" w:type="dxa"/>
          </w:tcPr>
          <w:p w14:paraId="79372622">
            <w:pPr>
              <w:widowControl/>
              <w:kinsoku w:val="0"/>
              <w:autoSpaceDE w:val="0"/>
              <w:autoSpaceDN w:val="0"/>
              <w:adjustRightInd w:val="0"/>
              <w:snapToGrid w:val="0"/>
              <w:jc w:val="left"/>
              <w:textAlignment w:val="baseline"/>
              <w:rPr>
                <w:rFonts w:hint="eastAsia" w:ascii="仿宋_GB2312" w:hAnsi="宋体" w:eastAsia="仿宋_GB2312" w:cs="仿宋_GB2312"/>
                <w:snapToGrid w:val="0"/>
                <w:color w:val="000000"/>
                <w:kern w:val="0"/>
                <w:sz w:val="24"/>
                <w:szCs w:val="24"/>
                <w:lang w:eastAsia="en-US"/>
              </w:rPr>
            </w:pPr>
          </w:p>
        </w:tc>
        <w:tc>
          <w:tcPr>
            <w:tcW w:w="1989" w:type="dxa"/>
          </w:tcPr>
          <w:p w14:paraId="53BEDF23">
            <w:pPr>
              <w:widowControl/>
              <w:kinsoku w:val="0"/>
              <w:autoSpaceDE w:val="0"/>
              <w:autoSpaceDN w:val="0"/>
              <w:adjustRightInd w:val="0"/>
              <w:snapToGrid w:val="0"/>
              <w:spacing w:before="90" w:line="221" w:lineRule="auto"/>
              <w:ind w:left="989"/>
              <w:jc w:val="left"/>
              <w:textAlignment w:val="baseline"/>
              <w:rPr>
                <w:rFonts w:hint="eastAsia" w:ascii="仿宋_GB2312" w:hAnsi="宋体" w:eastAsia="仿宋_GB2312" w:cs="仿宋_GB2312"/>
                <w:snapToGrid w:val="0"/>
                <w:color w:val="000000"/>
                <w:kern w:val="0"/>
                <w:sz w:val="24"/>
                <w:szCs w:val="24"/>
                <w:lang w:eastAsia="en-US"/>
              </w:rPr>
            </w:pPr>
          </w:p>
        </w:tc>
      </w:tr>
    </w:tbl>
    <w:p w14:paraId="2BA57531">
      <w:pPr>
        <w:widowControl/>
        <w:kinsoku w:val="0"/>
        <w:autoSpaceDE w:val="0"/>
        <w:autoSpaceDN w:val="0"/>
        <w:adjustRightInd w:val="0"/>
        <w:snapToGrid w:val="0"/>
        <w:spacing w:before="80"/>
        <w:jc w:val="left"/>
        <w:textAlignment w:val="baseline"/>
        <w:rPr>
          <w:rFonts w:hint="eastAsia" w:ascii="仿宋_GB2312" w:hAnsi="宋体" w:eastAsia="仿宋_GB2312" w:cs="Arial"/>
          <w:snapToGrid w:val="0"/>
          <w:color w:val="000000"/>
          <w:kern w:val="0"/>
          <w:sz w:val="24"/>
          <w:szCs w:val="24"/>
          <w:lang w:eastAsia="en-US"/>
        </w:rPr>
      </w:pPr>
    </w:p>
    <w:tbl>
      <w:tblPr>
        <w:tblStyle w:val="18"/>
        <w:tblW w:w="8502"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16"/>
        <w:gridCol w:w="4386"/>
      </w:tblGrid>
      <w:tr w14:paraId="267E611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76" w:hRule="atLeast"/>
          <w:jc w:val="center"/>
        </w:trPr>
        <w:tc>
          <w:tcPr>
            <w:tcW w:w="8502" w:type="dxa"/>
            <w:gridSpan w:val="2"/>
          </w:tcPr>
          <w:p w14:paraId="058DA84E">
            <w:pPr>
              <w:widowControl/>
              <w:kinsoku w:val="0"/>
              <w:autoSpaceDE w:val="0"/>
              <w:autoSpaceDN w:val="0"/>
              <w:adjustRightInd w:val="0"/>
              <w:snapToGrid w:val="0"/>
              <w:spacing w:before="137" w:line="220" w:lineRule="auto"/>
              <w:ind w:left="3203"/>
              <w:jc w:val="left"/>
              <w:textAlignment w:val="baseline"/>
              <w:rPr>
                <w:rFonts w:hint="eastAsia" w:ascii="仿宋_GB2312" w:hAnsi="宋体" w:eastAsia="仿宋_GB2312" w:cs="仿宋"/>
                <w:snapToGrid w:val="0"/>
                <w:color w:val="000000"/>
                <w:kern w:val="0"/>
                <w:sz w:val="24"/>
                <w:szCs w:val="24"/>
                <w:lang w:eastAsia="en-US"/>
              </w:rPr>
            </w:pPr>
            <w:r>
              <w:rPr>
                <w:rFonts w:hint="eastAsia" w:ascii="仿宋_GB2312" w:hAnsi="宋体" w:eastAsia="仿宋_GB2312" w:cs="仿宋"/>
                <w:snapToGrid w:val="0"/>
                <w:color w:val="000000"/>
                <w:spacing w:val="-2"/>
                <w:kern w:val="0"/>
                <w:sz w:val="24"/>
                <w:szCs w:val="24"/>
                <w:lang w:eastAsia="en-US"/>
              </w:rPr>
              <w:t>选手操作任务说明</w:t>
            </w:r>
          </w:p>
        </w:tc>
      </w:tr>
      <w:tr w14:paraId="4B8A9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8502" w:type="dxa"/>
            <w:gridSpan w:val="2"/>
          </w:tcPr>
          <w:p w14:paraId="595FCEBA">
            <w:pPr>
              <w:widowControl/>
              <w:tabs>
                <w:tab w:val="left" w:pos="4056"/>
              </w:tabs>
              <w:kinsoku w:val="0"/>
              <w:autoSpaceDE w:val="0"/>
              <w:autoSpaceDN w:val="0"/>
              <w:adjustRightInd w:val="0"/>
              <w:snapToGrid w:val="0"/>
              <w:spacing w:before="166" w:line="221" w:lineRule="auto"/>
              <w:jc w:val="center"/>
              <w:textAlignment w:val="baseline"/>
              <w:rPr>
                <w:rFonts w:hint="eastAsia" w:ascii="仿宋_GB2312" w:hAnsi="宋体" w:eastAsia="仿宋_GB2312" w:cs="仿宋"/>
                <w:snapToGrid w:val="0"/>
                <w:color w:val="000000"/>
                <w:kern w:val="0"/>
                <w:sz w:val="24"/>
                <w:szCs w:val="24"/>
              </w:rPr>
            </w:pPr>
            <w:r>
              <w:rPr>
                <w:rFonts w:hint="eastAsia" w:ascii="仿宋_GB2312" w:hAnsi="宋体" w:eastAsia="仿宋_GB2312" w:cs="宋体"/>
                <w:snapToGrid w:val="0"/>
                <w:color w:val="000000"/>
                <w:kern w:val="0"/>
                <w:sz w:val="24"/>
                <w:szCs w:val="24"/>
              </w:rPr>
              <w:br w:type="page"/>
            </w:r>
            <w:r>
              <w:rPr>
                <w:rFonts w:hint="eastAsia" w:ascii="仿宋_GB2312" w:hAnsi="宋体" w:eastAsia="仿宋_GB2312" w:cs="仿宋"/>
                <w:snapToGrid w:val="0"/>
                <w:color w:val="000000"/>
                <w:kern w:val="0"/>
                <w:sz w:val="24"/>
                <w:szCs w:val="24"/>
              </w:rPr>
              <w:t>时间分配</w:t>
            </w:r>
          </w:p>
        </w:tc>
      </w:tr>
      <w:tr w14:paraId="7DD32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116" w:type="dxa"/>
          </w:tcPr>
          <w:p w14:paraId="1FAF09AB">
            <w:pPr>
              <w:widowControl/>
              <w:kinsoku w:val="0"/>
              <w:autoSpaceDE w:val="0"/>
              <w:autoSpaceDN w:val="0"/>
              <w:adjustRightInd w:val="0"/>
              <w:snapToGrid w:val="0"/>
              <w:spacing w:before="166" w:line="220" w:lineRule="auto"/>
              <w:ind w:left="317"/>
              <w:jc w:val="left"/>
              <w:textAlignment w:val="baseline"/>
              <w:rPr>
                <w:rFonts w:hint="eastAsia" w:ascii="仿宋_GB2312" w:hAnsi="宋体" w:eastAsia="仿宋_GB2312" w:cs="仿宋"/>
                <w:snapToGrid w:val="0"/>
                <w:color w:val="000000"/>
                <w:kern w:val="0"/>
                <w:sz w:val="24"/>
                <w:szCs w:val="24"/>
              </w:rPr>
            </w:pPr>
            <w:r>
              <w:rPr>
                <w:rFonts w:hint="eastAsia" w:ascii="仿宋_GB2312" w:hAnsi="宋体" w:eastAsia="仿宋_GB2312" w:cs="仿宋"/>
                <w:snapToGrid w:val="0"/>
                <w:color w:val="000000"/>
                <w:spacing w:val="-1"/>
                <w:kern w:val="0"/>
                <w:sz w:val="24"/>
                <w:szCs w:val="24"/>
              </w:rPr>
              <w:t>检查工具和仪表完整性</w:t>
            </w:r>
          </w:p>
        </w:tc>
        <w:tc>
          <w:tcPr>
            <w:tcW w:w="4386" w:type="dxa"/>
          </w:tcPr>
          <w:p w14:paraId="1912B5BF">
            <w:pPr>
              <w:widowControl/>
              <w:kinsoku w:val="0"/>
              <w:autoSpaceDE w:val="0"/>
              <w:autoSpaceDN w:val="0"/>
              <w:adjustRightInd w:val="0"/>
              <w:snapToGrid w:val="0"/>
              <w:spacing w:before="166" w:line="221" w:lineRule="auto"/>
              <w:ind w:left="333"/>
              <w:jc w:val="left"/>
              <w:textAlignment w:val="baseline"/>
              <w:rPr>
                <w:rFonts w:hint="eastAsia" w:ascii="仿宋_GB2312" w:hAnsi="宋体" w:eastAsia="仿宋_GB2312" w:cs="仿宋"/>
                <w:snapToGrid w:val="0"/>
                <w:color w:val="000000"/>
                <w:kern w:val="0"/>
                <w:sz w:val="24"/>
                <w:szCs w:val="24"/>
              </w:rPr>
            </w:pPr>
            <w:r>
              <w:rPr>
                <w:rFonts w:hint="eastAsia" w:ascii="仿宋_GB2312" w:hAnsi="宋体" w:eastAsia="仿宋_GB2312" w:cs="仿宋"/>
                <w:snapToGrid w:val="0"/>
                <w:color w:val="000000"/>
                <w:spacing w:val="-11"/>
                <w:kern w:val="0"/>
                <w:sz w:val="24"/>
                <w:szCs w:val="24"/>
                <w:lang w:eastAsia="en-US"/>
              </w:rPr>
              <w:t>1 分钟</w:t>
            </w:r>
          </w:p>
        </w:tc>
      </w:tr>
      <w:tr w14:paraId="5DF57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116" w:type="dxa"/>
          </w:tcPr>
          <w:p w14:paraId="283D3979">
            <w:pPr>
              <w:widowControl/>
              <w:kinsoku w:val="0"/>
              <w:autoSpaceDE w:val="0"/>
              <w:autoSpaceDN w:val="0"/>
              <w:adjustRightInd w:val="0"/>
              <w:snapToGrid w:val="0"/>
              <w:spacing w:before="165" w:line="220" w:lineRule="auto"/>
              <w:ind w:left="343"/>
              <w:jc w:val="left"/>
              <w:textAlignment w:val="baseline"/>
              <w:rPr>
                <w:rFonts w:hint="eastAsia" w:ascii="仿宋_GB2312" w:hAnsi="宋体" w:eastAsia="仿宋_GB2312" w:cs="仿宋"/>
                <w:snapToGrid w:val="0"/>
                <w:color w:val="000000"/>
                <w:kern w:val="0"/>
                <w:sz w:val="24"/>
                <w:szCs w:val="24"/>
                <w:lang w:eastAsia="en-US"/>
              </w:rPr>
            </w:pPr>
            <w:r>
              <w:rPr>
                <w:rFonts w:hint="eastAsia" w:ascii="仿宋_GB2312" w:hAnsi="宋体" w:eastAsia="仿宋_GB2312" w:cs="仿宋"/>
                <w:snapToGrid w:val="0"/>
                <w:color w:val="000000"/>
                <w:spacing w:val="-6"/>
                <w:kern w:val="0"/>
                <w:sz w:val="24"/>
                <w:szCs w:val="24"/>
                <w:lang w:eastAsia="en-US"/>
              </w:rPr>
              <w:t>比赛操作时间</w:t>
            </w:r>
          </w:p>
        </w:tc>
        <w:tc>
          <w:tcPr>
            <w:tcW w:w="4386" w:type="dxa"/>
          </w:tcPr>
          <w:p w14:paraId="4FD29D9D">
            <w:pPr>
              <w:widowControl/>
              <w:kinsoku w:val="0"/>
              <w:autoSpaceDE w:val="0"/>
              <w:autoSpaceDN w:val="0"/>
              <w:adjustRightInd w:val="0"/>
              <w:snapToGrid w:val="0"/>
              <w:spacing w:before="165" w:line="221" w:lineRule="auto"/>
              <w:ind w:left="315"/>
              <w:jc w:val="left"/>
              <w:textAlignment w:val="baseline"/>
              <w:rPr>
                <w:rFonts w:hint="eastAsia" w:ascii="仿宋_GB2312" w:hAnsi="宋体" w:eastAsia="仿宋_GB2312" w:cs="仿宋"/>
                <w:snapToGrid w:val="0"/>
                <w:color w:val="000000"/>
                <w:kern w:val="0"/>
                <w:sz w:val="24"/>
                <w:szCs w:val="24"/>
                <w:lang w:eastAsia="en-US"/>
              </w:rPr>
            </w:pPr>
            <w:r>
              <w:rPr>
                <w:rFonts w:hint="eastAsia" w:ascii="仿宋_GB2312" w:hAnsi="宋体" w:eastAsia="仿宋_GB2312" w:cs="仿宋"/>
                <w:snapToGrid w:val="0"/>
                <w:color w:val="000000"/>
                <w:spacing w:val="-5"/>
                <w:kern w:val="0"/>
                <w:sz w:val="24"/>
                <w:szCs w:val="24"/>
              </w:rPr>
              <w:t>5</w:t>
            </w:r>
            <w:r>
              <w:rPr>
                <w:rFonts w:hint="eastAsia" w:ascii="仿宋_GB2312" w:hAnsi="宋体" w:eastAsia="仿宋_GB2312" w:cs="仿宋"/>
                <w:snapToGrid w:val="0"/>
                <w:color w:val="000000"/>
                <w:spacing w:val="-5"/>
                <w:kern w:val="0"/>
                <w:sz w:val="24"/>
                <w:szCs w:val="24"/>
                <w:lang w:eastAsia="en-US"/>
              </w:rPr>
              <w:t>0 分钟</w:t>
            </w:r>
          </w:p>
        </w:tc>
      </w:tr>
    </w:tbl>
    <w:p w14:paraId="7B3DDBAC">
      <w:pPr>
        <w:widowControl/>
        <w:kinsoku w:val="0"/>
        <w:autoSpaceDE w:val="0"/>
        <w:autoSpaceDN w:val="0"/>
        <w:adjustRightInd w:val="0"/>
        <w:snapToGrid w:val="0"/>
        <w:jc w:val="left"/>
        <w:textAlignment w:val="baseline"/>
        <w:rPr>
          <w:rFonts w:ascii="仿宋_GB2312" w:hAnsi="Arial" w:eastAsia="仿宋_GB2312" w:cs="Arial"/>
          <w:snapToGrid w:val="0"/>
          <w:color w:val="000000"/>
          <w:kern w:val="0"/>
          <w:sz w:val="24"/>
          <w:szCs w:val="21"/>
          <w:lang w:eastAsia="en-US"/>
        </w:rPr>
      </w:pPr>
    </w:p>
    <w:tbl>
      <w:tblPr>
        <w:tblStyle w:val="11"/>
        <w:tblW w:w="850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804"/>
        <w:gridCol w:w="993"/>
      </w:tblGrid>
      <w:tr w14:paraId="0DA4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6" w:type="dxa"/>
            <w:gridSpan w:val="3"/>
            <w:vAlign w:val="center"/>
          </w:tcPr>
          <w:p w14:paraId="0F215AC9">
            <w:pPr>
              <w:widowControl/>
              <w:jc w:val="center"/>
              <w:outlineLvl w:val="5"/>
              <w:rPr>
                <w:rFonts w:ascii="仿宋_GB2312" w:hAnsi="Times New Roman" w:eastAsia="仿宋_GB2312" w:cs="Times New Roman"/>
                <w:b/>
                <w:bCs/>
                <w:kern w:val="0"/>
                <w:sz w:val="24"/>
              </w:rPr>
            </w:pPr>
            <w:r>
              <w:rPr>
                <w:rFonts w:hint="eastAsia" w:ascii="仿宋_GB2312" w:hAnsi="Times New Roman" w:eastAsia="仿宋_GB2312" w:cs="Times New Roman"/>
                <w:b/>
                <w:bCs/>
                <w:kern w:val="0"/>
                <w:sz w:val="24"/>
              </w:rPr>
              <w:t>任务1 各项操作内容及分数分布（满分100分，占总分40%）</w:t>
            </w:r>
          </w:p>
        </w:tc>
      </w:tr>
      <w:tr w14:paraId="380A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13" w:type="dxa"/>
            <w:gridSpan w:val="2"/>
            <w:vAlign w:val="center"/>
          </w:tcPr>
          <w:p w14:paraId="7C4AC47E">
            <w:pPr>
              <w:widowControl/>
              <w:spacing w:before="240" w:after="60"/>
              <w:jc w:val="center"/>
              <w:outlineLvl w:val="4"/>
              <w:rPr>
                <w:rFonts w:ascii="仿宋_GB2312" w:hAnsi="Arial" w:eastAsia="仿宋_GB2312" w:cs="Times New Roman"/>
                <w:bCs/>
                <w:iCs/>
                <w:kern w:val="0"/>
                <w:sz w:val="26"/>
                <w:szCs w:val="24"/>
              </w:rPr>
            </w:pPr>
            <w:r>
              <w:rPr>
                <w:rFonts w:hint="eastAsia" w:ascii="仿宋_GB2312" w:hAnsi="宋体" w:eastAsia="仿宋_GB2312" w:cs="Times New Roman"/>
                <w:bCs/>
                <w:iCs/>
                <w:kern w:val="0"/>
                <w:sz w:val="26"/>
                <w:szCs w:val="24"/>
              </w:rPr>
              <w:t>工作内容</w:t>
            </w:r>
          </w:p>
        </w:tc>
        <w:tc>
          <w:tcPr>
            <w:tcW w:w="993" w:type="dxa"/>
            <w:vAlign w:val="center"/>
          </w:tcPr>
          <w:p w14:paraId="5B611FB7">
            <w:pPr>
              <w:widowControl/>
              <w:kinsoku w:val="0"/>
              <w:autoSpaceDE w:val="0"/>
              <w:autoSpaceDN w:val="0"/>
              <w:adjustRightInd w:val="0"/>
              <w:snapToGrid w:val="0"/>
              <w:jc w:val="center"/>
              <w:textAlignment w:val="baseline"/>
              <w:rPr>
                <w:rFonts w:ascii="仿宋_GB2312" w:hAnsi="Arial" w:eastAsia="仿宋_GB2312" w:cs="Arial"/>
                <w:b/>
                <w:snapToGrid w:val="0"/>
                <w:color w:val="000000"/>
                <w:kern w:val="0"/>
                <w:sz w:val="24"/>
                <w:szCs w:val="21"/>
                <w:lang w:eastAsia="en-US"/>
              </w:rPr>
            </w:pPr>
            <w:r>
              <w:rPr>
                <w:rFonts w:hint="eastAsia" w:ascii="仿宋_GB2312" w:hAnsi="宋体" w:eastAsia="仿宋_GB2312" w:cs="Arial"/>
                <w:b/>
                <w:snapToGrid w:val="0"/>
                <w:color w:val="000000"/>
                <w:kern w:val="0"/>
                <w:sz w:val="24"/>
                <w:szCs w:val="21"/>
              </w:rPr>
              <w:t>最高分</w:t>
            </w:r>
          </w:p>
        </w:tc>
      </w:tr>
      <w:tr w14:paraId="76DB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099305D3">
            <w:pPr>
              <w:widowControl/>
              <w:kinsoku w:val="0"/>
              <w:autoSpaceDE w:val="0"/>
              <w:autoSpaceDN w:val="0"/>
              <w:adjustRightInd w:val="0"/>
              <w:snapToGrid w:val="0"/>
              <w:jc w:val="center"/>
              <w:textAlignment w:val="baseline"/>
              <w:rPr>
                <w:rFonts w:ascii="仿宋_GB2312" w:hAnsi="Arial" w:eastAsia="仿宋_GB2312" w:cs="Arial"/>
                <w:snapToGrid w:val="0"/>
                <w:color w:val="000000"/>
                <w:kern w:val="0"/>
                <w:sz w:val="22"/>
                <w:lang w:eastAsia="en-US"/>
              </w:rPr>
            </w:pPr>
            <w:r>
              <w:rPr>
                <w:rFonts w:hint="eastAsia" w:ascii="仿宋_GB2312" w:hAnsi="Arial" w:eastAsia="仿宋_GB2312" w:cs="Arial"/>
                <w:snapToGrid w:val="0"/>
                <w:color w:val="000000"/>
                <w:kern w:val="0"/>
                <w:sz w:val="22"/>
                <w:lang w:eastAsia="en-US"/>
              </w:rPr>
              <w:t>1</w:t>
            </w:r>
          </w:p>
        </w:tc>
        <w:tc>
          <w:tcPr>
            <w:tcW w:w="6804" w:type="dxa"/>
            <w:vAlign w:val="center"/>
          </w:tcPr>
          <w:p w14:paraId="68531DBB">
            <w:pPr>
              <w:widowControl/>
              <w:kinsoku w:val="0"/>
              <w:autoSpaceDE w:val="0"/>
              <w:autoSpaceDN w:val="0"/>
              <w:adjustRightInd w:val="0"/>
              <w:snapToGrid w:val="0"/>
              <w:ind w:left="105" w:leftChars="50" w:right="105" w:rightChars="50"/>
              <w:textAlignment w:val="baseline"/>
              <w:rPr>
                <w:rFonts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参照技术资料和应用工位提供的工具，选手完成车辆初始状态检查和安全防护设置。</w:t>
            </w:r>
          </w:p>
        </w:tc>
        <w:tc>
          <w:tcPr>
            <w:tcW w:w="993" w:type="dxa"/>
            <w:vAlign w:val="center"/>
          </w:tcPr>
          <w:p w14:paraId="57A883F8">
            <w:pPr>
              <w:widowControl/>
              <w:kinsoku w:val="0"/>
              <w:autoSpaceDE w:val="0"/>
              <w:autoSpaceDN w:val="0"/>
              <w:adjustRightInd w:val="0"/>
              <w:snapToGrid w:val="0"/>
              <w:ind w:left="-108" w:right="-108"/>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10分</w:t>
            </w:r>
          </w:p>
        </w:tc>
      </w:tr>
      <w:tr w14:paraId="7766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709" w:type="dxa"/>
            <w:vAlign w:val="center"/>
          </w:tcPr>
          <w:p w14:paraId="3EFDA3A5">
            <w:pPr>
              <w:widowControl/>
              <w:kinsoku w:val="0"/>
              <w:autoSpaceDE w:val="0"/>
              <w:autoSpaceDN w:val="0"/>
              <w:adjustRightInd w:val="0"/>
              <w:snapToGrid w:val="0"/>
              <w:jc w:val="center"/>
              <w:textAlignment w:val="baseline"/>
              <w:rPr>
                <w:rFonts w:hint="eastAsia" w:ascii="仿宋_GB2312" w:hAnsi="Arial" w:eastAsia="仿宋_GB2312" w:cs="Arial"/>
                <w:snapToGrid w:val="0"/>
                <w:color w:val="000000"/>
                <w:kern w:val="0"/>
                <w:sz w:val="22"/>
              </w:rPr>
            </w:pPr>
            <w:r>
              <w:rPr>
                <w:rFonts w:hint="eastAsia" w:ascii="仿宋_GB2312" w:hAnsi="Arial" w:eastAsia="仿宋_GB2312" w:cs="Arial"/>
                <w:snapToGrid w:val="0"/>
                <w:color w:val="000000"/>
                <w:kern w:val="0"/>
                <w:sz w:val="22"/>
              </w:rPr>
              <w:t>2</w:t>
            </w:r>
          </w:p>
        </w:tc>
        <w:tc>
          <w:tcPr>
            <w:tcW w:w="6804" w:type="dxa"/>
            <w:vAlign w:val="center"/>
          </w:tcPr>
          <w:p w14:paraId="237BC4A3">
            <w:pPr>
              <w:widowControl/>
              <w:kinsoku w:val="0"/>
              <w:autoSpaceDE w:val="0"/>
              <w:autoSpaceDN w:val="0"/>
              <w:adjustRightInd w:val="0"/>
              <w:snapToGrid w:val="0"/>
              <w:ind w:left="105" w:leftChars="50" w:right="105" w:rightChars="50"/>
              <w:textAlignment w:val="baseline"/>
              <w:rPr>
                <w:rFonts w:hint="eastAsia"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参照技术资料和应用工位提供的工具，根据智能载运车辆的故障现象，排查出车辆的故障点并记录在表中。</w:t>
            </w:r>
          </w:p>
        </w:tc>
        <w:tc>
          <w:tcPr>
            <w:tcW w:w="993" w:type="dxa"/>
            <w:vAlign w:val="center"/>
          </w:tcPr>
          <w:p w14:paraId="5E3376EE">
            <w:pPr>
              <w:widowControl/>
              <w:kinsoku w:val="0"/>
              <w:autoSpaceDE w:val="0"/>
              <w:autoSpaceDN w:val="0"/>
              <w:adjustRightInd w:val="0"/>
              <w:snapToGrid w:val="0"/>
              <w:ind w:left="-108" w:right="-108"/>
              <w:jc w:val="center"/>
              <w:textAlignment w:val="baseline"/>
              <w:rPr>
                <w:rFonts w:hint="eastAsia"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40分</w:t>
            </w:r>
          </w:p>
        </w:tc>
      </w:tr>
      <w:tr w14:paraId="56CB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65FB24A5">
            <w:pPr>
              <w:widowControl/>
              <w:kinsoku w:val="0"/>
              <w:autoSpaceDE w:val="0"/>
              <w:autoSpaceDN w:val="0"/>
              <w:adjustRightInd w:val="0"/>
              <w:snapToGrid w:val="0"/>
              <w:jc w:val="center"/>
              <w:textAlignment w:val="baseline"/>
              <w:rPr>
                <w:rFonts w:ascii="仿宋_GB2312" w:hAnsi="Arial" w:eastAsia="仿宋_GB2312" w:cs="Arial"/>
                <w:snapToGrid w:val="0"/>
                <w:color w:val="000000"/>
                <w:kern w:val="0"/>
                <w:sz w:val="22"/>
              </w:rPr>
            </w:pPr>
            <w:r>
              <w:rPr>
                <w:rFonts w:hint="eastAsia" w:ascii="仿宋_GB2312" w:hAnsi="Arial" w:eastAsia="仿宋_GB2312" w:cs="Arial"/>
                <w:snapToGrid w:val="0"/>
                <w:color w:val="000000"/>
                <w:kern w:val="0"/>
                <w:sz w:val="22"/>
              </w:rPr>
              <w:t>3</w:t>
            </w:r>
          </w:p>
        </w:tc>
        <w:tc>
          <w:tcPr>
            <w:tcW w:w="6804" w:type="dxa"/>
            <w:vAlign w:val="center"/>
          </w:tcPr>
          <w:p w14:paraId="6EB9B112">
            <w:pPr>
              <w:widowControl/>
              <w:kinsoku w:val="0"/>
              <w:autoSpaceDE w:val="0"/>
              <w:autoSpaceDN w:val="0"/>
              <w:adjustRightInd w:val="0"/>
              <w:snapToGrid w:val="0"/>
              <w:ind w:left="105" w:leftChars="50" w:right="105" w:rightChars="50"/>
              <w:textAlignment w:val="baseline"/>
              <w:rPr>
                <w:rFonts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参照工位提供的技术资料和软件，设置智能载运车路由器桥接局域网，完成智能载运车联网测试。</w:t>
            </w:r>
          </w:p>
        </w:tc>
        <w:tc>
          <w:tcPr>
            <w:tcW w:w="993" w:type="dxa"/>
            <w:vAlign w:val="center"/>
          </w:tcPr>
          <w:p w14:paraId="64CAE54A">
            <w:pPr>
              <w:widowControl/>
              <w:kinsoku w:val="0"/>
              <w:autoSpaceDE w:val="0"/>
              <w:autoSpaceDN w:val="0"/>
              <w:adjustRightInd w:val="0"/>
              <w:snapToGrid w:val="0"/>
              <w:ind w:left="-108" w:right="-108"/>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5分</w:t>
            </w:r>
          </w:p>
        </w:tc>
      </w:tr>
      <w:tr w14:paraId="4564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1255F118">
            <w:pPr>
              <w:widowControl/>
              <w:kinsoku w:val="0"/>
              <w:autoSpaceDE w:val="0"/>
              <w:autoSpaceDN w:val="0"/>
              <w:adjustRightInd w:val="0"/>
              <w:snapToGrid w:val="0"/>
              <w:jc w:val="center"/>
              <w:textAlignment w:val="baseline"/>
              <w:rPr>
                <w:rFonts w:hint="eastAsia" w:ascii="仿宋_GB2312" w:hAnsi="等线" w:eastAsia="仿宋_GB2312" w:cs="Arial"/>
                <w:snapToGrid w:val="0"/>
                <w:color w:val="000000"/>
                <w:kern w:val="0"/>
                <w:sz w:val="22"/>
              </w:rPr>
            </w:pPr>
            <w:r>
              <w:rPr>
                <w:rFonts w:hint="eastAsia" w:ascii="仿宋_GB2312" w:hAnsi="等线" w:eastAsia="仿宋_GB2312" w:cs="Arial"/>
                <w:snapToGrid w:val="0"/>
                <w:color w:val="000000"/>
                <w:kern w:val="0"/>
                <w:sz w:val="22"/>
              </w:rPr>
              <w:t>4</w:t>
            </w:r>
          </w:p>
        </w:tc>
        <w:tc>
          <w:tcPr>
            <w:tcW w:w="6804" w:type="dxa"/>
            <w:vAlign w:val="center"/>
          </w:tcPr>
          <w:p w14:paraId="060ED873">
            <w:pPr>
              <w:widowControl/>
              <w:kinsoku w:val="0"/>
              <w:autoSpaceDE w:val="0"/>
              <w:autoSpaceDN w:val="0"/>
              <w:adjustRightInd w:val="0"/>
              <w:snapToGrid w:val="0"/>
              <w:ind w:left="105" w:leftChars="50" w:right="105" w:rightChars="50"/>
              <w:textAlignment w:val="baseline"/>
              <w:rPr>
                <w:rFonts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参照工位提供的技术资料和软件，设置激光雷达的IP地址，在车载显示器上实现激光雷达实时数据的可视化显示。</w:t>
            </w:r>
          </w:p>
        </w:tc>
        <w:tc>
          <w:tcPr>
            <w:tcW w:w="993" w:type="dxa"/>
            <w:vAlign w:val="center"/>
          </w:tcPr>
          <w:p w14:paraId="02926622">
            <w:pPr>
              <w:widowControl/>
              <w:kinsoku w:val="0"/>
              <w:autoSpaceDE w:val="0"/>
              <w:autoSpaceDN w:val="0"/>
              <w:adjustRightInd w:val="0"/>
              <w:snapToGrid w:val="0"/>
              <w:ind w:left="-108" w:right="-108"/>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5分</w:t>
            </w:r>
          </w:p>
        </w:tc>
      </w:tr>
      <w:tr w14:paraId="725A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4961678D">
            <w:pPr>
              <w:widowControl/>
              <w:kinsoku w:val="0"/>
              <w:autoSpaceDE w:val="0"/>
              <w:autoSpaceDN w:val="0"/>
              <w:adjustRightInd w:val="0"/>
              <w:snapToGrid w:val="0"/>
              <w:jc w:val="center"/>
              <w:textAlignment w:val="baseline"/>
              <w:rPr>
                <w:rFonts w:hint="eastAsia" w:ascii="仿宋_GB2312" w:hAnsi="等线" w:eastAsia="仿宋_GB2312" w:cs="Arial"/>
                <w:snapToGrid w:val="0"/>
                <w:color w:val="000000"/>
                <w:kern w:val="0"/>
                <w:sz w:val="22"/>
              </w:rPr>
            </w:pPr>
            <w:r>
              <w:rPr>
                <w:rFonts w:hint="eastAsia" w:ascii="仿宋_GB2312" w:hAnsi="等线" w:eastAsia="仿宋_GB2312" w:cs="Arial"/>
                <w:snapToGrid w:val="0"/>
                <w:color w:val="000000"/>
                <w:kern w:val="0"/>
                <w:sz w:val="22"/>
              </w:rPr>
              <w:t>5</w:t>
            </w:r>
          </w:p>
        </w:tc>
        <w:tc>
          <w:tcPr>
            <w:tcW w:w="6804" w:type="dxa"/>
            <w:vAlign w:val="center"/>
          </w:tcPr>
          <w:p w14:paraId="38CE6BD5">
            <w:pPr>
              <w:widowControl/>
              <w:kinsoku w:val="0"/>
              <w:autoSpaceDE w:val="0"/>
              <w:autoSpaceDN w:val="0"/>
              <w:adjustRightInd w:val="0"/>
              <w:snapToGrid w:val="0"/>
              <w:ind w:left="105" w:leftChars="50" w:right="105" w:rightChars="50"/>
              <w:textAlignment w:val="baseline"/>
              <w:rPr>
                <w:rFonts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参照工位提供的技术资料和软件，修改智能载运车相机驱动参数文件，修改图像分辨率,在车载显示器上实现相机实时图像显示。</w:t>
            </w:r>
          </w:p>
        </w:tc>
        <w:tc>
          <w:tcPr>
            <w:tcW w:w="993" w:type="dxa"/>
            <w:vAlign w:val="center"/>
          </w:tcPr>
          <w:p w14:paraId="620B9B86">
            <w:pPr>
              <w:widowControl/>
              <w:kinsoku w:val="0"/>
              <w:autoSpaceDE w:val="0"/>
              <w:autoSpaceDN w:val="0"/>
              <w:adjustRightInd w:val="0"/>
              <w:snapToGrid w:val="0"/>
              <w:ind w:left="-108" w:right="-108"/>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5分</w:t>
            </w:r>
          </w:p>
        </w:tc>
      </w:tr>
      <w:tr w14:paraId="0706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1F367CCF">
            <w:pPr>
              <w:widowControl/>
              <w:kinsoku w:val="0"/>
              <w:autoSpaceDE w:val="0"/>
              <w:autoSpaceDN w:val="0"/>
              <w:adjustRightInd w:val="0"/>
              <w:snapToGrid w:val="0"/>
              <w:jc w:val="center"/>
              <w:textAlignment w:val="baseline"/>
              <w:rPr>
                <w:rFonts w:hint="eastAsia" w:ascii="仿宋_GB2312" w:hAnsi="等线" w:eastAsia="仿宋_GB2312" w:cs="Arial"/>
                <w:snapToGrid w:val="0"/>
                <w:color w:val="000000"/>
                <w:kern w:val="0"/>
                <w:sz w:val="22"/>
              </w:rPr>
            </w:pPr>
            <w:r>
              <w:rPr>
                <w:rFonts w:hint="eastAsia" w:ascii="仿宋_GB2312" w:hAnsi="等线" w:eastAsia="仿宋_GB2312" w:cs="Arial"/>
                <w:snapToGrid w:val="0"/>
                <w:color w:val="000000"/>
                <w:kern w:val="0"/>
                <w:sz w:val="22"/>
              </w:rPr>
              <w:t>6</w:t>
            </w:r>
          </w:p>
        </w:tc>
        <w:tc>
          <w:tcPr>
            <w:tcW w:w="6804" w:type="dxa"/>
            <w:vAlign w:val="center"/>
          </w:tcPr>
          <w:p w14:paraId="32B5AF7F">
            <w:pPr>
              <w:adjustRightInd w:val="0"/>
              <w:snapToGrid w:val="0"/>
              <w:rPr>
                <w:rFonts w:hint="eastAsia" w:ascii="仿宋_GB2312" w:hAnsi="Times New Roman" w:eastAsia="仿宋_GB2312"/>
                <w:sz w:val="24"/>
              </w:rPr>
            </w:pPr>
            <w:r>
              <w:rPr>
                <w:rFonts w:hint="eastAsia" w:ascii="仿宋_GB2312" w:hAnsi="Times New Roman" w:eastAsia="仿宋_GB2312"/>
                <w:sz w:val="24"/>
              </w:rPr>
              <w:t>应用智能载运调度系统控制智能载运车，在场地内建立场景</w:t>
            </w:r>
          </w:p>
          <w:p w14:paraId="7F1A7306">
            <w:pPr>
              <w:adjustRightInd w:val="0"/>
              <w:snapToGrid w:val="0"/>
              <w:rPr>
                <w:rFonts w:hint="eastAsia" w:ascii="仿宋_GB2312" w:hAnsi="Times New Roman" w:eastAsia="仿宋_GB2312"/>
                <w:sz w:val="24"/>
              </w:rPr>
            </w:pPr>
            <w:r>
              <w:rPr>
                <w:rFonts w:hint="eastAsia" w:ascii="仿宋_GB2312" w:hAnsi="Times New Roman" w:eastAsia="仿宋_GB2312"/>
                <w:sz w:val="24"/>
              </w:rPr>
              <w:t>地图并实时获取智能载运车的定位信息，完成智能载运车建</w:t>
            </w:r>
          </w:p>
          <w:p w14:paraId="085ED22A">
            <w:pPr>
              <w:widowControl/>
              <w:kinsoku w:val="0"/>
              <w:autoSpaceDE w:val="0"/>
              <w:autoSpaceDN w:val="0"/>
              <w:adjustRightInd w:val="0"/>
              <w:snapToGrid w:val="0"/>
              <w:ind w:left="105" w:leftChars="50" w:right="105" w:rightChars="50"/>
              <w:textAlignment w:val="baseline"/>
              <w:rPr>
                <w:rFonts w:hint="eastAsia" w:ascii="仿宋_GB2312" w:hAnsi="Times New Roman" w:eastAsia="仿宋_GB2312" w:cs="Arial"/>
                <w:snapToGrid w:val="0"/>
                <w:color w:val="000000"/>
                <w:kern w:val="0"/>
                <w:sz w:val="24"/>
                <w:szCs w:val="21"/>
              </w:rPr>
            </w:pPr>
            <w:r>
              <w:rPr>
                <w:rFonts w:hint="eastAsia" w:ascii="仿宋_GB2312" w:hAnsi="Times New Roman" w:eastAsia="仿宋_GB2312"/>
                <w:sz w:val="24"/>
              </w:rPr>
              <w:t>图及定位。</w:t>
            </w:r>
          </w:p>
        </w:tc>
        <w:tc>
          <w:tcPr>
            <w:tcW w:w="993" w:type="dxa"/>
            <w:vAlign w:val="center"/>
          </w:tcPr>
          <w:p w14:paraId="38B15B3E">
            <w:pPr>
              <w:widowControl/>
              <w:kinsoku w:val="0"/>
              <w:autoSpaceDE w:val="0"/>
              <w:autoSpaceDN w:val="0"/>
              <w:adjustRightInd w:val="0"/>
              <w:snapToGrid w:val="0"/>
              <w:ind w:left="-108" w:right="-108"/>
              <w:jc w:val="center"/>
              <w:textAlignment w:val="baseline"/>
              <w:rPr>
                <w:rFonts w:hint="eastAsia"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10分</w:t>
            </w:r>
          </w:p>
        </w:tc>
      </w:tr>
      <w:tr w14:paraId="39E5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1158E8F2">
            <w:pPr>
              <w:widowControl/>
              <w:kinsoku w:val="0"/>
              <w:autoSpaceDE w:val="0"/>
              <w:autoSpaceDN w:val="0"/>
              <w:adjustRightInd w:val="0"/>
              <w:snapToGrid w:val="0"/>
              <w:jc w:val="center"/>
              <w:textAlignment w:val="baseline"/>
              <w:rPr>
                <w:rFonts w:hint="eastAsia" w:ascii="仿宋_GB2312" w:hAnsi="等线" w:eastAsia="仿宋_GB2312" w:cs="Arial"/>
                <w:snapToGrid w:val="0"/>
                <w:color w:val="000000"/>
                <w:kern w:val="0"/>
                <w:sz w:val="22"/>
              </w:rPr>
            </w:pPr>
            <w:r>
              <w:rPr>
                <w:rFonts w:hint="eastAsia" w:ascii="仿宋_GB2312" w:hAnsi="等线" w:eastAsia="仿宋_GB2312" w:cs="Arial"/>
                <w:snapToGrid w:val="0"/>
                <w:color w:val="000000"/>
                <w:kern w:val="0"/>
                <w:sz w:val="22"/>
              </w:rPr>
              <w:t>7</w:t>
            </w:r>
          </w:p>
        </w:tc>
        <w:tc>
          <w:tcPr>
            <w:tcW w:w="6804" w:type="dxa"/>
            <w:vAlign w:val="center"/>
          </w:tcPr>
          <w:p w14:paraId="1F563602">
            <w:pPr>
              <w:adjustRightInd w:val="0"/>
              <w:snapToGrid w:val="0"/>
              <w:rPr>
                <w:rFonts w:hint="eastAsia" w:ascii="仿宋_GB2312" w:hAnsi="Times New Roman" w:eastAsia="仿宋_GB2312"/>
                <w:sz w:val="24"/>
              </w:rPr>
            </w:pPr>
            <w:r>
              <w:rPr>
                <w:rFonts w:hint="eastAsia" w:ascii="仿宋_GB2312" w:hAnsi="Times New Roman" w:eastAsia="仿宋_GB2312"/>
                <w:sz w:val="24"/>
              </w:rPr>
              <w:t>在工位提供的电脑主机上编写控制程序，驱动智能载运车从A</w:t>
            </w:r>
          </w:p>
          <w:p w14:paraId="1AED48C2">
            <w:pPr>
              <w:widowControl/>
              <w:kinsoku w:val="0"/>
              <w:autoSpaceDE w:val="0"/>
              <w:autoSpaceDN w:val="0"/>
              <w:adjustRightInd w:val="0"/>
              <w:snapToGrid w:val="0"/>
              <w:ind w:left="105" w:leftChars="50" w:right="105" w:rightChars="50"/>
              <w:textAlignment w:val="baseline"/>
              <w:rPr>
                <w:rFonts w:hint="eastAsia" w:ascii="仿宋_GB2312" w:hAnsi="Times New Roman" w:eastAsia="仿宋_GB2312" w:cs="Arial"/>
                <w:snapToGrid w:val="0"/>
                <w:color w:val="000000"/>
                <w:kern w:val="0"/>
                <w:sz w:val="24"/>
                <w:szCs w:val="21"/>
              </w:rPr>
            </w:pPr>
            <w:r>
              <w:rPr>
                <w:rFonts w:hint="eastAsia" w:ascii="仿宋_GB2312" w:hAnsi="Times New Roman" w:eastAsia="仿宋_GB2312"/>
                <w:sz w:val="24"/>
              </w:rPr>
              <w:t>点自主导航运动至B点。</w:t>
            </w:r>
          </w:p>
        </w:tc>
        <w:tc>
          <w:tcPr>
            <w:tcW w:w="993" w:type="dxa"/>
            <w:vAlign w:val="center"/>
          </w:tcPr>
          <w:p w14:paraId="1C0D00D6">
            <w:pPr>
              <w:widowControl/>
              <w:kinsoku w:val="0"/>
              <w:autoSpaceDE w:val="0"/>
              <w:autoSpaceDN w:val="0"/>
              <w:adjustRightInd w:val="0"/>
              <w:snapToGrid w:val="0"/>
              <w:ind w:left="-108" w:right="-108"/>
              <w:jc w:val="center"/>
              <w:textAlignment w:val="baseline"/>
              <w:rPr>
                <w:rFonts w:hint="eastAsia"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15分</w:t>
            </w:r>
          </w:p>
        </w:tc>
      </w:tr>
      <w:tr w14:paraId="6332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6360D000">
            <w:pPr>
              <w:widowControl/>
              <w:kinsoku w:val="0"/>
              <w:autoSpaceDE w:val="0"/>
              <w:autoSpaceDN w:val="0"/>
              <w:adjustRightInd w:val="0"/>
              <w:snapToGrid w:val="0"/>
              <w:jc w:val="center"/>
              <w:textAlignment w:val="baseline"/>
              <w:rPr>
                <w:rFonts w:ascii="仿宋_GB2312" w:hAnsi="Arial" w:eastAsia="仿宋_GB2312" w:cs="Arial"/>
                <w:snapToGrid w:val="0"/>
                <w:color w:val="000000"/>
                <w:kern w:val="0"/>
                <w:sz w:val="22"/>
              </w:rPr>
            </w:pPr>
            <w:r>
              <w:rPr>
                <w:rFonts w:hint="eastAsia" w:ascii="仿宋_GB2312" w:hAnsi="等线" w:eastAsia="仿宋_GB2312" w:cs="Arial"/>
                <w:snapToGrid w:val="0"/>
                <w:color w:val="000000"/>
                <w:kern w:val="0"/>
                <w:sz w:val="22"/>
              </w:rPr>
              <w:t>8</w:t>
            </w:r>
          </w:p>
        </w:tc>
        <w:tc>
          <w:tcPr>
            <w:tcW w:w="6804" w:type="dxa"/>
            <w:vAlign w:val="center"/>
          </w:tcPr>
          <w:p w14:paraId="14186A4B">
            <w:pPr>
              <w:widowControl/>
              <w:kinsoku w:val="0"/>
              <w:autoSpaceDE w:val="0"/>
              <w:autoSpaceDN w:val="0"/>
              <w:adjustRightInd w:val="0"/>
              <w:snapToGrid w:val="0"/>
              <w:ind w:left="105" w:leftChars="50" w:right="105" w:rightChars="50"/>
              <w:textAlignment w:val="baseline"/>
              <w:rPr>
                <w:rFonts w:ascii="仿宋_GB2312" w:hAnsi="Times New Roman" w:eastAsia="仿宋_GB2312" w:cs="Arial"/>
                <w:snapToGrid w:val="0"/>
                <w:color w:val="000000"/>
                <w:kern w:val="0"/>
                <w:sz w:val="24"/>
                <w:szCs w:val="21"/>
              </w:rPr>
            </w:pPr>
            <w:r>
              <w:rPr>
                <w:rFonts w:hint="eastAsia" w:ascii="仿宋_GB2312" w:hAnsi="Times New Roman" w:eastAsia="仿宋_GB2312" w:cs="Arial"/>
                <w:snapToGrid w:val="0"/>
                <w:color w:val="000000"/>
                <w:kern w:val="0"/>
                <w:sz w:val="24"/>
                <w:szCs w:val="21"/>
              </w:rPr>
              <w:t>职业素养。</w:t>
            </w:r>
          </w:p>
        </w:tc>
        <w:tc>
          <w:tcPr>
            <w:tcW w:w="993" w:type="dxa"/>
            <w:vAlign w:val="center"/>
          </w:tcPr>
          <w:p w14:paraId="07B26E01">
            <w:pPr>
              <w:widowControl/>
              <w:kinsoku w:val="0"/>
              <w:autoSpaceDE w:val="0"/>
              <w:autoSpaceDN w:val="0"/>
              <w:adjustRightInd w:val="0"/>
              <w:snapToGrid w:val="0"/>
              <w:ind w:left="-108" w:right="-108"/>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10分</w:t>
            </w:r>
          </w:p>
        </w:tc>
      </w:tr>
    </w:tbl>
    <w:p w14:paraId="31562604">
      <w:pPr>
        <w:widowControl/>
        <w:kinsoku w:val="0"/>
        <w:autoSpaceDE w:val="0"/>
        <w:autoSpaceDN w:val="0"/>
        <w:adjustRightInd w:val="0"/>
        <w:snapToGrid w:val="0"/>
        <w:jc w:val="left"/>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br w:type="page"/>
      </w:r>
    </w:p>
    <w:p w14:paraId="20CD8262">
      <w:pPr>
        <w:rPr>
          <w:rFonts w:hint="eastAsia" w:ascii="仿宋_GB2312" w:eastAsia="仿宋_GB2312"/>
          <w:sz w:val="24"/>
        </w:rPr>
      </w:pPr>
    </w:p>
    <w:tbl>
      <w:tblPr>
        <w:tblStyle w:val="11"/>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7EE4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64" w:type="dxa"/>
            <w:vAlign w:val="center"/>
          </w:tcPr>
          <w:p w14:paraId="070FA972">
            <w:pPr>
              <w:pStyle w:val="3"/>
              <w:spacing w:before="0" w:after="0"/>
              <w:jc w:val="center"/>
              <w:rPr>
                <w:rFonts w:ascii="仿宋_GB2312" w:eastAsia="仿宋_GB2312"/>
                <w:i w:val="0"/>
                <w:sz w:val="32"/>
                <w:szCs w:val="32"/>
              </w:rPr>
            </w:pPr>
            <w:bookmarkStart w:id="88" w:name="_Hlk176859361"/>
            <w:r>
              <w:rPr>
                <w:rFonts w:hint="eastAsia" w:ascii="仿宋_GB2312" w:eastAsia="仿宋_GB2312"/>
                <w:b w:val="0"/>
                <w:i w:val="0"/>
                <w:sz w:val="32"/>
                <w:szCs w:val="32"/>
                <w:lang w:eastAsia="zh-CN"/>
              </w:rPr>
              <w:t>选手作业单</w:t>
            </w:r>
          </w:p>
        </w:tc>
      </w:tr>
      <w:bookmarkEnd w:id="88"/>
    </w:tbl>
    <w:p w14:paraId="49540BCA">
      <w:pPr>
        <w:widowControl/>
        <w:kinsoku w:val="0"/>
        <w:autoSpaceDE w:val="0"/>
        <w:autoSpaceDN w:val="0"/>
        <w:adjustRightInd w:val="0"/>
        <w:snapToGrid w:val="0"/>
        <w:jc w:val="left"/>
        <w:textAlignment w:val="baseline"/>
        <w:rPr>
          <w:rFonts w:ascii="仿宋_GB2312" w:hAnsi="Arial" w:eastAsia="仿宋_GB2312" w:cs="Arial"/>
          <w:snapToGrid w:val="0"/>
          <w:color w:val="000000"/>
          <w:kern w:val="0"/>
          <w:sz w:val="24"/>
          <w:szCs w:val="21"/>
        </w:rPr>
      </w:pPr>
    </w:p>
    <w:p w14:paraId="1CC0E920">
      <w:pPr>
        <w:widowControl/>
        <w:kinsoku w:val="0"/>
        <w:autoSpaceDE w:val="0"/>
        <w:autoSpaceDN w:val="0"/>
        <w:adjustRightInd w:val="0"/>
        <w:snapToGrid w:val="0"/>
        <w:jc w:val="center"/>
        <w:textAlignment w:val="baseline"/>
        <w:rPr>
          <w:rFonts w:ascii="仿宋_GB2312" w:hAnsi="Arial" w:eastAsia="仿宋_GB2312" w:cs="Arial"/>
          <w:snapToGrid w:val="0"/>
          <w:color w:val="000000"/>
          <w:kern w:val="0"/>
          <w:sz w:val="24"/>
          <w:szCs w:val="21"/>
        </w:rPr>
      </w:pPr>
      <w:r>
        <w:rPr>
          <w:rFonts w:hint="eastAsia" w:ascii="仿宋_GB2312" w:hAnsi="Arial" w:eastAsia="仿宋_GB2312" w:cs="Arial"/>
          <w:snapToGrid w:val="0"/>
          <w:color w:val="000000"/>
          <w:kern w:val="0"/>
          <w:sz w:val="24"/>
          <w:szCs w:val="21"/>
        </w:rPr>
        <w:t>故障记录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14:paraId="7206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230F6C75">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r>
              <w:rPr>
                <w:rFonts w:hint="eastAsia" w:ascii="仿宋" w:hAnsi="仿宋" w:eastAsia="仿宋" w:cs="Arial"/>
                <w:b/>
                <w:bCs/>
                <w:snapToGrid w:val="0"/>
                <w:color w:val="000000"/>
                <w:kern w:val="0"/>
                <w:sz w:val="24"/>
                <w:szCs w:val="21"/>
              </w:rPr>
              <w:t>故障点</w:t>
            </w:r>
          </w:p>
        </w:tc>
        <w:tc>
          <w:tcPr>
            <w:tcW w:w="6883" w:type="dxa"/>
            <w:vAlign w:val="center"/>
          </w:tcPr>
          <w:p w14:paraId="21C086F8">
            <w:pPr>
              <w:widowControl/>
              <w:kinsoku w:val="0"/>
              <w:autoSpaceDE w:val="0"/>
              <w:autoSpaceDN w:val="0"/>
              <w:adjustRightInd w:val="0"/>
              <w:snapToGrid w:val="0"/>
              <w:spacing w:before="70" w:after="120"/>
              <w:jc w:val="center"/>
              <w:textAlignment w:val="baseline"/>
              <w:rPr>
                <w:rFonts w:hint="eastAsia" w:ascii="仿宋" w:hAnsi="仿宋" w:eastAsia="仿宋" w:cs="宋体"/>
                <w:b/>
                <w:bCs/>
                <w:snapToGrid w:val="0"/>
                <w:color w:val="000000"/>
                <w:kern w:val="0"/>
                <w:sz w:val="24"/>
                <w:szCs w:val="24"/>
              </w:rPr>
            </w:pPr>
            <w:r>
              <w:rPr>
                <w:rFonts w:hint="eastAsia" w:ascii="仿宋" w:hAnsi="仿宋" w:eastAsia="仿宋" w:cs="宋体"/>
                <w:b/>
                <w:bCs/>
                <w:snapToGrid w:val="0"/>
                <w:color w:val="000000"/>
                <w:kern w:val="0"/>
                <w:sz w:val="24"/>
                <w:szCs w:val="24"/>
              </w:rPr>
              <w:t>信息记录</w:t>
            </w:r>
          </w:p>
        </w:tc>
      </w:tr>
      <w:tr w14:paraId="5FBD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51476149">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r>
              <w:rPr>
                <w:rFonts w:hint="eastAsia" w:ascii="仿宋" w:hAnsi="仿宋" w:eastAsia="仿宋" w:cs="Arial"/>
                <w:b/>
                <w:bCs/>
                <w:snapToGrid w:val="0"/>
                <w:color w:val="000000"/>
                <w:kern w:val="0"/>
                <w:sz w:val="24"/>
                <w:szCs w:val="21"/>
              </w:rPr>
              <w:t>故障点1</w:t>
            </w:r>
          </w:p>
        </w:tc>
        <w:tc>
          <w:tcPr>
            <w:tcW w:w="6883" w:type="dxa"/>
            <w:vAlign w:val="center"/>
          </w:tcPr>
          <w:p w14:paraId="52CFF754">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r>
              <w:rPr>
                <w:rFonts w:hint="eastAsia" w:ascii="仿宋" w:hAnsi="仿宋" w:eastAsia="仿宋" w:cs="宋体"/>
                <w:snapToGrid w:val="0"/>
                <w:color w:val="000000"/>
                <w:kern w:val="0"/>
                <w:sz w:val="24"/>
                <w:szCs w:val="24"/>
              </w:rPr>
              <w:t>故障现象描述：</w:t>
            </w:r>
          </w:p>
          <w:p w14:paraId="1564DF27">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p>
          <w:p w14:paraId="3A6C170F">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r>
              <w:rPr>
                <w:rFonts w:hint="eastAsia" w:ascii="仿宋" w:hAnsi="仿宋" w:eastAsia="仿宋" w:cs="宋体"/>
                <w:snapToGrid w:val="0"/>
                <w:color w:val="FF0000"/>
                <w:kern w:val="0"/>
                <w:sz w:val="24"/>
                <w:szCs w:val="24"/>
              </w:rPr>
              <w:t>※记录与当前故障点相关的故障现象。</w:t>
            </w:r>
          </w:p>
        </w:tc>
      </w:tr>
      <w:tr w14:paraId="26D7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3142BCB7">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p>
        </w:tc>
        <w:tc>
          <w:tcPr>
            <w:tcW w:w="6883" w:type="dxa"/>
            <w:vAlign w:val="center"/>
          </w:tcPr>
          <w:p w14:paraId="02E9E361">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r>
              <w:rPr>
                <w:rFonts w:hint="eastAsia" w:ascii="仿宋" w:hAnsi="仿宋" w:eastAsia="仿宋" w:cs="宋体"/>
                <w:snapToGrid w:val="0"/>
                <w:color w:val="000000"/>
                <w:kern w:val="0"/>
                <w:sz w:val="24"/>
                <w:szCs w:val="24"/>
              </w:rPr>
              <w:t>故障点确认：</w:t>
            </w:r>
          </w:p>
          <w:p w14:paraId="61C4B1EA">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p>
          <w:p w14:paraId="684E81D5">
            <w:pPr>
              <w:widowControl/>
              <w:kinsoku w:val="0"/>
              <w:autoSpaceDE w:val="0"/>
              <w:autoSpaceDN w:val="0"/>
              <w:adjustRightInd w:val="0"/>
              <w:snapToGrid w:val="0"/>
              <w:spacing w:before="70" w:after="120"/>
              <w:jc w:val="left"/>
              <w:textAlignment w:val="baseline"/>
              <w:rPr>
                <w:rFonts w:hint="eastAsia" w:ascii="仿宋" w:hAnsi="仿宋" w:eastAsia="仿宋" w:cs="宋体"/>
                <w:snapToGrid w:val="0"/>
                <w:color w:val="000000"/>
                <w:kern w:val="0"/>
                <w:sz w:val="24"/>
                <w:szCs w:val="24"/>
              </w:rPr>
            </w:pPr>
            <w:r>
              <w:rPr>
                <w:rFonts w:hint="eastAsia" w:ascii="仿宋" w:hAnsi="仿宋" w:eastAsia="仿宋" w:cs="宋体"/>
                <w:snapToGrid w:val="0"/>
                <w:color w:val="FF0000"/>
                <w:kern w:val="0"/>
                <w:sz w:val="24"/>
                <w:szCs w:val="24"/>
              </w:rPr>
              <w:t>※线路故障需记录故障点在线路上的最小范围，软件故障需记录具体的故障点以及文件路径。</w:t>
            </w:r>
          </w:p>
        </w:tc>
      </w:tr>
      <w:tr w14:paraId="35B3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4E215743">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r>
              <w:rPr>
                <w:rFonts w:hint="eastAsia" w:ascii="仿宋" w:hAnsi="仿宋" w:eastAsia="仿宋" w:cs="Arial"/>
                <w:b/>
                <w:bCs/>
                <w:snapToGrid w:val="0"/>
                <w:color w:val="000000"/>
                <w:kern w:val="0"/>
                <w:sz w:val="24"/>
                <w:szCs w:val="21"/>
              </w:rPr>
              <w:t>故障点2</w:t>
            </w:r>
          </w:p>
        </w:tc>
        <w:tc>
          <w:tcPr>
            <w:tcW w:w="6883" w:type="dxa"/>
            <w:vAlign w:val="center"/>
          </w:tcPr>
          <w:p w14:paraId="1F76B06E">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故障现象描述：</w:t>
            </w:r>
          </w:p>
          <w:p w14:paraId="36AC8B42">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701D78E2">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r w14:paraId="7B65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031ACE0B">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p>
        </w:tc>
        <w:tc>
          <w:tcPr>
            <w:tcW w:w="6883" w:type="dxa"/>
            <w:vAlign w:val="center"/>
          </w:tcPr>
          <w:p w14:paraId="6EFCCFE8">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故障点确认：</w:t>
            </w:r>
          </w:p>
          <w:p w14:paraId="2B8AB02B">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365F26EE">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r w14:paraId="4318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1EDAC7A6">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r>
              <w:rPr>
                <w:rFonts w:hint="eastAsia" w:ascii="仿宋" w:hAnsi="仿宋" w:eastAsia="仿宋" w:cs="Arial"/>
                <w:b/>
                <w:bCs/>
                <w:snapToGrid w:val="0"/>
                <w:color w:val="000000"/>
                <w:kern w:val="0"/>
                <w:sz w:val="24"/>
                <w:szCs w:val="21"/>
              </w:rPr>
              <w:t>故障点3</w:t>
            </w:r>
          </w:p>
        </w:tc>
        <w:tc>
          <w:tcPr>
            <w:tcW w:w="6883" w:type="dxa"/>
            <w:vAlign w:val="center"/>
          </w:tcPr>
          <w:p w14:paraId="4BD4EDF3">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故障现象描述：</w:t>
            </w:r>
          </w:p>
          <w:p w14:paraId="29CD79B1">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4A29DD35">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r w14:paraId="3B00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5DA52DC1">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p>
        </w:tc>
        <w:tc>
          <w:tcPr>
            <w:tcW w:w="6883" w:type="dxa"/>
            <w:vAlign w:val="center"/>
          </w:tcPr>
          <w:p w14:paraId="198BB74F">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故障点确认：</w:t>
            </w:r>
          </w:p>
          <w:p w14:paraId="566C93D4">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24D92F83">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r w14:paraId="73DB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0264AC74">
            <w:pPr>
              <w:widowControl/>
              <w:kinsoku w:val="0"/>
              <w:autoSpaceDE w:val="0"/>
              <w:autoSpaceDN w:val="0"/>
              <w:adjustRightInd w:val="0"/>
              <w:snapToGrid w:val="0"/>
              <w:jc w:val="center"/>
              <w:textAlignment w:val="baseline"/>
              <w:rPr>
                <w:rFonts w:hint="eastAsia" w:ascii="仿宋" w:hAnsi="仿宋" w:eastAsia="仿宋" w:cs="Arial"/>
                <w:b/>
                <w:bCs/>
                <w:snapToGrid w:val="0"/>
                <w:color w:val="000000"/>
                <w:kern w:val="0"/>
                <w:sz w:val="24"/>
                <w:szCs w:val="21"/>
              </w:rPr>
            </w:pPr>
            <w:r>
              <w:rPr>
                <w:rFonts w:hint="eastAsia" w:ascii="仿宋" w:hAnsi="仿宋" w:eastAsia="仿宋" w:cs="Arial"/>
                <w:b/>
                <w:bCs/>
                <w:snapToGrid w:val="0"/>
                <w:color w:val="000000"/>
                <w:kern w:val="0"/>
                <w:sz w:val="24"/>
                <w:szCs w:val="21"/>
              </w:rPr>
              <w:t>故障点4</w:t>
            </w:r>
          </w:p>
        </w:tc>
        <w:tc>
          <w:tcPr>
            <w:tcW w:w="6883" w:type="dxa"/>
            <w:vAlign w:val="center"/>
          </w:tcPr>
          <w:p w14:paraId="4ACB7229">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故障现象描述：</w:t>
            </w:r>
          </w:p>
          <w:p w14:paraId="3F36741F">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6B388F37">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r w14:paraId="43F7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17791D14">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c>
          <w:tcPr>
            <w:tcW w:w="6883" w:type="dxa"/>
            <w:vAlign w:val="center"/>
          </w:tcPr>
          <w:p w14:paraId="6B9C6340">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r>
              <w:rPr>
                <w:rFonts w:hint="eastAsia" w:ascii="仿宋" w:hAnsi="仿宋" w:eastAsia="仿宋" w:cs="Arial"/>
                <w:snapToGrid w:val="0"/>
                <w:color w:val="000000"/>
                <w:kern w:val="0"/>
                <w:sz w:val="24"/>
                <w:szCs w:val="21"/>
              </w:rPr>
              <w:t>故障点确认：</w:t>
            </w:r>
          </w:p>
          <w:p w14:paraId="1C6A0C38">
            <w:pPr>
              <w:widowControl/>
              <w:kinsoku w:val="0"/>
              <w:autoSpaceDE w:val="0"/>
              <w:autoSpaceDN w:val="0"/>
              <w:adjustRightInd w:val="0"/>
              <w:snapToGrid w:val="0"/>
              <w:jc w:val="left"/>
              <w:textAlignment w:val="baseline"/>
              <w:rPr>
                <w:rFonts w:ascii="仿宋" w:hAnsi="仿宋" w:eastAsia="仿宋" w:cs="Arial"/>
                <w:snapToGrid w:val="0"/>
                <w:color w:val="000000"/>
                <w:kern w:val="0"/>
                <w:sz w:val="24"/>
                <w:szCs w:val="21"/>
              </w:rPr>
            </w:pPr>
          </w:p>
          <w:p w14:paraId="1C5D579E">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 w:val="24"/>
                <w:szCs w:val="21"/>
              </w:rPr>
            </w:pPr>
          </w:p>
        </w:tc>
      </w:tr>
    </w:tbl>
    <w:p w14:paraId="32EE53F8">
      <w:pPr>
        <w:widowControl/>
        <w:kinsoku w:val="0"/>
        <w:autoSpaceDE w:val="0"/>
        <w:autoSpaceDN w:val="0"/>
        <w:adjustRightInd w:val="0"/>
        <w:snapToGrid w:val="0"/>
        <w:jc w:val="left"/>
        <w:textAlignment w:val="baseline"/>
        <w:rPr>
          <w:rFonts w:ascii="仿宋_GB2312" w:hAnsi="Arial" w:eastAsia="仿宋_GB2312" w:cs="Arial"/>
          <w:snapToGrid w:val="0"/>
          <w:color w:val="000000"/>
          <w:kern w:val="0"/>
          <w:sz w:val="24"/>
          <w:szCs w:val="21"/>
        </w:rPr>
      </w:pPr>
    </w:p>
    <w:p w14:paraId="066542AB">
      <w:pPr>
        <w:widowControl/>
        <w:jc w:val="left"/>
        <w:rPr>
          <w:rFonts w:hint="eastAsia" w:ascii="方正小标宋_GBK" w:hAnsi="方正小标宋_GBK" w:eastAsia="方正小标宋_GBK" w:cs="方正小标宋_GBK"/>
          <w:bCs/>
          <w:sz w:val="36"/>
          <w:szCs w:val="36"/>
        </w:rPr>
      </w:pPr>
    </w:p>
    <w:p w14:paraId="056BBCC3">
      <w:pPr>
        <w:widowControl/>
        <w:jc w:val="left"/>
        <w:rPr>
          <w:rFonts w:hint="eastAsia" w:ascii="宋体" w:hAnsi="宋体" w:eastAsia="宋体"/>
          <w:b/>
          <w:bCs/>
          <w:sz w:val="24"/>
          <w:szCs w:val="24"/>
        </w:rPr>
      </w:pPr>
    </w:p>
    <w:p w14:paraId="060D38C9">
      <w:pPr>
        <w:widowControl/>
        <w:jc w:val="left"/>
        <w:rPr>
          <w:rFonts w:hint="eastAsia" w:ascii="宋体" w:hAnsi="宋体" w:eastAsia="宋体"/>
          <w:sz w:val="24"/>
          <w:szCs w:val="24"/>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docPartObj>
        <w:docPartGallery w:val="autotext"/>
      </w:docPartObj>
    </w:sdtPr>
    <w:sdtContent>
      <w:p w14:paraId="2CFF796C">
        <w:pPr>
          <w:pStyle w:val="2"/>
          <w:jc w:val="center"/>
        </w:pPr>
      </w:p>
    </w:sdtContent>
  </w:sdt>
  <w:p w14:paraId="1907690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98D2F">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AD5F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4AD5F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sdt>
      <w:sdtPr>
        <w:id w:val="147456967"/>
        <w:docPartObj>
          <w:docPartGallery w:val="autotext"/>
        </w:docPartObj>
      </w:sdtPr>
      <w:sdtContent/>
    </w:sdt>
  </w:p>
  <w:p w14:paraId="3C0B050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0AB0B">
    <w:pPr>
      <w:pStyle w:val="2"/>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04A23">
                          <w:pPr>
                            <w:pStyle w:val="2"/>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F04A23">
                    <w:pPr>
                      <w:pStyle w:val="2"/>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p>
  <w:p w14:paraId="16C17727">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3NjA2OGJiNTU1MDUxZjFhYzkwOTc2MDgwYTg0ODkifQ=="/>
  </w:docVars>
  <w:rsids>
    <w:rsidRoot w:val="00581532"/>
    <w:rsid w:val="000046BA"/>
    <w:rsid w:val="000139E5"/>
    <w:rsid w:val="000215F8"/>
    <w:rsid w:val="00025790"/>
    <w:rsid w:val="000662C8"/>
    <w:rsid w:val="000F2938"/>
    <w:rsid w:val="00121FD0"/>
    <w:rsid w:val="001572FF"/>
    <w:rsid w:val="001641EF"/>
    <w:rsid w:val="001A369C"/>
    <w:rsid w:val="002411FF"/>
    <w:rsid w:val="002B2163"/>
    <w:rsid w:val="003030D2"/>
    <w:rsid w:val="003366DD"/>
    <w:rsid w:val="003A084E"/>
    <w:rsid w:val="003B3789"/>
    <w:rsid w:val="003C61A4"/>
    <w:rsid w:val="004F7720"/>
    <w:rsid w:val="00581532"/>
    <w:rsid w:val="00590F90"/>
    <w:rsid w:val="00601C52"/>
    <w:rsid w:val="0066060F"/>
    <w:rsid w:val="006B350D"/>
    <w:rsid w:val="007018C0"/>
    <w:rsid w:val="00750ECD"/>
    <w:rsid w:val="00760C84"/>
    <w:rsid w:val="00765240"/>
    <w:rsid w:val="00782489"/>
    <w:rsid w:val="007B4A02"/>
    <w:rsid w:val="007E503D"/>
    <w:rsid w:val="00801F28"/>
    <w:rsid w:val="00825D6B"/>
    <w:rsid w:val="00845C8A"/>
    <w:rsid w:val="00854158"/>
    <w:rsid w:val="008642D1"/>
    <w:rsid w:val="00875D60"/>
    <w:rsid w:val="008C02F8"/>
    <w:rsid w:val="00944F93"/>
    <w:rsid w:val="00966B72"/>
    <w:rsid w:val="009832E1"/>
    <w:rsid w:val="00987934"/>
    <w:rsid w:val="009D211D"/>
    <w:rsid w:val="00A56702"/>
    <w:rsid w:val="00A70C05"/>
    <w:rsid w:val="00AF0C57"/>
    <w:rsid w:val="00B650BD"/>
    <w:rsid w:val="00B957E7"/>
    <w:rsid w:val="00BA0B92"/>
    <w:rsid w:val="00BA7CC2"/>
    <w:rsid w:val="00BB19E8"/>
    <w:rsid w:val="00BF43FC"/>
    <w:rsid w:val="00C06073"/>
    <w:rsid w:val="00C10133"/>
    <w:rsid w:val="00C4423B"/>
    <w:rsid w:val="00C55857"/>
    <w:rsid w:val="00C623C0"/>
    <w:rsid w:val="00CE4F57"/>
    <w:rsid w:val="00CE644E"/>
    <w:rsid w:val="00D03B02"/>
    <w:rsid w:val="00D767FE"/>
    <w:rsid w:val="00D845C6"/>
    <w:rsid w:val="00DB09D3"/>
    <w:rsid w:val="00DD420E"/>
    <w:rsid w:val="00E01018"/>
    <w:rsid w:val="00E136C2"/>
    <w:rsid w:val="00E338C5"/>
    <w:rsid w:val="00F20F09"/>
    <w:rsid w:val="00F6579C"/>
    <w:rsid w:val="00F70B45"/>
    <w:rsid w:val="00F92B6D"/>
    <w:rsid w:val="00FA62D0"/>
    <w:rsid w:val="0B6D5AF5"/>
    <w:rsid w:val="115265A0"/>
    <w:rsid w:val="375776D8"/>
    <w:rsid w:val="6AC67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5"/>
    <w:basedOn w:val="1"/>
    <w:next w:val="1"/>
    <w:link w:val="19"/>
    <w:qFormat/>
    <w:uiPriority w:val="0"/>
    <w:pPr>
      <w:widowControl/>
      <w:spacing w:before="240" w:after="60"/>
      <w:jc w:val="left"/>
      <w:outlineLvl w:val="4"/>
    </w:pPr>
    <w:rPr>
      <w:rFonts w:ascii="Arial" w:hAnsi="Arial" w:eastAsia="Times New Roman" w:cs="Times New Roman"/>
      <w:b/>
      <w:bCs/>
      <w:i/>
      <w:iCs/>
      <w:kern w:val="0"/>
      <w:sz w:val="26"/>
      <w:szCs w:val="26"/>
      <w:lang w:eastAsia="en-US"/>
    </w:rPr>
  </w:style>
  <w:style w:type="paragraph" w:styleId="4">
    <w:name w:val="heading 6"/>
    <w:basedOn w:val="1"/>
    <w:next w:val="1"/>
    <w:link w:val="20"/>
    <w:qFormat/>
    <w:uiPriority w:val="0"/>
    <w:pPr>
      <w:widowControl/>
      <w:spacing w:before="240" w:after="60"/>
      <w:jc w:val="left"/>
      <w:outlineLvl w:val="5"/>
    </w:pPr>
    <w:rPr>
      <w:rFonts w:ascii="Times New Roman" w:hAnsi="Times New Roman" w:eastAsia="Times New Roman" w:cs="Times New Roman"/>
      <w:b/>
      <w:bCs/>
      <w:kern w:val="0"/>
      <w:sz w:val="22"/>
      <w:lang w:eastAsia="en-US"/>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footer"/>
    <w:basedOn w:val="1"/>
    <w:link w:val="16"/>
    <w:unhideWhenUsed/>
    <w:uiPriority w:val="99"/>
    <w:pPr>
      <w:tabs>
        <w:tab w:val="center" w:pos="4153"/>
        <w:tab w:val="right" w:pos="8306"/>
      </w:tabs>
      <w:snapToGrid w:val="0"/>
      <w:jc w:val="left"/>
    </w:pPr>
    <w:rPr>
      <w:sz w:val="18"/>
      <w:szCs w:val="18"/>
    </w:rPr>
  </w:style>
  <w:style w:type="paragraph" w:styleId="5">
    <w:name w:val="annotation text"/>
    <w:basedOn w:val="1"/>
    <w:link w:val="17"/>
    <w:semiHidden/>
    <w:qFormat/>
    <w:uiPriority w:val="0"/>
    <w:pPr>
      <w:jc w:val="left"/>
    </w:pPr>
    <w:rPr>
      <w:rFonts w:ascii="Times New Roman" w:hAnsi="Times New Roman" w:eastAsia="宋体" w:cs="Times New Roman"/>
      <w:szCs w:val="24"/>
    </w:rPr>
  </w:style>
  <w:style w:type="paragraph" w:styleId="6">
    <w:name w:val="Body Text"/>
    <w:basedOn w:val="1"/>
    <w:link w:val="21"/>
    <w:semiHidden/>
    <w:unhideWhenUsed/>
    <w:qFormat/>
    <w:uiPriority w:val="0"/>
    <w:pPr>
      <w:widowControl/>
      <w:kinsoku w:val="0"/>
      <w:autoSpaceDE w:val="0"/>
      <w:autoSpaceDN w:val="0"/>
      <w:adjustRightInd w:val="0"/>
      <w:snapToGrid w:val="0"/>
      <w:spacing w:after="120"/>
      <w:jc w:val="left"/>
      <w:textAlignment w:val="baseline"/>
    </w:pPr>
    <w:rPr>
      <w:rFonts w:ascii="Arial" w:hAnsi="Arial" w:eastAsia="Arial" w:cs="Arial"/>
      <w:snapToGrid w:val="0"/>
      <w:color w:val="000000"/>
      <w:kern w:val="0"/>
      <w:szCs w:val="21"/>
      <w:lang w:eastAsia="en-US"/>
    </w:rPr>
  </w:style>
  <w:style w:type="paragraph" w:styleId="7">
    <w:name w:val="toc 3"/>
    <w:basedOn w:val="1"/>
    <w:next w:val="1"/>
    <w:semiHidden/>
    <w:unhideWhenUsed/>
    <w:qFormat/>
    <w:uiPriority w:val="39"/>
    <w:pPr>
      <w:ind w:left="840" w:leftChars="400"/>
    </w:pPr>
  </w:style>
  <w:style w:type="paragraph" w:styleId="8">
    <w:name w:val="header"/>
    <w:basedOn w:val="1"/>
    <w:link w:val="15"/>
    <w:unhideWhenUsed/>
    <w:qFormat/>
    <w:uiPriority w:val="99"/>
    <w:pP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toc 2"/>
    <w:basedOn w:val="1"/>
    <w:next w:val="1"/>
    <w:semiHidden/>
    <w:unhideWhenUsed/>
    <w:qFormat/>
    <w:uiPriority w:val="39"/>
    <w:pPr>
      <w:ind w:left="420" w:left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semiHidden/>
    <w:qFormat/>
    <w:uiPriority w:val="0"/>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2"/>
    <w:qFormat/>
    <w:uiPriority w:val="99"/>
    <w:rPr>
      <w:sz w:val="18"/>
      <w:szCs w:val="18"/>
    </w:rPr>
  </w:style>
  <w:style w:type="character" w:customStyle="1" w:styleId="17">
    <w:name w:val="批注文字 字符"/>
    <w:basedOn w:val="13"/>
    <w:link w:val="5"/>
    <w:semiHidden/>
    <w:qFormat/>
    <w:uiPriority w:val="0"/>
    <w:rPr>
      <w:rFonts w:ascii="Times New Roman" w:hAnsi="Times New Roman" w:eastAsia="宋体" w:cs="Times New Roman"/>
      <w:szCs w:val="24"/>
    </w:rPr>
  </w:style>
  <w:style w:type="table" w:customStyle="1" w:styleId="18">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19">
    <w:name w:val="标题 5 字符"/>
    <w:basedOn w:val="13"/>
    <w:link w:val="3"/>
    <w:qFormat/>
    <w:uiPriority w:val="0"/>
    <w:rPr>
      <w:rFonts w:ascii="Arial" w:hAnsi="Arial" w:eastAsia="Times New Roman" w:cs="Times New Roman"/>
      <w:b/>
      <w:bCs/>
      <w:i/>
      <w:iCs/>
      <w:kern w:val="0"/>
      <w:sz w:val="26"/>
      <w:szCs w:val="26"/>
      <w:lang w:eastAsia="en-US"/>
    </w:rPr>
  </w:style>
  <w:style w:type="character" w:customStyle="1" w:styleId="20">
    <w:name w:val="标题 6 字符"/>
    <w:basedOn w:val="13"/>
    <w:link w:val="4"/>
    <w:qFormat/>
    <w:uiPriority w:val="0"/>
    <w:rPr>
      <w:rFonts w:ascii="Times New Roman" w:hAnsi="Times New Roman" w:eastAsia="Times New Roman" w:cs="Times New Roman"/>
      <w:b/>
      <w:bCs/>
      <w:kern w:val="0"/>
      <w:sz w:val="22"/>
      <w:lang w:eastAsia="en-US"/>
    </w:rPr>
  </w:style>
  <w:style w:type="character" w:customStyle="1" w:styleId="21">
    <w:name w:val="正文文本 字符"/>
    <w:basedOn w:val="13"/>
    <w:link w:val="6"/>
    <w:semiHidden/>
    <w:qFormat/>
    <w:uiPriority w:val="0"/>
    <w:rPr>
      <w:rFonts w:ascii="Arial" w:hAnsi="Arial" w:eastAsia="Arial" w:cs="Arial"/>
      <w:snapToGrid w:val="0"/>
      <w:color w:val="000000"/>
      <w:kern w:val="0"/>
      <w:szCs w:val="21"/>
      <w:lang w:eastAsia="en-US"/>
    </w:rPr>
  </w:style>
  <w:style w:type="paragraph" w:customStyle="1" w:styleId="22">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12698</Words>
  <Characters>13010</Characters>
  <Lines>107</Lines>
  <Paragraphs>30</Paragraphs>
  <TotalTime>16</TotalTime>
  <ScaleCrop>false</ScaleCrop>
  <LinksUpToDate>false</LinksUpToDate>
  <CharactersWithSpaces>13164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2024-09-12T13:39:00Z</dcterms:created>
  <dc:creator>13510005697@139.com</dc:creator>
  <cp:lastModifiedBy>小贰新</cp:lastModifiedBy>
  <dcterms:modified xsi:type="dcterms:W3CDTF">2024-09-23T03:01:09Z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2429A17C87AE44C9956F0D5FEB1DC681_12</vt:lpwstr>
  </property>
</Properties>
</file>