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58FD2">
      <w:pPr>
        <w:bidi w:val="0"/>
        <w:spacing w:line="360" w:lineRule="auto"/>
        <w:jc w:val="center"/>
        <w:outlineLvl w:val="9"/>
        <w:rPr>
          <w:rFonts w:hint="eastAsia" w:ascii="华文中宋" w:hAnsi="华文中宋" w:eastAsia="华文中宋" w:cs="华文中宋"/>
          <w:b/>
          <w:bCs/>
          <w:sz w:val="44"/>
          <w:szCs w:val="44"/>
          <w:lang w:eastAsia="zh-CN"/>
        </w:rPr>
      </w:pPr>
      <w:bookmarkStart w:id="0" w:name="_Toc16497"/>
    </w:p>
    <w:p w14:paraId="36BEF025">
      <w:pPr>
        <w:bidi w:val="0"/>
        <w:spacing w:line="360" w:lineRule="auto"/>
        <w:jc w:val="center"/>
        <w:outlineLvl w:val="0"/>
        <w:rPr>
          <w:rFonts w:hint="eastAsia" w:ascii="华文中宋" w:hAnsi="华文中宋" w:eastAsia="华文中宋" w:cs="华文中宋"/>
          <w:b/>
          <w:bCs/>
          <w:sz w:val="44"/>
          <w:szCs w:val="44"/>
          <w:lang w:eastAsia="zh-CN"/>
        </w:rPr>
      </w:pPr>
      <w:bookmarkStart w:id="1" w:name="_Toc11428"/>
      <w:bookmarkStart w:id="2" w:name="_Toc9664"/>
      <w:r>
        <w:rPr>
          <w:rFonts w:hint="eastAsia" w:ascii="华文中宋" w:hAnsi="华文中宋" w:eastAsia="华文中宋" w:cs="华文中宋"/>
          <w:b/>
          <w:bCs/>
          <w:sz w:val="44"/>
          <w:szCs w:val="44"/>
          <w:lang w:eastAsia="zh-CN"/>
        </w:rPr>
        <w:t>第</w:t>
      </w:r>
      <w:r>
        <w:rPr>
          <w:rFonts w:hint="eastAsia" w:ascii="华文中宋" w:hAnsi="华文中宋" w:eastAsia="华文中宋" w:cs="华文中宋"/>
          <w:b/>
          <w:bCs/>
          <w:sz w:val="44"/>
          <w:szCs w:val="44"/>
          <w:lang w:val="en-US" w:eastAsia="zh-CN"/>
        </w:rPr>
        <w:t>四</w:t>
      </w:r>
      <w:r>
        <w:rPr>
          <w:rFonts w:hint="eastAsia" w:ascii="华文中宋" w:hAnsi="华文中宋" w:eastAsia="华文中宋" w:cs="华文中宋"/>
          <w:b/>
          <w:bCs/>
          <w:sz w:val="44"/>
          <w:szCs w:val="44"/>
          <w:lang w:eastAsia="zh-CN"/>
        </w:rPr>
        <w:t>届全国新能源汽车关键技术技能大赛</w:t>
      </w:r>
      <w:bookmarkEnd w:id="0"/>
      <w:bookmarkEnd w:id="1"/>
      <w:bookmarkEnd w:id="2"/>
    </w:p>
    <w:p w14:paraId="794F84DD">
      <w:pPr>
        <w:bidi w:val="0"/>
        <w:spacing w:line="360" w:lineRule="auto"/>
        <w:jc w:val="center"/>
        <w:outlineLvl w:val="0"/>
        <w:rPr>
          <w:rFonts w:hint="eastAsia" w:ascii="华文中宋" w:hAnsi="华文中宋" w:eastAsia="华文中宋" w:cs="华文中宋"/>
          <w:b/>
          <w:bCs/>
          <w:sz w:val="44"/>
          <w:szCs w:val="44"/>
          <w:lang w:eastAsia="zh-CN"/>
        </w:rPr>
      </w:pPr>
      <w:bookmarkStart w:id="3" w:name="_Toc12548"/>
      <w:bookmarkStart w:id="4" w:name="_Toc6080"/>
      <w:bookmarkStart w:id="5" w:name="_Toc363"/>
      <w:r>
        <w:rPr>
          <w:rFonts w:hint="eastAsia" w:ascii="华文中宋" w:hAnsi="华文中宋" w:eastAsia="华文中宋" w:cs="华文中宋"/>
          <w:b/>
          <w:bCs/>
          <w:sz w:val="44"/>
          <w:szCs w:val="44"/>
          <w:lang w:eastAsia="zh-CN"/>
        </w:rPr>
        <w:t>广西选拔赛</w:t>
      </w:r>
      <w:bookmarkEnd w:id="3"/>
      <w:bookmarkEnd w:id="4"/>
      <w:bookmarkEnd w:id="5"/>
    </w:p>
    <w:p w14:paraId="786D644B">
      <w:pPr>
        <w:bidi w:val="0"/>
        <w:spacing w:line="360" w:lineRule="auto"/>
        <w:jc w:val="center"/>
        <w:outlineLvl w:val="0"/>
        <w:rPr>
          <w:rFonts w:hint="eastAsia" w:ascii="华文中宋" w:hAnsi="华文中宋" w:eastAsia="华文中宋" w:cs="华文中宋"/>
          <w:b/>
          <w:bCs/>
          <w:sz w:val="40"/>
          <w:szCs w:val="40"/>
          <w:lang w:val="en-AU" w:eastAsia="zh-CN"/>
        </w:rPr>
      </w:pPr>
      <w:bookmarkStart w:id="6" w:name="_Toc19990"/>
      <w:r>
        <w:rPr>
          <w:rFonts w:hint="eastAsia" w:ascii="华文中宋" w:hAnsi="华文中宋" w:eastAsia="华文中宋" w:cs="华文中宋"/>
          <w:b/>
          <w:bCs/>
          <w:sz w:val="40"/>
          <w:szCs w:val="40"/>
          <w:lang w:val="en-AU" w:eastAsia="zh-CN"/>
        </w:rPr>
        <w:t>汽车零部件装调工（汽车电动化技术方向）</w:t>
      </w:r>
    </w:p>
    <w:p w14:paraId="1522DA77">
      <w:pPr>
        <w:bidi w:val="0"/>
        <w:spacing w:line="360" w:lineRule="auto"/>
        <w:jc w:val="center"/>
        <w:outlineLvl w:val="0"/>
        <w:rPr>
          <w:rFonts w:hint="eastAsia" w:ascii="华文中宋" w:hAnsi="华文中宋" w:eastAsia="华文中宋" w:cs="华文中宋"/>
          <w:b/>
          <w:bCs/>
          <w:sz w:val="40"/>
          <w:szCs w:val="40"/>
          <w:lang w:val="en-AU" w:eastAsia="zh-CN"/>
        </w:rPr>
      </w:pPr>
      <w:bookmarkStart w:id="94" w:name="_GoBack"/>
      <w:bookmarkEnd w:id="94"/>
      <w:r>
        <w:rPr>
          <w:rFonts w:hint="eastAsia" w:ascii="华文中宋" w:hAnsi="华文中宋" w:eastAsia="华文中宋" w:cs="华文中宋"/>
          <w:b/>
          <w:bCs/>
          <w:sz w:val="40"/>
          <w:szCs w:val="40"/>
          <w:lang w:val="en-US" w:eastAsia="zh-CN"/>
        </w:rPr>
        <w:t xml:space="preserve">  </w:t>
      </w:r>
      <w:r>
        <w:rPr>
          <w:rFonts w:hint="eastAsia" w:ascii="华文中宋" w:hAnsi="华文中宋" w:eastAsia="华文中宋" w:cs="华文中宋"/>
          <w:b/>
          <w:bCs/>
          <w:sz w:val="40"/>
          <w:szCs w:val="40"/>
          <w:lang w:val="en-AU" w:eastAsia="zh-CN"/>
        </w:rPr>
        <w:t>技术工作文件</w:t>
      </w:r>
      <w:bookmarkEnd w:id="6"/>
    </w:p>
    <w:p w14:paraId="713830E9">
      <w:pPr>
        <w:pStyle w:val="6"/>
        <w:spacing w:line="360" w:lineRule="auto"/>
        <w:rPr>
          <w:rFonts w:hint="eastAsia" w:ascii="仿宋" w:hAnsi="仿宋" w:eastAsia="仿宋" w:cs="仿宋"/>
          <w:sz w:val="28"/>
          <w:szCs w:val="28"/>
        </w:rPr>
      </w:pPr>
    </w:p>
    <w:p w14:paraId="77271477">
      <w:pPr>
        <w:pStyle w:val="6"/>
        <w:spacing w:line="360" w:lineRule="auto"/>
        <w:rPr>
          <w:rFonts w:hint="eastAsia" w:ascii="仿宋" w:hAnsi="仿宋" w:eastAsia="仿宋" w:cs="仿宋"/>
          <w:sz w:val="28"/>
          <w:szCs w:val="28"/>
          <w:lang w:eastAsia="zh-CN"/>
        </w:rPr>
      </w:pPr>
    </w:p>
    <w:p w14:paraId="499B6038">
      <w:pPr>
        <w:pStyle w:val="6"/>
        <w:spacing w:line="360" w:lineRule="auto"/>
        <w:rPr>
          <w:rFonts w:hint="eastAsia" w:ascii="仿宋" w:hAnsi="仿宋" w:eastAsia="仿宋" w:cs="仿宋"/>
          <w:sz w:val="28"/>
          <w:szCs w:val="28"/>
          <w:lang w:eastAsia="zh-CN"/>
        </w:rPr>
      </w:pPr>
    </w:p>
    <w:p w14:paraId="64B172FA">
      <w:pPr>
        <w:pStyle w:val="6"/>
        <w:spacing w:line="360" w:lineRule="auto"/>
        <w:rPr>
          <w:rFonts w:hint="eastAsia" w:ascii="仿宋" w:hAnsi="仿宋" w:eastAsia="仿宋" w:cs="仿宋"/>
          <w:sz w:val="28"/>
          <w:szCs w:val="28"/>
          <w:lang w:eastAsia="zh-CN"/>
        </w:rPr>
      </w:pPr>
    </w:p>
    <w:p w14:paraId="6F186B4D">
      <w:pPr>
        <w:pStyle w:val="6"/>
        <w:spacing w:line="360" w:lineRule="auto"/>
        <w:rPr>
          <w:rFonts w:hint="eastAsia" w:ascii="仿宋" w:hAnsi="仿宋" w:eastAsia="仿宋" w:cs="仿宋"/>
          <w:sz w:val="28"/>
          <w:szCs w:val="28"/>
          <w:lang w:eastAsia="zh-CN"/>
        </w:rPr>
      </w:pPr>
    </w:p>
    <w:p w14:paraId="6A80B6EF">
      <w:pPr>
        <w:pStyle w:val="6"/>
        <w:spacing w:line="360" w:lineRule="auto"/>
        <w:rPr>
          <w:rFonts w:hint="eastAsia" w:ascii="仿宋" w:hAnsi="仿宋" w:eastAsia="仿宋" w:cs="仿宋"/>
          <w:sz w:val="28"/>
          <w:szCs w:val="28"/>
          <w:lang w:eastAsia="zh-CN"/>
        </w:rPr>
      </w:pPr>
    </w:p>
    <w:p w14:paraId="21973DAB">
      <w:pPr>
        <w:pStyle w:val="6"/>
        <w:spacing w:line="360" w:lineRule="auto"/>
        <w:rPr>
          <w:rFonts w:hint="eastAsia" w:ascii="仿宋" w:hAnsi="仿宋" w:eastAsia="仿宋" w:cs="仿宋"/>
          <w:sz w:val="28"/>
          <w:szCs w:val="28"/>
          <w:lang w:eastAsia="zh-CN"/>
        </w:rPr>
      </w:pPr>
    </w:p>
    <w:p w14:paraId="76CDBC60">
      <w:pPr>
        <w:pStyle w:val="6"/>
        <w:spacing w:line="360" w:lineRule="auto"/>
        <w:rPr>
          <w:rFonts w:hint="eastAsia" w:ascii="仿宋" w:hAnsi="仿宋" w:eastAsia="仿宋" w:cs="仿宋"/>
          <w:sz w:val="28"/>
          <w:szCs w:val="28"/>
          <w:lang w:eastAsia="zh-CN"/>
        </w:rPr>
      </w:pPr>
    </w:p>
    <w:p w14:paraId="5A700A7C">
      <w:pPr>
        <w:pStyle w:val="6"/>
        <w:spacing w:line="360" w:lineRule="auto"/>
        <w:rPr>
          <w:rFonts w:hint="eastAsia" w:ascii="仿宋" w:hAnsi="仿宋" w:eastAsia="仿宋" w:cs="仿宋"/>
          <w:sz w:val="28"/>
          <w:szCs w:val="28"/>
          <w:lang w:eastAsia="zh-CN"/>
        </w:rPr>
      </w:pPr>
    </w:p>
    <w:p w14:paraId="13CEF23A">
      <w:pPr>
        <w:spacing w:before="104" w:line="360" w:lineRule="auto"/>
        <w:jc w:val="both"/>
        <w:outlineLvl w:val="9"/>
        <w:rPr>
          <w:rFonts w:hint="eastAsia" w:ascii="宋体" w:hAnsi="宋体" w:eastAsia="宋体" w:cs="宋体"/>
          <w:b/>
          <w:bCs/>
          <w:spacing w:val="-3"/>
          <w:position w:val="20"/>
          <w:sz w:val="32"/>
          <w:szCs w:val="32"/>
          <w:lang w:eastAsia="zh-CN"/>
        </w:rPr>
      </w:pPr>
      <w:bookmarkStart w:id="7" w:name="_Toc4926"/>
    </w:p>
    <w:p w14:paraId="12618EC2">
      <w:pPr>
        <w:spacing w:before="104" w:line="360" w:lineRule="auto"/>
        <w:jc w:val="center"/>
        <w:outlineLvl w:val="0"/>
        <w:rPr>
          <w:rFonts w:hint="eastAsia" w:ascii="宋体" w:hAnsi="宋体" w:eastAsia="宋体" w:cs="宋体"/>
          <w:b/>
          <w:bCs/>
          <w:spacing w:val="-3"/>
          <w:position w:val="20"/>
          <w:sz w:val="32"/>
          <w:szCs w:val="32"/>
          <w:lang w:eastAsia="zh-CN"/>
        </w:rPr>
      </w:pPr>
      <w:bookmarkStart w:id="8" w:name="_Toc25495"/>
      <w:bookmarkStart w:id="9" w:name="_Toc1726"/>
      <w:r>
        <w:rPr>
          <w:rFonts w:hint="eastAsia" w:ascii="宋体" w:hAnsi="宋体" w:eastAsia="宋体" w:cs="宋体"/>
          <w:b/>
          <w:bCs/>
          <w:spacing w:val="-3"/>
          <w:position w:val="20"/>
          <w:sz w:val="32"/>
          <w:szCs w:val="32"/>
          <w:lang w:eastAsia="zh-CN"/>
        </w:rPr>
        <w:t>第</w:t>
      </w:r>
      <w:r>
        <w:rPr>
          <w:rFonts w:hint="eastAsia" w:ascii="宋体" w:hAnsi="宋体" w:eastAsia="宋体" w:cs="宋体"/>
          <w:b/>
          <w:bCs/>
          <w:spacing w:val="-3"/>
          <w:position w:val="20"/>
          <w:sz w:val="32"/>
          <w:szCs w:val="32"/>
          <w:lang w:val="en-US" w:eastAsia="zh-CN"/>
        </w:rPr>
        <w:t>四</w:t>
      </w:r>
      <w:r>
        <w:rPr>
          <w:rFonts w:hint="eastAsia" w:ascii="宋体" w:hAnsi="宋体" w:eastAsia="宋体" w:cs="宋体"/>
          <w:b/>
          <w:bCs/>
          <w:spacing w:val="-3"/>
          <w:position w:val="20"/>
          <w:sz w:val="32"/>
          <w:szCs w:val="32"/>
          <w:lang w:eastAsia="zh-CN"/>
        </w:rPr>
        <w:t>届全国新能源汽车关键技术技能大赛广西选拔赛</w:t>
      </w:r>
      <w:bookmarkEnd w:id="7"/>
      <w:bookmarkEnd w:id="8"/>
      <w:bookmarkEnd w:id="9"/>
    </w:p>
    <w:p w14:paraId="49C2CA43">
      <w:pPr>
        <w:spacing w:before="104" w:line="360" w:lineRule="auto"/>
        <w:jc w:val="center"/>
        <w:outlineLvl w:val="0"/>
        <w:rPr>
          <w:rFonts w:hint="eastAsia" w:ascii="宋体" w:hAnsi="宋体" w:eastAsia="宋体" w:cs="宋体"/>
          <w:b/>
          <w:bCs/>
          <w:sz w:val="32"/>
          <w:szCs w:val="32"/>
          <w:lang w:eastAsia="zh-CN"/>
        </w:rPr>
      </w:pPr>
      <w:bookmarkStart w:id="10" w:name="_Toc10622"/>
      <w:bookmarkStart w:id="11" w:name="_Toc1772"/>
      <w:bookmarkStart w:id="12" w:name="_Toc16860"/>
      <w:r>
        <w:rPr>
          <w:rFonts w:hint="eastAsia" w:ascii="宋体" w:hAnsi="宋体" w:eastAsia="宋体" w:cs="宋体"/>
          <w:b/>
          <w:bCs/>
          <w:spacing w:val="-3"/>
          <w:position w:val="20"/>
          <w:sz w:val="32"/>
          <w:szCs w:val="32"/>
          <w:lang w:eastAsia="zh-CN"/>
        </w:rPr>
        <w:t>组委会技术工作组</w:t>
      </w:r>
      <w:bookmarkEnd w:id="10"/>
      <w:bookmarkEnd w:id="11"/>
      <w:bookmarkEnd w:id="12"/>
    </w:p>
    <w:p w14:paraId="2FCE43DD">
      <w:pPr>
        <w:spacing w:line="360" w:lineRule="auto"/>
        <w:jc w:val="center"/>
        <w:rPr>
          <w:rFonts w:hint="eastAsia" w:ascii="宋体" w:hAnsi="宋体" w:eastAsia="宋体" w:cs="宋体"/>
          <w:b/>
          <w:bCs/>
          <w:spacing w:val="-2"/>
          <w:sz w:val="32"/>
          <w:szCs w:val="32"/>
          <w:lang w:eastAsia="zh-CN"/>
        </w:rPr>
      </w:pPr>
      <w:r>
        <w:rPr>
          <w:rFonts w:hint="eastAsia" w:ascii="宋体" w:hAnsi="宋体" w:eastAsia="宋体" w:cs="宋体"/>
          <w:b/>
          <w:bCs/>
          <w:spacing w:val="-2"/>
          <w:sz w:val="32"/>
          <w:szCs w:val="32"/>
          <w:lang w:eastAsia="zh-CN"/>
        </w:rPr>
        <w:t>202</w:t>
      </w:r>
      <w:r>
        <w:rPr>
          <w:rFonts w:hint="eastAsia" w:ascii="宋体" w:hAnsi="宋体" w:eastAsia="宋体" w:cs="宋体"/>
          <w:b/>
          <w:bCs/>
          <w:spacing w:val="-2"/>
          <w:sz w:val="32"/>
          <w:szCs w:val="32"/>
          <w:lang w:val="en-US" w:eastAsia="zh-CN"/>
        </w:rPr>
        <w:t>4</w:t>
      </w:r>
      <w:r>
        <w:rPr>
          <w:rFonts w:hint="eastAsia" w:ascii="宋体" w:hAnsi="宋体" w:eastAsia="宋体" w:cs="宋体"/>
          <w:b/>
          <w:bCs/>
          <w:spacing w:val="-2"/>
          <w:sz w:val="32"/>
          <w:szCs w:val="32"/>
          <w:lang w:eastAsia="zh-CN"/>
        </w:rPr>
        <w:t>年</w:t>
      </w:r>
      <w:r>
        <w:rPr>
          <w:rFonts w:hint="eastAsia" w:ascii="宋体" w:hAnsi="宋体" w:eastAsia="宋体" w:cs="宋体"/>
          <w:b/>
          <w:bCs/>
          <w:spacing w:val="-2"/>
          <w:sz w:val="32"/>
          <w:szCs w:val="32"/>
          <w:lang w:val="en-US" w:eastAsia="zh-CN"/>
        </w:rPr>
        <w:t>9</w:t>
      </w:r>
      <w:r>
        <w:rPr>
          <w:rFonts w:hint="eastAsia" w:ascii="宋体" w:hAnsi="宋体" w:eastAsia="宋体" w:cs="宋体"/>
          <w:b/>
          <w:bCs/>
          <w:spacing w:val="-2"/>
          <w:sz w:val="32"/>
          <w:szCs w:val="32"/>
          <w:lang w:eastAsia="zh-CN"/>
        </w:rPr>
        <w:t>月</w:t>
      </w:r>
    </w:p>
    <w:p w14:paraId="44553B8A">
      <w:pPr>
        <w:spacing w:line="360" w:lineRule="auto"/>
        <w:ind w:firstLine="562" w:firstLineChars="200"/>
        <w:jc w:val="center"/>
        <w:rPr>
          <w:rFonts w:hint="eastAsia" w:ascii="宋体" w:hAnsi="宋体" w:eastAsia="宋体"/>
          <w:b/>
          <w:bCs/>
          <w:sz w:val="28"/>
          <w:szCs w:val="28"/>
        </w:rPr>
      </w:pPr>
    </w:p>
    <w:p w14:paraId="3DBD15BD">
      <w:pPr>
        <w:spacing w:line="360" w:lineRule="auto"/>
        <w:rPr>
          <w:rFonts w:hint="eastAsia" w:ascii="宋体" w:hAnsi="宋体" w:eastAsia="宋体"/>
          <w:sz w:val="24"/>
          <w:szCs w:val="24"/>
        </w:rPr>
      </w:pPr>
    </w:p>
    <w:p w14:paraId="2B58E5C7">
      <w:pPr>
        <w:spacing w:line="360" w:lineRule="auto"/>
        <w:rPr>
          <w:rFonts w:hint="eastAsia" w:ascii="宋体" w:hAnsi="宋体" w:eastAsia="宋体" w:cstheme="minorBidi"/>
          <w:bCs/>
          <w:kern w:val="2"/>
          <w:sz w:val="21"/>
          <w:szCs w:val="24"/>
          <w:lang w:val="en-US" w:eastAsia="zh-CN" w:bidi="ar-SA"/>
        </w:rPr>
        <w:sectPr>
          <w:foot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b/>
          <w:bCs/>
          <w:kern w:val="2"/>
          <w:sz w:val="44"/>
          <w:szCs w:val="48"/>
          <w:lang w:val="en-US" w:eastAsia="zh-CN" w:bidi="ar-SA"/>
        </w:rPr>
        <w:id w:val="147478457"/>
        <w15:color w:val="DBDBDB"/>
        <w:docPartObj>
          <w:docPartGallery w:val="Table of Contents"/>
          <w:docPartUnique/>
        </w:docPartObj>
      </w:sdtPr>
      <w:sdtEndPr>
        <w:rPr>
          <w:rFonts w:hint="eastAsia" w:asciiTheme="minorHAnsi" w:hAnsiTheme="minorHAnsi" w:eastAsiaTheme="minorEastAsia" w:cstheme="minorBidi"/>
          <w:b/>
          <w:bCs/>
          <w:kern w:val="2"/>
          <w:sz w:val="18"/>
          <w:szCs w:val="18"/>
          <w:lang w:val="en-US" w:eastAsia="zh-CN" w:bidi="ar-SA"/>
        </w:rPr>
      </w:sdtEndPr>
      <w:sdtContent>
        <w:p w14:paraId="63FF3A98">
          <w:pPr>
            <w:spacing w:before="0" w:beforeLines="0" w:after="0" w:afterLines="0" w:line="240" w:lineRule="auto"/>
            <w:ind w:left="0" w:leftChars="0" w:right="0" w:rightChars="0" w:firstLine="0" w:firstLineChars="0"/>
            <w:jc w:val="center"/>
            <w:rPr>
              <w:b/>
              <w:bCs/>
              <w:sz w:val="44"/>
              <w:szCs w:val="48"/>
            </w:rPr>
          </w:pPr>
          <w:r>
            <w:rPr>
              <w:rFonts w:ascii="宋体" w:hAnsi="宋体" w:eastAsia="宋体"/>
              <w:b/>
              <w:bCs/>
              <w:sz w:val="44"/>
              <w:szCs w:val="48"/>
            </w:rPr>
            <w:t>目</w:t>
          </w:r>
          <w:r>
            <w:rPr>
              <w:rFonts w:hint="eastAsia" w:ascii="宋体" w:hAnsi="宋体" w:eastAsia="宋体"/>
              <w:b/>
              <w:bCs/>
              <w:sz w:val="44"/>
              <w:szCs w:val="48"/>
              <w:lang w:val="en-US" w:eastAsia="zh-CN"/>
            </w:rPr>
            <w:t xml:space="preserve">  </w:t>
          </w:r>
          <w:r>
            <w:rPr>
              <w:rFonts w:ascii="宋体" w:hAnsi="宋体" w:eastAsia="宋体"/>
              <w:b/>
              <w:bCs/>
              <w:sz w:val="44"/>
              <w:szCs w:val="48"/>
            </w:rPr>
            <w:t>录</w:t>
          </w:r>
        </w:p>
        <w:p w14:paraId="0167D684">
          <w:pPr>
            <w:pStyle w:val="24"/>
            <w:tabs>
              <w:tab w:val="right" w:leader="dot" w:pos="8306"/>
            </w:tabs>
          </w:pPr>
          <w:r>
            <w:rPr>
              <w:rFonts w:hint="eastAsia"/>
            </w:rPr>
            <w:fldChar w:fldCharType="begin"/>
          </w:r>
          <w:r>
            <w:rPr>
              <w:rFonts w:hint="eastAsia"/>
            </w:rPr>
            <w:instrText xml:space="preserve">TOC \o "1-3" \h \u </w:instrText>
          </w:r>
          <w:r>
            <w:rPr>
              <w:rFonts w:hint="eastAsia"/>
            </w:rPr>
            <w:fldChar w:fldCharType="separate"/>
          </w:r>
        </w:p>
        <w:p w14:paraId="5038D598">
          <w:pPr>
            <w:pStyle w:val="24"/>
            <w:tabs>
              <w:tab w:val="right" w:leader="dot" w:pos="8306"/>
            </w:tabs>
          </w:pPr>
          <w:r>
            <w:rPr>
              <w:rFonts w:hint="eastAsia"/>
            </w:rPr>
            <w:fldChar w:fldCharType="begin"/>
          </w:r>
          <w:r>
            <w:rPr>
              <w:rFonts w:hint="eastAsia"/>
            </w:rPr>
            <w:instrText xml:space="preserve"> HYPERLINK \l _Toc25387 </w:instrText>
          </w:r>
          <w:r>
            <w:rPr>
              <w:rFonts w:hint="eastAsia"/>
            </w:rPr>
            <w:fldChar w:fldCharType="separate"/>
          </w:r>
          <w:r>
            <w:rPr>
              <w:rFonts w:hint="eastAsia" w:ascii="宋体" w:hAnsi="宋体" w:eastAsia="宋体"/>
              <w:bCs/>
              <w:szCs w:val="24"/>
            </w:rPr>
            <w:t>一、项目描述</w:t>
          </w:r>
          <w:r>
            <w:tab/>
          </w:r>
          <w:r>
            <w:fldChar w:fldCharType="begin"/>
          </w:r>
          <w:r>
            <w:instrText xml:space="preserve"> PAGEREF _Toc25387 \h </w:instrText>
          </w:r>
          <w:r>
            <w:fldChar w:fldCharType="separate"/>
          </w:r>
          <w:r>
            <w:t>2</w:t>
          </w:r>
          <w:r>
            <w:fldChar w:fldCharType="end"/>
          </w:r>
          <w:r>
            <w:rPr>
              <w:rFonts w:hint="eastAsia"/>
            </w:rPr>
            <w:fldChar w:fldCharType="end"/>
          </w:r>
        </w:p>
        <w:p w14:paraId="7C0120E9">
          <w:pPr>
            <w:pStyle w:val="25"/>
            <w:tabs>
              <w:tab w:val="right" w:leader="dot" w:pos="8306"/>
            </w:tabs>
          </w:pPr>
          <w:r>
            <w:rPr>
              <w:rFonts w:hint="eastAsia"/>
            </w:rPr>
            <w:fldChar w:fldCharType="begin"/>
          </w:r>
          <w:r>
            <w:rPr>
              <w:rFonts w:hint="eastAsia"/>
            </w:rPr>
            <w:instrText xml:space="preserve"> HYPERLINK \l _Toc16757 </w:instrText>
          </w:r>
          <w:r>
            <w:rPr>
              <w:rFonts w:hint="eastAsia"/>
            </w:rPr>
            <w:fldChar w:fldCharType="separate"/>
          </w:r>
          <w:r>
            <w:rPr>
              <w:rFonts w:hint="eastAsia" w:ascii="宋体" w:hAnsi="宋体" w:eastAsia="宋体"/>
              <w:bCs/>
              <w:szCs w:val="24"/>
            </w:rPr>
            <w:t>（一）技术基本描述</w:t>
          </w:r>
          <w:r>
            <w:tab/>
          </w:r>
          <w:r>
            <w:fldChar w:fldCharType="begin"/>
          </w:r>
          <w:r>
            <w:instrText xml:space="preserve"> PAGEREF _Toc16757 \h </w:instrText>
          </w:r>
          <w:r>
            <w:fldChar w:fldCharType="separate"/>
          </w:r>
          <w:r>
            <w:t>2</w:t>
          </w:r>
          <w:r>
            <w:fldChar w:fldCharType="end"/>
          </w:r>
          <w:r>
            <w:rPr>
              <w:rFonts w:hint="eastAsia"/>
            </w:rPr>
            <w:fldChar w:fldCharType="end"/>
          </w:r>
        </w:p>
        <w:p w14:paraId="368D9EBF">
          <w:pPr>
            <w:pStyle w:val="26"/>
            <w:tabs>
              <w:tab w:val="right" w:leader="dot" w:pos="8306"/>
            </w:tabs>
          </w:pPr>
          <w:r>
            <w:rPr>
              <w:rFonts w:hint="eastAsia"/>
            </w:rPr>
            <w:fldChar w:fldCharType="begin"/>
          </w:r>
          <w:r>
            <w:rPr>
              <w:rFonts w:hint="eastAsia"/>
            </w:rPr>
            <w:instrText xml:space="preserve"> HYPERLINK \l _Toc29030 </w:instrText>
          </w:r>
          <w:r>
            <w:rPr>
              <w:rFonts w:hint="eastAsia"/>
            </w:rPr>
            <w:fldChar w:fldCharType="separate"/>
          </w:r>
          <w:r>
            <w:rPr>
              <w:rFonts w:hint="eastAsia" w:ascii="宋体" w:hAnsi="宋体" w:eastAsia="宋体"/>
              <w:bCs/>
              <w:szCs w:val="24"/>
            </w:rPr>
            <w:t>任务一：动力蓄电池系统安装与调试</w:t>
          </w:r>
          <w:r>
            <w:tab/>
          </w:r>
          <w:r>
            <w:fldChar w:fldCharType="begin"/>
          </w:r>
          <w:r>
            <w:instrText xml:space="preserve"> PAGEREF _Toc29030 \h </w:instrText>
          </w:r>
          <w:r>
            <w:fldChar w:fldCharType="separate"/>
          </w:r>
          <w:r>
            <w:t>2</w:t>
          </w:r>
          <w:r>
            <w:fldChar w:fldCharType="end"/>
          </w:r>
          <w:r>
            <w:rPr>
              <w:rFonts w:hint="eastAsia"/>
            </w:rPr>
            <w:fldChar w:fldCharType="end"/>
          </w:r>
        </w:p>
        <w:p w14:paraId="47C493D3">
          <w:pPr>
            <w:pStyle w:val="25"/>
            <w:tabs>
              <w:tab w:val="right" w:leader="dot" w:pos="8306"/>
            </w:tabs>
          </w:pPr>
          <w:r>
            <w:rPr>
              <w:rFonts w:hint="eastAsia"/>
            </w:rPr>
            <w:fldChar w:fldCharType="begin"/>
          </w:r>
          <w:r>
            <w:rPr>
              <w:rFonts w:hint="eastAsia"/>
            </w:rPr>
            <w:instrText xml:space="preserve"> HYPERLINK \l _Toc3286 </w:instrText>
          </w:r>
          <w:r>
            <w:rPr>
              <w:rFonts w:hint="eastAsia"/>
            </w:rPr>
            <w:fldChar w:fldCharType="separate"/>
          </w:r>
          <w:r>
            <w:rPr>
              <w:rFonts w:hint="eastAsia" w:ascii="宋体" w:hAnsi="宋体" w:eastAsia="宋体"/>
              <w:bCs/>
              <w:szCs w:val="24"/>
            </w:rPr>
            <w:t>（二）技术能力要求</w:t>
          </w:r>
          <w:r>
            <w:tab/>
          </w:r>
          <w:r>
            <w:fldChar w:fldCharType="begin"/>
          </w:r>
          <w:r>
            <w:instrText xml:space="preserve"> PAGEREF _Toc3286 \h </w:instrText>
          </w:r>
          <w:r>
            <w:fldChar w:fldCharType="separate"/>
          </w:r>
          <w:r>
            <w:t>3</w:t>
          </w:r>
          <w:r>
            <w:fldChar w:fldCharType="end"/>
          </w:r>
          <w:r>
            <w:rPr>
              <w:rFonts w:hint="eastAsia"/>
            </w:rPr>
            <w:fldChar w:fldCharType="end"/>
          </w:r>
        </w:p>
        <w:p w14:paraId="1194AF7F">
          <w:pPr>
            <w:pStyle w:val="25"/>
            <w:tabs>
              <w:tab w:val="right" w:leader="dot" w:pos="8306"/>
            </w:tabs>
          </w:pPr>
          <w:r>
            <w:rPr>
              <w:rFonts w:hint="eastAsia"/>
            </w:rPr>
            <w:fldChar w:fldCharType="begin"/>
          </w:r>
          <w:r>
            <w:rPr>
              <w:rFonts w:hint="eastAsia"/>
            </w:rPr>
            <w:instrText xml:space="preserve"> HYPERLINK \l _Toc21933 </w:instrText>
          </w:r>
          <w:r>
            <w:rPr>
              <w:rFonts w:hint="eastAsia"/>
            </w:rPr>
            <w:fldChar w:fldCharType="separate"/>
          </w:r>
          <w:r>
            <w:rPr>
              <w:rFonts w:hint="eastAsia" w:ascii="宋体" w:hAnsi="宋体" w:eastAsia="宋体"/>
              <w:bCs/>
              <w:szCs w:val="24"/>
            </w:rPr>
            <w:t>（三）基本知识要求</w:t>
          </w:r>
          <w:r>
            <w:tab/>
          </w:r>
          <w:r>
            <w:fldChar w:fldCharType="begin"/>
          </w:r>
          <w:r>
            <w:instrText xml:space="preserve"> PAGEREF _Toc21933 \h </w:instrText>
          </w:r>
          <w:r>
            <w:fldChar w:fldCharType="separate"/>
          </w:r>
          <w:r>
            <w:t>4</w:t>
          </w:r>
          <w:r>
            <w:fldChar w:fldCharType="end"/>
          </w:r>
          <w:r>
            <w:rPr>
              <w:rFonts w:hint="eastAsia"/>
            </w:rPr>
            <w:fldChar w:fldCharType="end"/>
          </w:r>
        </w:p>
        <w:p w14:paraId="7C8D6B30">
          <w:pPr>
            <w:pStyle w:val="25"/>
            <w:tabs>
              <w:tab w:val="right" w:leader="dot" w:pos="8306"/>
            </w:tabs>
          </w:pPr>
          <w:r>
            <w:rPr>
              <w:rFonts w:hint="eastAsia"/>
            </w:rPr>
            <w:fldChar w:fldCharType="begin"/>
          </w:r>
          <w:r>
            <w:rPr>
              <w:rFonts w:hint="eastAsia"/>
            </w:rPr>
            <w:instrText xml:space="preserve"> HYPERLINK \l _Toc4832 </w:instrText>
          </w:r>
          <w:r>
            <w:rPr>
              <w:rFonts w:hint="eastAsia"/>
            </w:rPr>
            <w:fldChar w:fldCharType="separate"/>
          </w:r>
          <w:r>
            <w:rPr>
              <w:rFonts w:hint="eastAsia" w:ascii="宋体" w:hAnsi="宋体" w:eastAsia="宋体"/>
              <w:bCs/>
              <w:szCs w:val="24"/>
            </w:rPr>
            <w:t>（四）职业素养与安全要求</w:t>
          </w:r>
          <w:r>
            <w:tab/>
          </w:r>
          <w:r>
            <w:fldChar w:fldCharType="begin"/>
          </w:r>
          <w:r>
            <w:instrText xml:space="preserve"> PAGEREF _Toc4832 \h </w:instrText>
          </w:r>
          <w:r>
            <w:fldChar w:fldCharType="separate"/>
          </w:r>
          <w:r>
            <w:t>4</w:t>
          </w:r>
          <w:r>
            <w:fldChar w:fldCharType="end"/>
          </w:r>
          <w:r>
            <w:rPr>
              <w:rFonts w:hint="eastAsia"/>
            </w:rPr>
            <w:fldChar w:fldCharType="end"/>
          </w:r>
        </w:p>
        <w:p w14:paraId="47C6D165">
          <w:pPr>
            <w:pStyle w:val="24"/>
            <w:tabs>
              <w:tab w:val="right" w:leader="dot" w:pos="8306"/>
            </w:tabs>
          </w:pPr>
          <w:r>
            <w:rPr>
              <w:rFonts w:hint="eastAsia"/>
            </w:rPr>
            <w:fldChar w:fldCharType="begin"/>
          </w:r>
          <w:r>
            <w:rPr>
              <w:rFonts w:hint="eastAsia"/>
            </w:rPr>
            <w:instrText xml:space="preserve"> HYPERLINK \l _Toc6291 </w:instrText>
          </w:r>
          <w:r>
            <w:rPr>
              <w:rFonts w:hint="eastAsia"/>
            </w:rPr>
            <w:fldChar w:fldCharType="separate"/>
          </w:r>
          <w:r>
            <w:rPr>
              <w:rFonts w:hint="eastAsia" w:ascii="宋体" w:hAnsi="宋体" w:eastAsia="宋体"/>
              <w:bCs/>
              <w:szCs w:val="24"/>
            </w:rPr>
            <w:t>二、竞赛题目</w:t>
          </w:r>
          <w:r>
            <w:tab/>
          </w:r>
          <w:r>
            <w:fldChar w:fldCharType="begin"/>
          </w:r>
          <w:r>
            <w:instrText xml:space="preserve"> PAGEREF _Toc6291 \h </w:instrText>
          </w:r>
          <w:r>
            <w:fldChar w:fldCharType="separate"/>
          </w:r>
          <w:r>
            <w:t>4</w:t>
          </w:r>
          <w:r>
            <w:fldChar w:fldCharType="end"/>
          </w:r>
          <w:r>
            <w:rPr>
              <w:rFonts w:hint="eastAsia"/>
            </w:rPr>
            <w:fldChar w:fldCharType="end"/>
          </w:r>
        </w:p>
        <w:p w14:paraId="52A98C56">
          <w:pPr>
            <w:pStyle w:val="25"/>
            <w:tabs>
              <w:tab w:val="right" w:leader="dot" w:pos="8306"/>
            </w:tabs>
          </w:pPr>
          <w:r>
            <w:rPr>
              <w:rFonts w:hint="eastAsia"/>
            </w:rPr>
            <w:fldChar w:fldCharType="begin"/>
          </w:r>
          <w:r>
            <w:rPr>
              <w:rFonts w:hint="eastAsia"/>
            </w:rPr>
            <w:instrText xml:space="preserve"> HYPERLINK \l _Toc579 </w:instrText>
          </w:r>
          <w:r>
            <w:rPr>
              <w:rFonts w:hint="eastAsia"/>
            </w:rPr>
            <w:fldChar w:fldCharType="separate"/>
          </w:r>
          <w:r>
            <w:rPr>
              <w:rFonts w:hint="eastAsia" w:ascii="宋体" w:hAnsi="宋体" w:eastAsia="宋体"/>
              <w:bCs/>
              <w:szCs w:val="24"/>
            </w:rPr>
            <w:t>（一）竞赛分组</w:t>
          </w:r>
          <w:r>
            <w:tab/>
          </w:r>
          <w:r>
            <w:fldChar w:fldCharType="begin"/>
          </w:r>
          <w:r>
            <w:instrText xml:space="preserve"> PAGEREF _Toc579 \h </w:instrText>
          </w:r>
          <w:r>
            <w:fldChar w:fldCharType="separate"/>
          </w:r>
          <w:r>
            <w:t>4</w:t>
          </w:r>
          <w:r>
            <w:fldChar w:fldCharType="end"/>
          </w:r>
          <w:r>
            <w:rPr>
              <w:rFonts w:hint="eastAsia"/>
            </w:rPr>
            <w:fldChar w:fldCharType="end"/>
          </w:r>
        </w:p>
        <w:p w14:paraId="2DF3FAA3">
          <w:pPr>
            <w:pStyle w:val="25"/>
            <w:tabs>
              <w:tab w:val="right" w:leader="dot" w:pos="8306"/>
            </w:tabs>
          </w:pPr>
          <w:r>
            <w:rPr>
              <w:rFonts w:hint="eastAsia"/>
            </w:rPr>
            <w:fldChar w:fldCharType="begin"/>
          </w:r>
          <w:r>
            <w:rPr>
              <w:rFonts w:hint="eastAsia"/>
            </w:rPr>
            <w:instrText xml:space="preserve"> HYPERLINK \l _Toc31945 </w:instrText>
          </w:r>
          <w:r>
            <w:rPr>
              <w:rFonts w:hint="eastAsia"/>
            </w:rPr>
            <w:fldChar w:fldCharType="separate"/>
          </w:r>
          <w:r>
            <w:rPr>
              <w:rFonts w:hint="eastAsia" w:ascii="宋体" w:hAnsi="宋体" w:eastAsia="宋体"/>
              <w:bCs/>
              <w:szCs w:val="24"/>
            </w:rPr>
            <w:t>（二）竞赛形式</w:t>
          </w:r>
          <w:r>
            <w:tab/>
          </w:r>
          <w:r>
            <w:fldChar w:fldCharType="begin"/>
          </w:r>
          <w:r>
            <w:instrText xml:space="preserve"> PAGEREF _Toc31945 \h </w:instrText>
          </w:r>
          <w:r>
            <w:fldChar w:fldCharType="separate"/>
          </w:r>
          <w:r>
            <w:t>4</w:t>
          </w:r>
          <w:r>
            <w:fldChar w:fldCharType="end"/>
          </w:r>
          <w:r>
            <w:rPr>
              <w:rFonts w:hint="eastAsia"/>
            </w:rPr>
            <w:fldChar w:fldCharType="end"/>
          </w:r>
        </w:p>
        <w:p w14:paraId="75C7DA10">
          <w:pPr>
            <w:pStyle w:val="25"/>
            <w:tabs>
              <w:tab w:val="right" w:leader="dot" w:pos="8306"/>
            </w:tabs>
          </w:pPr>
          <w:r>
            <w:rPr>
              <w:rFonts w:hint="eastAsia"/>
            </w:rPr>
            <w:fldChar w:fldCharType="begin"/>
          </w:r>
          <w:r>
            <w:rPr>
              <w:rFonts w:hint="eastAsia"/>
            </w:rPr>
            <w:instrText xml:space="preserve"> HYPERLINK \l _Toc11945 </w:instrText>
          </w:r>
          <w:r>
            <w:rPr>
              <w:rFonts w:hint="eastAsia"/>
            </w:rPr>
            <w:fldChar w:fldCharType="separate"/>
          </w:r>
          <w:r>
            <w:rPr>
              <w:rFonts w:hint="eastAsia" w:ascii="宋体" w:hAnsi="宋体" w:eastAsia="宋体"/>
              <w:bCs/>
              <w:szCs w:val="24"/>
            </w:rPr>
            <w:t>（三）命题标准</w:t>
          </w:r>
          <w:r>
            <w:tab/>
          </w:r>
          <w:r>
            <w:fldChar w:fldCharType="begin"/>
          </w:r>
          <w:r>
            <w:instrText xml:space="preserve"> PAGEREF _Toc11945 \h </w:instrText>
          </w:r>
          <w:r>
            <w:fldChar w:fldCharType="separate"/>
          </w:r>
          <w:r>
            <w:t>4</w:t>
          </w:r>
          <w:r>
            <w:fldChar w:fldCharType="end"/>
          </w:r>
          <w:r>
            <w:rPr>
              <w:rFonts w:hint="eastAsia"/>
            </w:rPr>
            <w:fldChar w:fldCharType="end"/>
          </w:r>
        </w:p>
        <w:p w14:paraId="10881C3B">
          <w:pPr>
            <w:pStyle w:val="25"/>
            <w:tabs>
              <w:tab w:val="right" w:leader="dot" w:pos="8306"/>
            </w:tabs>
          </w:pPr>
          <w:r>
            <w:rPr>
              <w:rFonts w:hint="eastAsia"/>
            </w:rPr>
            <w:fldChar w:fldCharType="begin"/>
          </w:r>
          <w:r>
            <w:rPr>
              <w:rFonts w:hint="eastAsia"/>
            </w:rPr>
            <w:instrText xml:space="preserve"> HYPERLINK \l _Toc7198 </w:instrText>
          </w:r>
          <w:r>
            <w:rPr>
              <w:rFonts w:hint="eastAsia"/>
            </w:rPr>
            <w:fldChar w:fldCharType="separate"/>
          </w:r>
          <w:r>
            <w:rPr>
              <w:rFonts w:hint="eastAsia" w:ascii="宋体" w:hAnsi="宋体" w:eastAsia="宋体"/>
              <w:bCs/>
              <w:szCs w:val="24"/>
            </w:rPr>
            <w:t>（四）命题内容与竞赛时间</w:t>
          </w:r>
          <w:r>
            <w:tab/>
          </w:r>
          <w:r>
            <w:fldChar w:fldCharType="begin"/>
          </w:r>
          <w:r>
            <w:instrText xml:space="preserve"> PAGEREF _Toc7198 \h </w:instrText>
          </w:r>
          <w:r>
            <w:fldChar w:fldCharType="separate"/>
          </w:r>
          <w:r>
            <w:t>4</w:t>
          </w:r>
          <w:r>
            <w:fldChar w:fldCharType="end"/>
          </w:r>
          <w:r>
            <w:rPr>
              <w:rFonts w:hint="eastAsia"/>
            </w:rPr>
            <w:fldChar w:fldCharType="end"/>
          </w:r>
        </w:p>
        <w:p w14:paraId="4A5C7F15">
          <w:pPr>
            <w:pStyle w:val="24"/>
            <w:tabs>
              <w:tab w:val="right" w:leader="dot" w:pos="8306"/>
            </w:tabs>
          </w:pPr>
          <w:r>
            <w:rPr>
              <w:rFonts w:hint="eastAsia"/>
            </w:rPr>
            <w:fldChar w:fldCharType="begin"/>
          </w:r>
          <w:r>
            <w:rPr>
              <w:rFonts w:hint="eastAsia"/>
            </w:rPr>
            <w:instrText xml:space="preserve"> HYPERLINK \l _Toc21548 </w:instrText>
          </w:r>
          <w:r>
            <w:rPr>
              <w:rFonts w:hint="eastAsia"/>
            </w:rPr>
            <w:fldChar w:fldCharType="separate"/>
          </w:r>
          <w:r>
            <w:rPr>
              <w:rFonts w:hint="eastAsia" w:ascii="宋体" w:hAnsi="宋体" w:eastAsia="宋体"/>
              <w:bCs/>
              <w:szCs w:val="24"/>
            </w:rPr>
            <w:t>三、评判方式</w:t>
          </w:r>
          <w:r>
            <w:tab/>
          </w:r>
          <w:r>
            <w:fldChar w:fldCharType="begin"/>
          </w:r>
          <w:r>
            <w:instrText xml:space="preserve"> PAGEREF _Toc21548 \h </w:instrText>
          </w:r>
          <w:r>
            <w:fldChar w:fldCharType="separate"/>
          </w:r>
          <w:r>
            <w:t>5</w:t>
          </w:r>
          <w:r>
            <w:fldChar w:fldCharType="end"/>
          </w:r>
          <w:r>
            <w:rPr>
              <w:rFonts w:hint="eastAsia"/>
            </w:rPr>
            <w:fldChar w:fldCharType="end"/>
          </w:r>
        </w:p>
        <w:p w14:paraId="3C917CEF">
          <w:pPr>
            <w:pStyle w:val="25"/>
            <w:tabs>
              <w:tab w:val="right" w:leader="dot" w:pos="8306"/>
            </w:tabs>
          </w:pPr>
          <w:r>
            <w:rPr>
              <w:rFonts w:hint="eastAsia"/>
            </w:rPr>
            <w:fldChar w:fldCharType="begin"/>
          </w:r>
          <w:r>
            <w:rPr>
              <w:rFonts w:hint="eastAsia"/>
            </w:rPr>
            <w:instrText xml:space="preserve"> HYPERLINK \l _Toc19887 </w:instrText>
          </w:r>
          <w:r>
            <w:rPr>
              <w:rFonts w:hint="eastAsia"/>
            </w:rPr>
            <w:fldChar w:fldCharType="separate"/>
          </w:r>
          <w:r>
            <w:rPr>
              <w:rFonts w:hint="eastAsia" w:ascii="宋体" w:hAnsi="宋体" w:eastAsia="宋体"/>
              <w:bCs/>
              <w:szCs w:val="24"/>
            </w:rPr>
            <w:t>（一）评判流程</w:t>
          </w:r>
          <w:r>
            <w:tab/>
          </w:r>
          <w:r>
            <w:fldChar w:fldCharType="begin"/>
          </w:r>
          <w:r>
            <w:instrText xml:space="preserve"> PAGEREF _Toc19887 \h </w:instrText>
          </w:r>
          <w:r>
            <w:fldChar w:fldCharType="separate"/>
          </w:r>
          <w:r>
            <w:t>5</w:t>
          </w:r>
          <w:r>
            <w:fldChar w:fldCharType="end"/>
          </w:r>
          <w:r>
            <w:rPr>
              <w:rFonts w:hint="eastAsia"/>
            </w:rPr>
            <w:fldChar w:fldCharType="end"/>
          </w:r>
        </w:p>
        <w:p w14:paraId="0527A456">
          <w:pPr>
            <w:pStyle w:val="25"/>
            <w:tabs>
              <w:tab w:val="right" w:leader="dot" w:pos="8306"/>
            </w:tabs>
          </w:pPr>
          <w:r>
            <w:rPr>
              <w:rFonts w:hint="eastAsia"/>
            </w:rPr>
            <w:fldChar w:fldCharType="begin"/>
          </w:r>
          <w:r>
            <w:rPr>
              <w:rFonts w:hint="eastAsia"/>
            </w:rPr>
            <w:instrText xml:space="preserve"> HYPERLINK \l _Toc11750 </w:instrText>
          </w:r>
          <w:r>
            <w:rPr>
              <w:rFonts w:hint="eastAsia"/>
            </w:rPr>
            <w:fldChar w:fldCharType="separate"/>
          </w:r>
          <w:r>
            <w:rPr>
              <w:rFonts w:hint="eastAsia" w:ascii="宋体" w:hAnsi="宋体" w:eastAsia="宋体"/>
              <w:bCs/>
              <w:szCs w:val="24"/>
            </w:rPr>
            <w:t>（二）评判方法</w:t>
          </w:r>
          <w:r>
            <w:tab/>
          </w:r>
          <w:r>
            <w:fldChar w:fldCharType="begin"/>
          </w:r>
          <w:r>
            <w:instrText xml:space="preserve"> PAGEREF _Toc11750 \h </w:instrText>
          </w:r>
          <w:r>
            <w:fldChar w:fldCharType="separate"/>
          </w:r>
          <w:r>
            <w:t>6</w:t>
          </w:r>
          <w:r>
            <w:fldChar w:fldCharType="end"/>
          </w:r>
          <w:r>
            <w:rPr>
              <w:rFonts w:hint="eastAsia"/>
            </w:rPr>
            <w:fldChar w:fldCharType="end"/>
          </w:r>
        </w:p>
        <w:p w14:paraId="23DCDF33">
          <w:pPr>
            <w:pStyle w:val="25"/>
            <w:tabs>
              <w:tab w:val="right" w:leader="dot" w:pos="8306"/>
            </w:tabs>
          </w:pPr>
          <w:r>
            <w:rPr>
              <w:rFonts w:hint="eastAsia"/>
            </w:rPr>
            <w:fldChar w:fldCharType="begin"/>
          </w:r>
          <w:r>
            <w:rPr>
              <w:rFonts w:hint="eastAsia"/>
            </w:rPr>
            <w:instrText xml:space="preserve"> HYPERLINK \l _Toc21333 </w:instrText>
          </w:r>
          <w:r>
            <w:rPr>
              <w:rFonts w:hint="eastAsia"/>
            </w:rPr>
            <w:fldChar w:fldCharType="separate"/>
          </w:r>
          <w:r>
            <w:rPr>
              <w:rFonts w:hint="eastAsia" w:ascii="宋体" w:hAnsi="宋体" w:eastAsia="宋体"/>
              <w:bCs/>
              <w:szCs w:val="24"/>
            </w:rPr>
            <w:t>（三）成绩复核</w:t>
          </w:r>
          <w:r>
            <w:tab/>
          </w:r>
          <w:r>
            <w:fldChar w:fldCharType="begin"/>
          </w:r>
          <w:r>
            <w:instrText xml:space="preserve"> PAGEREF _Toc21333 \h </w:instrText>
          </w:r>
          <w:r>
            <w:fldChar w:fldCharType="separate"/>
          </w:r>
          <w:r>
            <w:t>6</w:t>
          </w:r>
          <w:r>
            <w:fldChar w:fldCharType="end"/>
          </w:r>
          <w:r>
            <w:rPr>
              <w:rFonts w:hint="eastAsia"/>
            </w:rPr>
            <w:fldChar w:fldCharType="end"/>
          </w:r>
        </w:p>
        <w:p w14:paraId="21D1E3BD">
          <w:pPr>
            <w:pStyle w:val="25"/>
            <w:tabs>
              <w:tab w:val="right" w:leader="dot" w:pos="8306"/>
            </w:tabs>
          </w:pPr>
          <w:r>
            <w:rPr>
              <w:rFonts w:hint="eastAsia"/>
            </w:rPr>
            <w:fldChar w:fldCharType="begin"/>
          </w:r>
          <w:r>
            <w:rPr>
              <w:rFonts w:hint="eastAsia"/>
            </w:rPr>
            <w:instrText xml:space="preserve"> HYPERLINK \l _Toc30357 </w:instrText>
          </w:r>
          <w:r>
            <w:rPr>
              <w:rFonts w:hint="eastAsia"/>
            </w:rPr>
            <w:fldChar w:fldCharType="separate"/>
          </w:r>
          <w:r>
            <w:rPr>
              <w:rFonts w:hint="eastAsia" w:ascii="宋体" w:hAnsi="宋体" w:eastAsia="宋体"/>
              <w:bCs/>
              <w:szCs w:val="24"/>
            </w:rPr>
            <w:t>（四）最终成绩</w:t>
          </w:r>
          <w:r>
            <w:tab/>
          </w:r>
          <w:r>
            <w:fldChar w:fldCharType="begin"/>
          </w:r>
          <w:r>
            <w:instrText xml:space="preserve"> PAGEREF _Toc30357 \h </w:instrText>
          </w:r>
          <w:r>
            <w:fldChar w:fldCharType="separate"/>
          </w:r>
          <w:r>
            <w:t>6</w:t>
          </w:r>
          <w:r>
            <w:fldChar w:fldCharType="end"/>
          </w:r>
          <w:r>
            <w:rPr>
              <w:rFonts w:hint="eastAsia"/>
            </w:rPr>
            <w:fldChar w:fldCharType="end"/>
          </w:r>
        </w:p>
        <w:p w14:paraId="2D1A3940">
          <w:pPr>
            <w:pStyle w:val="25"/>
            <w:tabs>
              <w:tab w:val="right" w:leader="dot" w:pos="8306"/>
            </w:tabs>
          </w:pPr>
          <w:r>
            <w:rPr>
              <w:rFonts w:hint="eastAsia"/>
            </w:rPr>
            <w:fldChar w:fldCharType="begin"/>
          </w:r>
          <w:r>
            <w:rPr>
              <w:rFonts w:hint="eastAsia"/>
            </w:rPr>
            <w:instrText xml:space="preserve"> HYPERLINK \l _Toc6618 </w:instrText>
          </w:r>
          <w:r>
            <w:rPr>
              <w:rFonts w:hint="eastAsia"/>
            </w:rPr>
            <w:fldChar w:fldCharType="separate"/>
          </w:r>
          <w:r>
            <w:rPr>
              <w:rFonts w:hint="eastAsia" w:ascii="宋体" w:hAnsi="宋体" w:eastAsia="宋体"/>
              <w:bCs/>
              <w:szCs w:val="24"/>
            </w:rPr>
            <w:t>（五）成绩排序</w:t>
          </w:r>
          <w:r>
            <w:tab/>
          </w:r>
          <w:r>
            <w:fldChar w:fldCharType="begin"/>
          </w:r>
          <w:r>
            <w:instrText xml:space="preserve"> PAGEREF _Toc6618 \h </w:instrText>
          </w:r>
          <w:r>
            <w:fldChar w:fldCharType="separate"/>
          </w:r>
          <w:r>
            <w:t>6</w:t>
          </w:r>
          <w:r>
            <w:fldChar w:fldCharType="end"/>
          </w:r>
          <w:r>
            <w:rPr>
              <w:rFonts w:hint="eastAsia"/>
            </w:rPr>
            <w:fldChar w:fldCharType="end"/>
          </w:r>
        </w:p>
        <w:p w14:paraId="7CB3E999">
          <w:pPr>
            <w:pStyle w:val="24"/>
            <w:tabs>
              <w:tab w:val="right" w:leader="dot" w:pos="8306"/>
            </w:tabs>
          </w:pPr>
          <w:r>
            <w:rPr>
              <w:rFonts w:hint="eastAsia"/>
            </w:rPr>
            <w:fldChar w:fldCharType="begin"/>
          </w:r>
          <w:r>
            <w:rPr>
              <w:rFonts w:hint="eastAsia"/>
            </w:rPr>
            <w:instrText xml:space="preserve"> HYPERLINK \l _Toc29928 </w:instrText>
          </w:r>
          <w:r>
            <w:rPr>
              <w:rFonts w:hint="eastAsia"/>
            </w:rPr>
            <w:fldChar w:fldCharType="separate"/>
          </w:r>
          <w:r>
            <w:rPr>
              <w:rFonts w:hint="eastAsia" w:ascii="宋体" w:hAnsi="宋体" w:eastAsia="宋体"/>
              <w:bCs/>
              <w:szCs w:val="24"/>
            </w:rPr>
            <w:t>四、大赛基础设施</w:t>
          </w:r>
          <w:r>
            <w:tab/>
          </w:r>
          <w:r>
            <w:fldChar w:fldCharType="begin"/>
          </w:r>
          <w:r>
            <w:instrText xml:space="preserve"> PAGEREF _Toc29928 \h </w:instrText>
          </w:r>
          <w:r>
            <w:fldChar w:fldCharType="separate"/>
          </w:r>
          <w:r>
            <w:t>6</w:t>
          </w:r>
          <w:r>
            <w:fldChar w:fldCharType="end"/>
          </w:r>
          <w:r>
            <w:rPr>
              <w:rFonts w:hint="eastAsia"/>
            </w:rPr>
            <w:fldChar w:fldCharType="end"/>
          </w:r>
        </w:p>
        <w:p w14:paraId="69E1B6E4">
          <w:pPr>
            <w:pStyle w:val="24"/>
            <w:tabs>
              <w:tab w:val="right" w:leader="dot" w:pos="8306"/>
            </w:tabs>
          </w:pPr>
          <w:r>
            <w:rPr>
              <w:rFonts w:hint="eastAsia"/>
            </w:rPr>
            <w:fldChar w:fldCharType="begin"/>
          </w:r>
          <w:r>
            <w:rPr>
              <w:rFonts w:hint="eastAsia"/>
            </w:rPr>
            <w:instrText xml:space="preserve"> HYPERLINK \l _Toc12059 </w:instrText>
          </w:r>
          <w:r>
            <w:rPr>
              <w:rFonts w:hint="eastAsia"/>
            </w:rPr>
            <w:fldChar w:fldCharType="separate"/>
          </w:r>
          <w:r>
            <w:rPr>
              <w:rFonts w:hint="eastAsia" w:ascii="宋体" w:hAnsi="宋体" w:eastAsia="宋体"/>
              <w:bCs/>
              <w:szCs w:val="24"/>
            </w:rPr>
            <w:t>五、大赛竞赛流程</w:t>
          </w:r>
          <w:r>
            <w:tab/>
          </w:r>
          <w:r>
            <w:fldChar w:fldCharType="begin"/>
          </w:r>
          <w:r>
            <w:instrText xml:space="preserve"> PAGEREF _Toc12059 \h </w:instrText>
          </w:r>
          <w:r>
            <w:fldChar w:fldCharType="separate"/>
          </w:r>
          <w:r>
            <w:t>7</w:t>
          </w:r>
          <w:r>
            <w:fldChar w:fldCharType="end"/>
          </w:r>
          <w:r>
            <w:rPr>
              <w:rFonts w:hint="eastAsia"/>
            </w:rPr>
            <w:fldChar w:fldCharType="end"/>
          </w:r>
        </w:p>
        <w:p w14:paraId="04604AF9">
          <w:pPr>
            <w:pStyle w:val="25"/>
            <w:tabs>
              <w:tab w:val="right" w:leader="dot" w:pos="8306"/>
            </w:tabs>
          </w:pPr>
          <w:r>
            <w:rPr>
              <w:rFonts w:hint="eastAsia"/>
            </w:rPr>
            <w:fldChar w:fldCharType="begin"/>
          </w:r>
          <w:r>
            <w:rPr>
              <w:rFonts w:hint="eastAsia"/>
            </w:rPr>
            <w:instrText xml:space="preserve"> HYPERLINK \l _Toc4652 </w:instrText>
          </w:r>
          <w:r>
            <w:rPr>
              <w:rFonts w:hint="eastAsia"/>
            </w:rPr>
            <w:fldChar w:fldCharType="separate"/>
          </w:r>
          <w:r>
            <w:rPr>
              <w:rFonts w:hint="eastAsia" w:ascii="宋体" w:hAnsi="宋体" w:eastAsia="宋体"/>
              <w:bCs/>
              <w:szCs w:val="24"/>
            </w:rPr>
            <w:t>（一）场次安排</w:t>
          </w:r>
          <w:r>
            <w:tab/>
          </w:r>
          <w:r>
            <w:fldChar w:fldCharType="begin"/>
          </w:r>
          <w:r>
            <w:instrText xml:space="preserve"> PAGEREF _Toc4652 \h </w:instrText>
          </w:r>
          <w:r>
            <w:fldChar w:fldCharType="separate"/>
          </w:r>
          <w:r>
            <w:t>7</w:t>
          </w:r>
          <w:r>
            <w:fldChar w:fldCharType="end"/>
          </w:r>
          <w:r>
            <w:rPr>
              <w:rFonts w:hint="eastAsia"/>
            </w:rPr>
            <w:fldChar w:fldCharType="end"/>
          </w:r>
        </w:p>
        <w:p w14:paraId="635B384B">
          <w:pPr>
            <w:pStyle w:val="25"/>
            <w:tabs>
              <w:tab w:val="right" w:leader="dot" w:pos="8306"/>
            </w:tabs>
          </w:pPr>
          <w:r>
            <w:rPr>
              <w:rFonts w:hint="eastAsia"/>
            </w:rPr>
            <w:fldChar w:fldCharType="begin"/>
          </w:r>
          <w:r>
            <w:rPr>
              <w:rFonts w:hint="eastAsia"/>
            </w:rPr>
            <w:instrText xml:space="preserve"> HYPERLINK \l _Toc13101 </w:instrText>
          </w:r>
          <w:r>
            <w:rPr>
              <w:rFonts w:hint="eastAsia"/>
            </w:rPr>
            <w:fldChar w:fldCharType="separate"/>
          </w:r>
          <w:r>
            <w:rPr>
              <w:rFonts w:hint="eastAsia" w:ascii="宋体" w:hAnsi="宋体" w:eastAsia="宋体"/>
              <w:bCs/>
              <w:szCs w:val="24"/>
            </w:rPr>
            <w:t>（二）场次和工位抽签</w:t>
          </w:r>
          <w:r>
            <w:tab/>
          </w:r>
          <w:r>
            <w:fldChar w:fldCharType="begin"/>
          </w:r>
          <w:r>
            <w:instrText xml:space="preserve"> PAGEREF _Toc13101 \h </w:instrText>
          </w:r>
          <w:r>
            <w:fldChar w:fldCharType="separate"/>
          </w:r>
          <w:r>
            <w:t>7</w:t>
          </w:r>
          <w:r>
            <w:fldChar w:fldCharType="end"/>
          </w:r>
          <w:r>
            <w:rPr>
              <w:rFonts w:hint="eastAsia"/>
            </w:rPr>
            <w:fldChar w:fldCharType="end"/>
          </w:r>
        </w:p>
        <w:p w14:paraId="6F406312">
          <w:pPr>
            <w:pStyle w:val="25"/>
            <w:tabs>
              <w:tab w:val="right" w:leader="dot" w:pos="8306"/>
            </w:tabs>
          </w:pPr>
          <w:r>
            <w:rPr>
              <w:rFonts w:hint="eastAsia"/>
            </w:rPr>
            <w:fldChar w:fldCharType="begin"/>
          </w:r>
          <w:r>
            <w:rPr>
              <w:rFonts w:hint="eastAsia"/>
            </w:rPr>
            <w:instrText xml:space="preserve"> HYPERLINK \l _Toc14139 </w:instrText>
          </w:r>
          <w:r>
            <w:rPr>
              <w:rFonts w:hint="eastAsia"/>
            </w:rPr>
            <w:fldChar w:fldCharType="separate"/>
          </w:r>
          <w:r>
            <w:rPr>
              <w:rFonts w:hint="eastAsia" w:ascii="宋体" w:hAnsi="宋体" w:eastAsia="宋体"/>
              <w:bCs/>
              <w:szCs w:val="24"/>
            </w:rPr>
            <w:t>（三）日程安排</w:t>
          </w:r>
          <w:r>
            <w:tab/>
          </w:r>
          <w:r>
            <w:fldChar w:fldCharType="begin"/>
          </w:r>
          <w:r>
            <w:instrText xml:space="preserve"> PAGEREF _Toc14139 \h </w:instrText>
          </w:r>
          <w:r>
            <w:fldChar w:fldCharType="separate"/>
          </w:r>
          <w:r>
            <w:t>7</w:t>
          </w:r>
          <w:r>
            <w:fldChar w:fldCharType="end"/>
          </w:r>
          <w:r>
            <w:rPr>
              <w:rFonts w:hint="eastAsia"/>
            </w:rPr>
            <w:fldChar w:fldCharType="end"/>
          </w:r>
        </w:p>
        <w:p w14:paraId="0886768B">
          <w:pPr>
            <w:pStyle w:val="24"/>
            <w:tabs>
              <w:tab w:val="right" w:leader="dot" w:pos="8306"/>
            </w:tabs>
          </w:pPr>
          <w:r>
            <w:rPr>
              <w:rFonts w:hint="eastAsia"/>
            </w:rPr>
            <w:fldChar w:fldCharType="begin"/>
          </w:r>
          <w:r>
            <w:rPr>
              <w:rFonts w:hint="eastAsia"/>
            </w:rPr>
            <w:instrText xml:space="preserve"> HYPERLINK \l _Toc25810 </w:instrText>
          </w:r>
          <w:r>
            <w:rPr>
              <w:rFonts w:hint="eastAsia"/>
            </w:rPr>
            <w:fldChar w:fldCharType="separate"/>
          </w:r>
          <w:r>
            <w:rPr>
              <w:rFonts w:hint="eastAsia" w:ascii="宋体" w:hAnsi="宋体" w:eastAsia="宋体"/>
              <w:bCs/>
              <w:szCs w:val="24"/>
            </w:rPr>
            <w:t>六、裁判员条件和工作内容</w:t>
          </w:r>
          <w:r>
            <w:tab/>
          </w:r>
          <w:r>
            <w:fldChar w:fldCharType="begin"/>
          </w:r>
          <w:r>
            <w:instrText xml:space="preserve"> PAGEREF _Toc25810 \h </w:instrText>
          </w:r>
          <w:r>
            <w:fldChar w:fldCharType="separate"/>
          </w:r>
          <w:r>
            <w:t>7</w:t>
          </w:r>
          <w:r>
            <w:fldChar w:fldCharType="end"/>
          </w:r>
          <w:r>
            <w:rPr>
              <w:rFonts w:hint="eastAsia"/>
            </w:rPr>
            <w:fldChar w:fldCharType="end"/>
          </w:r>
        </w:p>
        <w:p w14:paraId="7372AD0D">
          <w:pPr>
            <w:pStyle w:val="25"/>
            <w:tabs>
              <w:tab w:val="right" w:leader="dot" w:pos="8306"/>
            </w:tabs>
          </w:pPr>
          <w:r>
            <w:rPr>
              <w:rFonts w:hint="eastAsia"/>
            </w:rPr>
            <w:fldChar w:fldCharType="begin"/>
          </w:r>
          <w:r>
            <w:rPr>
              <w:rFonts w:hint="eastAsia"/>
            </w:rPr>
            <w:instrText xml:space="preserve"> HYPERLINK \l _Toc8692 </w:instrText>
          </w:r>
          <w:r>
            <w:rPr>
              <w:rFonts w:hint="eastAsia"/>
            </w:rPr>
            <w:fldChar w:fldCharType="separate"/>
          </w:r>
          <w:r>
            <w:rPr>
              <w:rFonts w:hint="eastAsia" w:ascii="宋体" w:hAnsi="宋体" w:eastAsia="宋体"/>
              <w:bCs/>
              <w:szCs w:val="24"/>
            </w:rPr>
            <w:t>（一）裁判长</w:t>
          </w:r>
          <w:r>
            <w:tab/>
          </w:r>
          <w:r>
            <w:fldChar w:fldCharType="begin"/>
          </w:r>
          <w:r>
            <w:instrText xml:space="preserve"> PAGEREF _Toc8692 \h </w:instrText>
          </w:r>
          <w:r>
            <w:fldChar w:fldCharType="separate"/>
          </w:r>
          <w:r>
            <w:t>7</w:t>
          </w:r>
          <w:r>
            <w:fldChar w:fldCharType="end"/>
          </w:r>
          <w:r>
            <w:rPr>
              <w:rFonts w:hint="eastAsia"/>
            </w:rPr>
            <w:fldChar w:fldCharType="end"/>
          </w:r>
        </w:p>
        <w:p w14:paraId="0F1E6A67">
          <w:pPr>
            <w:pStyle w:val="25"/>
            <w:tabs>
              <w:tab w:val="right" w:leader="dot" w:pos="8306"/>
            </w:tabs>
          </w:pPr>
          <w:r>
            <w:rPr>
              <w:rFonts w:hint="eastAsia"/>
            </w:rPr>
            <w:fldChar w:fldCharType="begin"/>
          </w:r>
          <w:r>
            <w:rPr>
              <w:rFonts w:hint="eastAsia"/>
            </w:rPr>
            <w:instrText xml:space="preserve"> HYPERLINK \l _Toc32587 </w:instrText>
          </w:r>
          <w:r>
            <w:rPr>
              <w:rFonts w:hint="eastAsia"/>
            </w:rPr>
            <w:fldChar w:fldCharType="separate"/>
          </w:r>
          <w:r>
            <w:rPr>
              <w:rFonts w:hint="eastAsia" w:ascii="宋体" w:hAnsi="宋体" w:eastAsia="宋体"/>
              <w:bCs/>
              <w:szCs w:val="24"/>
            </w:rPr>
            <w:t>（二）裁判员的条件和组成</w:t>
          </w:r>
          <w:r>
            <w:tab/>
          </w:r>
          <w:r>
            <w:fldChar w:fldCharType="begin"/>
          </w:r>
          <w:r>
            <w:instrText xml:space="preserve"> PAGEREF _Toc32587 \h </w:instrText>
          </w:r>
          <w:r>
            <w:fldChar w:fldCharType="separate"/>
          </w:r>
          <w:r>
            <w:t>7</w:t>
          </w:r>
          <w:r>
            <w:fldChar w:fldCharType="end"/>
          </w:r>
          <w:r>
            <w:rPr>
              <w:rFonts w:hint="eastAsia"/>
            </w:rPr>
            <w:fldChar w:fldCharType="end"/>
          </w:r>
        </w:p>
        <w:p w14:paraId="4DD403BC">
          <w:pPr>
            <w:pStyle w:val="25"/>
            <w:tabs>
              <w:tab w:val="right" w:leader="dot" w:pos="8306"/>
            </w:tabs>
          </w:pPr>
          <w:r>
            <w:rPr>
              <w:rFonts w:hint="eastAsia"/>
            </w:rPr>
            <w:fldChar w:fldCharType="begin"/>
          </w:r>
          <w:r>
            <w:rPr>
              <w:rFonts w:hint="eastAsia"/>
            </w:rPr>
            <w:instrText xml:space="preserve"> HYPERLINK \l _Toc13762 </w:instrText>
          </w:r>
          <w:r>
            <w:rPr>
              <w:rFonts w:hint="eastAsia"/>
            </w:rPr>
            <w:fldChar w:fldCharType="separate"/>
          </w:r>
          <w:r>
            <w:rPr>
              <w:rFonts w:hint="eastAsia" w:ascii="宋体" w:hAnsi="宋体" w:eastAsia="宋体"/>
              <w:bCs/>
              <w:szCs w:val="24"/>
            </w:rPr>
            <w:t>（三）裁判员的工作内容</w:t>
          </w:r>
          <w:r>
            <w:tab/>
          </w:r>
          <w:r>
            <w:fldChar w:fldCharType="begin"/>
          </w:r>
          <w:r>
            <w:instrText xml:space="preserve"> PAGEREF _Toc13762 \h </w:instrText>
          </w:r>
          <w:r>
            <w:fldChar w:fldCharType="separate"/>
          </w:r>
          <w:r>
            <w:t>8</w:t>
          </w:r>
          <w:r>
            <w:fldChar w:fldCharType="end"/>
          </w:r>
          <w:r>
            <w:rPr>
              <w:rFonts w:hint="eastAsia"/>
            </w:rPr>
            <w:fldChar w:fldCharType="end"/>
          </w:r>
        </w:p>
        <w:p w14:paraId="60C437C6">
          <w:pPr>
            <w:pStyle w:val="25"/>
            <w:tabs>
              <w:tab w:val="right" w:leader="dot" w:pos="8306"/>
            </w:tabs>
          </w:pPr>
          <w:r>
            <w:rPr>
              <w:rFonts w:hint="eastAsia"/>
            </w:rPr>
            <w:fldChar w:fldCharType="begin"/>
          </w:r>
          <w:r>
            <w:rPr>
              <w:rFonts w:hint="eastAsia"/>
            </w:rPr>
            <w:instrText xml:space="preserve"> HYPERLINK \l _Toc26637 </w:instrText>
          </w:r>
          <w:r>
            <w:rPr>
              <w:rFonts w:hint="eastAsia"/>
            </w:rPr>
            <w:fldChar w:fldCharType="separate"/>
          </w:r>
          <w:r>
            <w:rPr>
              <w:rFonts w:hint="eastAsia" w:ascii="宋体" w:hAnsi="宋体" w:eastAsia="宋体"/>
              <w:bCs/>
              <w:szCs w:val="24"/>
            </w:rPr>
            <w:t>（四）裁判员在评判工作中的任务</w:t>
          </w:r>
          <w:r>
            <w:tab/>
          </w:r>
          <w:r>
            <w:fldChar w:fldCharType="begin"/>
          </w:r>
          <w:r>
            <w:instrText xml:space="preserve"> PAGEREF _Toc26637 \h </w:instrText>
          </w:r>
          <w:r>
            <w:fldChar w:fldCharType="separate"/>
          </w:r>
          <w:r>
            <w:t>9</w:t>
          </w:r>
          <w:r>
            <w:fldChar w:fldCharType="end"/>
          </w:r>
          <w:r>
            <w:rPr>
              <w:rFonts w:hint="eastAsia"/>
            </w:rPr>
            <w:fldChar w:fldCharType="end"/>
          </w:r>
        </w:p>
        <w:p w14:paraId="01033C42">
          <w:pPr>
            <w:pStyle w:val="25"/>
            <w:tabs>
              <w:tab w:val="right" w:leader="dot" w:pos="8306"/>
            </w:tabs>
          </w:pPr>
          <w:r>
            <w:rPr>
              <w:rFonts w:hint="eastAsia"/>
            </w:rPr>
            <w:fldChar w:fldCharType="begin"/>
          </w:r>
          <w:r>
            <w:rPr>
              <w:rFonts w:hint="eastAsia"/>
            </w:rPr>
            <w:instrText xml:space="preserve"> HYPERLINK \l _Toc17365 </w:instrText>
          </w:r>
          <w:r>
            <w:rPr>
              <w:rFonts w:hint="eastAsia"/>
            </w:rPr>
            <w:fldChar w:fldCharType="separate"/>
          </w:r>
          <w:r>
            <w:rPr>
              <w:rFonts w:hint="eastAsia" w:ascii="宋体" w:hAnsi="宋体" w:eastAsia="宋体"/>
              <w:bCs/>
              <w:szCs w:val="24"/>
            </w:rPr>
            <w:t>（五）裁判员在评判中的纪律和要求</w:t>
          </w:r>
          <w:r>
            <w:tab/>
          </w:r>
          <w:r>
            <w:fldChar w:fldCharType="begin"/>
          </w:r>
          <w:r>
            <w:instrText xml:space="preserve"> PAGEREF _Toc17365 \h </w:instrText>
          </w:r>
          <w:r>
            <w:fldChar w:fldCharType="separate"/>
          </w:r>
          <w:r>
            <w:t>9</w:t>
          </w:r>
          <w:r>
            <w:fldChar w:fldCharType="end"/>
          </w:r>
          <w:r>
            <w:rPr>
              <w:rFonts w:hint="eastAsia"/>
            </w:rPr>
            <w:fldChar w:fldCharType="end"/>
          </w:r>
        </w:p>
        <w:p w14:paraId="040FA9C7">
          <w:pPr>
            <w:pStyle w:val="24"/>
            <w:tabs>
              <w:tab w:val="right" w:leader="dot" w:pos="8306"/>
            </w:tabs>
          </w:pPr>
          <w:r>
            <w:rPr>
              <w:rFonts w:hint="eastAsia"/>
            </w:rPr>
            <w:fldChar w:fldCharType="begin"/>
          </w:r>
          <w:r>
            <w:rPr>
              <w:rFonts w:hint="eastAsia"/>
            </w:rPr>
            <w:instrText xml:space="preserve"> HYPERLINK \l _Toc30985 </w:instrText>
          </w:r>
          <w:r>
            <w:rPr>
              <w:rFonts w:hint="eastAsia"/>
            </w:rPr>
            <w:fldChar w:fldCharType="separate"/>
          </w:r>
          <w:r>
            <w:rPr>
              <w:rFonts w:hint="eastAsia" w:ascii="宋体" w:hAnsi="宋体" w:eastAsia="宋体"/>
              <w:bCs/>
              <w:szCs w:val="24"/>
            </w:rPr>
            <w:t>七、选手的条件和工作内容</w:t>
          </w:r>
          <w:r>
            <w:tab/>
          </w:r>
          <w:r>
            <w:fldChar w:fldCharType="begin"/>
          </w:r>
          <w:r>
            <w:instrText xml:space="preserve"> PAGEREF _Toc30985 \h </w:instrText>
          </w:r>
          <w:r>
            <w:fldChar w:fldCharType="separate"/>
          </w:r>
          <w:r>
            <w:t>10</w:t>
          </w:r>
          <w:r>
            <w:fldChar w:fldCharType="end"/>
          </w:r>
          <w:r>
            <w:rPr>
              <w:rFonts w:hint="eastAsia"/>
            </w:rPr>
            <w:fldChar w:fldCharType="end"/>
          </w:r>
        </w:p>
        <w:p w14:paraId="08E6000E">
          <w:pPr>
            <w:pStyle w:val="24"/>
            <w:tabs>
              <w:tab w:val="right" w:leader="dot" w:pos="8306"/>
            </w:tabs>
          </w:pPr>
          <w:r>
            <w:rPr>
              <w:rFonts w:hint="eastAsia"/>
            </w:rPr>
            <w:fldChar w:fldCharType="begin"/>
          </w:r>
          <w:r>
            <w:rPr>
              <w:rFonts w:hint="eastAsia"/>
            </w:rPr>
            <w:instrText xml:space="preserve"> HYPERLINK \l _Toc22442 </w:instrText>
          </w:r>
          <w:r>
            <w:rPr>
              <w:rFonts w:hint="eastAsia"/>
            </w:rPr>
            <w:fldChar w:fldCharType="separate"/>
          </w:r>
          <w:r>
            <w:rPr>
              <w:rFonts w:hint="eastAsia" w:ascii="宋体" w:hAnsi="宋体" w:eastAsia="宋体"/>
              <w:bCs/>
              <w:szCs w:val="24"/>
            </w:rPr>
            <w:t>八、竞赛场地要求</w:t>
          </w:r>
          <w:r>
            <w:tab/>
          </w:r>
          <w:r>
            <w:fldChar w:fldCharType="begin"/>
          </w:r>
          <w:r>
            <w:instrText xml:space="preserve"> PAGEREF _Toc22442 \h </w:instrText>
          </w:r>
          <w:r>
            <w:fldChar w:fldCharType="separate"/>
          </w:r>
          <w:r>
            <w:t>12</w:t>
          </w:r>
          <w:r>
            <w:fldChar w:fldCharType="end"/>
          </w:r>
          <w:r>
            <w:rPr>
              <w:rFonts w:hint="eastAsia"/>
            </w:rPr>
            <w:fldChar w:fldCharType="end"/>
          </w:r>
        </w:p>
        <w:p w14:paraId="41EC2129">
          <w:pPr>
            <w:pStyle w:val="25"/>
            <w:tabs>
              <w:tab w:val="right" w:leader="dot" w:pos="8306"/>
            </w:tabs>
          </w:pPr>
          <w:r>
            <w:rPr>
              <w:rFonts w:hint="eastAsia"/>
            </w:rPr>
            <w:fldChar w:fldCharType="begin"/>
          </w:r>
          <w:r>
            <w:rPr>
              <w:rFonts w:hint="eastAsia"/>
            </w:rPr>
            <w:instrText xml:space="preserve"> HYPERLINK \l _Toc10301 </w:instrText>
          </w:r>
          <w:r>
            <w:rPr>
              <w:rFonts w:hint="eastAsia"/>
            </w:rPr>
            <w:fldChar w:fldCharType="separate"/>
          </w:r>
          <w:r>
            <w:rPr>
              <w:rFonts w:hint="eastAsia" w:ascii="宋体" w:hAnsi="宋体" w:eastAsia="宋体"/>
              <w:bCs/>
              <w:szCs w:val="24"/>
            </w:rPr>
            <w:t>（一）场地面积要求</w:t>
          </w:r>
          <w:r>
            <w:tab/>
          </w:r>
          <w:r>
            <w:fldChar w:fldCharType="begin"/>
          </w:r>
          <w:r>
            <w:instrText xml:space="preserve"> PAGEREF _Toc10301 \h </w:instrText>
          </w:r>
          <w:r>
            <w:fldChar w:fldCharType="separate"/>
          </w:r>
          <w:r>
            <w:t>12</w:t>
          </w:r>
          <w:r>
            <w:fldChar w:fldCharType="end"/>
          </w:r>
          <w:r>
            <w:rPr>
              <w:rFonts w:hint="eastAsia"/>
            </w:rPr>
            <w:fldChar w:fldCharType="end"/>
          </w:r>
        </w:p>
        <w:p w14:paraId="5D80A252">
          <w:pPr>
            <w:pStyle w:val="25"/>
            <w:tabs>
              <w:tab w:val="right" w:leader="dot" w:pos="8306"/>
            </w:tabs>
          </w:pPr>
          <w:r>
            <w:rPr>
              <w:rFonts w:hint="eastAsia"/>
            </w:rPr>
            <w:fldChar w:fldCharType="begin"/>
          </w:r>
          <w:r>
            <w:rPr>
              <w:rFonts w:hint="eastAsia"/>
            </w:rPr>
            <w:instrText xml:space="preserve"> HYPERLINK \l _Toc16250 </w:instrText>
          </w:r>
          <w:r>
            <w:rPr>
              <w:rFonts w:hint="eastAsia"/>
            </w:rPr>
            <w:fldChar w:fldCharType="separate"/>
          </w:r>
          <w:r>
            <w:rPr>
              <w:rFonts w:hint="eastAsia" w:ascii="宋体" w:hAnsi="宋体" w:eastAsia="宋体"/>
              <w:bCs/>
              <w:szCs w:val="24"/>
            </w:rPr>
            <w:t>（二）场地照明要求</w:t>
          </w:r>
          <w:r>
            <w:tab/>
          </w:r>
          <w:r>
            <w:fldChar w:fldCharType="begin"/>
          </w:r>
          <w:r>
            <w:instrText xml:space="preserve"> PAGEREF _Toc16250 \h </w:instrText>
          </w:r>
          <w:r>
            <w:fldChar w:fldCharType="separate"/>
          </w:r>
          <w:r>
            <w:t>13</w:t>
          </w:r>
          <w:r>
            <w:fldChar w:fldCharType="end"/>
          </w:r>
          <w:r>
            <w:rPr>
              <w:rFonts w:hint="eastAsia"/>
            </w:rPr>
            <w:fldChar w:fldCharType="end"/>
          </w:r>
        </w:p>
        <w:p w14:paraId="635AFCF8">
          <w:pPr>
            <w:pStyle w:val="25"/>
            <w:tabs>
              <w:tab w:val="right" w:leader="dot" w:pos="8306"/>
            </w:tabs>
          </w:pPr>
          <w:r>
            <w:rPr>
              <w:rFonts w:hint="eastAsia"/>
            </w:rPr>
            <w:fldChar w:fldCharType="begin"/>
          </w:r>
          <w:r>
            <w:rPr>
              <w:rFonts w:hint="eastAsia"/>
            </w:rPr>
            <w:instrText xml:space="preserve"> HYPERLINK \l _Toc12371 </w:instrText>
          </w:r>
          <w:r>
            <w:rPr>
              <w:rFonts w:hint="eastAsia"/>
            </w:rPr>
            <w:fldChar w:fldCharType="separate"/>
          </w:r>
          <w:r>
            <w:rPr>
              <w:rFonts w:hint="eastAsia" w:ascii="宋体" w:hAnsi="宋体" w:eastAsia="宋体"/>
              <w:bCs/>
              <w:szCs w:val="24"/>
            </w:rPr>
            <w:t>（三）场地消防和逃生要求</w:t>
          </w:r>
          <w:r>
            <w:tab/>
          </w:r>
          <w:r>
            <w:fldChar w:fldCharType="begin"/>
          </w:r>
          <w:r>
            <w:instrText xml:space="preserve"> PAGEREF _Toc12371 \h </w:instrText>
          </w:r>
          <w:r>
            <w:fldChar w:fldCharType="separate"/>
          </w:r>
          <w:r>
            <w:t>13</w:t>
          </w:r>
          <w:r>
            <w:fldChar w:fldCharType="end"/>
          </w:r>
          <w:r>
            <w:rPr>
              <w:rFonts w:hint="eastAsia"/>
            </w:rPr>
            <w:fldChar w:fldCharType="end"/>
          </w:r>
        </w:p>
        <w:p w14:paraId="35BB8E1C">
          <w:pPr>
            <w:pStyle w:val="24"/>
            <w:tabs>
              <w:tab w:val="right" w:leader="dot" w:pos="8306"/>
            </w:tabs>
          </w:pPr>
          <w:r>
            <w:rPr>
              <w:rFonts w:hint="eastAsia"/>
            </w:rPr>
            <w:fldChar w:fldCharType="begin"/>
          </w:r>
          <w:r>
            <w:rPr>
              <w:rFonts w:hint="eastAsia"/>
            </w:rPr>
            <w:instrText xml:space="preserve"> HYPERLINK \l _Toc1361 </w:instrText>
          </w:r>
          <w:r>
            <w:rPr>
              <w:rFonts w:hint="eastAsia"/>
            </w:rPr>
            <w:fldChar w:fldCharType="separate"/>
          </w:r>
          <w:r>
            <w:rPr>
              <w:rFonts w:hint="eastAsia" w:ascii="宋体" w:hAnsi="宋体" w:eastAsia="宋体"/>
              <w:bCs/>
              <w:szCs w:val="24"/>
            </w:rPr>
            <w:t>九、竞赛安全要求</w:t>
          </w:r>
          <w:r>
            <w:tab/>
          </w:r>
          <w:r>
            <w:fldChar w:fldCharType="begin"/>
          </w:r>
          <w:r>
            <w:instrText xml:space="preserve"> PAGEREF _Toc1361 \h </w:instrText>
          </w:r>
          <w:r>
            <w:fldChar w:fldCharType="separate"/>
          </w:r>
          <w:r>
            <w:t>13</w:t>
          </w:r>
          <w:r>
            <w:fldChar w:fldCharType="end"/>
          </w:r>
          <w:r>
            <w:rPr>
              <w:rFonts w:hint="eastAsia"/>
            </w:rPr>
            <w:fldChar w:fldCharType="end"/>
          </w:r>
        </w:p>
        <w:p w14:paraId="5471FD6C">
          <w:pPr>
            <w:pStyle w:val="24"/>
            <w:tabs>
              <w:tab w:val="right" w:leader="dot" w:pos="8306"/>
            </w:tabs>
          </w:pPr>
          <w:r>
            <w:rPr>
              <w:rFonts w:hint="eastAsia"/>
            </w:rPr>
            <w:fldChar w:fldCharType="begin"/>
          </w:r>
          <w:r>
            <w:rPr>
              <w:rFonts w:hint="eastAsia"/>
            </w:rPr>
            <w:instrText xml:space="preserve"> HYPERLINK \l _Toc24420 </w:instrText>
          </w:r>
          <w:r>
            <w:rPr>
              <w:rFonts w:hint="eastAsia"/>
            </w:rPr>
            <w:fldChar w:fldCharType="separate"/>
          </w:r>
          <w:r>
            <w:rPr>
              <w:rFonts w:hint="eastAsia" w:ascii="宋体" w:hAnsi="宋体" w:eastAsia="宋体"/>
              <w:bCs/>
              <w:szCs w:val="24"/>
            </w:rPr>
            <w:t>十、竞赛须知</w:t>
          </w:r>
          <w:r>
            <w:tab/>
          </w:r>
          <w:r>
            <w:fldChar w:fldCharType="begin"/>
          </w:r>
          <w:r>
            <w:instrText xml:space="preserve"> PAGEREF _Toc24420 \h </w:instrText>
          </w:r>
          <w:r>
            <w:fldChar w:fldCharType="separate"/>
          </w:r>
          <w:r>
            <w:t>15</w:t>
          </w:r>
          <w:r>
            <w:fldChar w:fldCharType="end"/>
          </w:r>
          <w:r>
            <w:rPr>
              <w:rFonts w:hint="eastAsia"/>
            </w:rPr>
            <w:fldChar w:fldCharType="end"/>
          </w:r>
        </w:p>
        <w:p w14:paraId="7CD67C71">
          <w:pPr>
            <w:pStyle w:val="24"/>
            <w:tabs>
              <w:tab w:val="right" w:leader="dot" w:pos="8306"/>
            </w:tabs>
          </w:pPr>
          <w:r>
            <w:rPr>
              <w:rFonts w:hint="eastAsia"/>
            </w:rPr>
            <w:fldChar w:fldCharType="begin"/>
          </w:r>
          <w:r>
            <w:rPr>
              <w:rFonts w:hint="eastAsia"/>
            </w:rPr>
            <w:instrText xml:space="preserve"> HYPERLINK \l _Toc19242 </w:instrText>
          </w:r>
          <w:r>
            <w:rPr>
              <w:rFonts w:hint="eastAsia"/>
            </w:rPr>
            <w:fldChar w:fldCharType="separate"/>
          </w:r>
          <w:r>
            <w:rPr>
              <w:rFonts w:hint="eastAsia" w:ascii="宋体" w:hAnsi="宋体" w:eastAsia="宋体"/>
              <w:bCs/>
              <w:szCs w:val="24"/>
            </w:rPr>
            <w:t>十一、申诉与仲裁</w:t>
          </w:r>
          <w:r>
            <w:tab/>
          </w:r>
          <w:r>
            <w:fldChar w:fldCharType="begin"/>
          </w:r>
          <w:r>
            <w:instrText xml:space="preserve"> PAGEREF _Toc19242 \h </w:instrText>
          </w:r>
          <w:r>
            <w:fldChar w:fldCharType="separate"/>
          </w:r>
          <w:r>
            <w:t>19</w:t>
          </w:r>
          <w:r>
            <w:fldChar w:fldCharType="end"/>
          </w:r>
          <w:r>
            <w:rPr>
              <w:rFonts w:hint="eastAsia"/>
            </w:rPr>
            <w:fldChar w:fldCharType="end"/>
          </w:r>
        </w:p>
        <w:p w14:paraId="01255918">
          <w:pPr>
            <w:pStyle w:val="24"/>
            <w:tabs>
              <w:tab w:val="right" w:leader="dot" w:pos="8306"/>
            </w:tabs>
          </w:pPr>
          <w:r>
            <w:rPr>
              <w:rFonts w:hint="eastAsia"/>
            </w:rPr>
            <w:fldChar w:fldCharType="begin"/>
          </w:r>
          <w:r>
            <w:rPr>
              <w:rFonts w:hint="eastAsia"/>
            </w:rPr>
            <w:instrText xml:space="preserve"> HYPERLINK \l _Toc21288 </w:instrText>
          </w:r>
          <w:r>
            <w:rPr>
              <w:rFonts w:hint="eastAsia"/>
            </w:rPr>
            <w:fldChar w:fldCharType="separate"/>
          </w:r>
          <w:r>
            <w:rPr>
              <w:rFonts w:hint="eastAsia" w:ascii="宋体" w:hAnsi="宋体" w:eastAsia="宋体"/>
              <w:bCs/>
              <w:szCs w:val="24"/>
            </w:rPr>
            <w:t>十二、开放现场的要求</w:t>
          </w:r>
          <w:r>
            <w:tab/>
          </w:r>
          <w:r>
            <w:fldChar w:fldCharType="begin"/>
          </w:r>
          <w:r>
            <w:instrText xml:space="preserve"> PAGEREF _Toc21288 \h </w:instrText>
          </w:r>
          <w:r>
            <w:fldChar w:fldCharType="separate"/>
          </w:r>
          <w:r>
            <w:t>19</w:t>
          </w:r>
          <w:r>
            <w:fldChar w:fldCharType="end"/>
          </w:r>
          <w:r>
            <w:rPr>
              <w:rFonts w:hint="eastAsia"/>
            </w:rPr>
            <w:fldChar w:fldCharType="end"/>
          </w:r>
        </w:p>
        <w:p w14:paraId="7932CE1F">
          <w:pPr>
            <w:pStyle w:val="24"/>
            <w:tabs>
              <w:tab w:val="right" w:leader="dot" w:pos="8306"/>
            </w:tabs>
          </w:pPr>
          <w:r>
            <w:rPr>
              <w:rFonts w:hint="eastAsia"/>
            </w:rPr>
            <w:fldChar w:fldCharType="begin"/>
          </w:r>
          <w:r>
            <w:rPr>
              <w:rFonts w:hint="eastAsia"/>
            </w:rPr>
            <w:instrText xml:space="preserve"> HYPERLINK \l _Toc26747 </w:instrText>
          </w:r>
          <w:r>
            <w:rPr>
              <w:rFonts w:hint="eastAsia"/>
            </w:rPr>
            <w:fldChar w:fldCharType="separate"/>
          </w:r>
          <w:r>
            <w:rPr>
              <w:rFonts w:hint="eastAsia" w:ascii="宋体" w:hAnsi="宋体" w:eastAsia="宋体"/>
              <w:bCs/>
              <w:szCs w:val="24"/>
            </w:rPr>
            <w:t>十三、绿色环保</w:t>
          </w:r>
          <w:r>
            <w:tab/>
          </w:r>
          <w:r>
            <w:fldChar w:fldCharType="begin"/>
          </w:r>
          <w:r>
            <w:instrText xml:space="preserve"> PAGEREF _Toc26747 \h </w:instrText>
          </w:r>
          <w:r>
            <w:fldChar w:fldCharType="separate"/>
          </w:r>
          <w:r>
            <w:t>19</w:t>
          </w:r>
          <w:r>
            <w:fldChar w:fldCharType="end"/>
          </w:r>
          <w:r>
            <w:rPr>
              <w:rFonts w:hint="eastAsia"/>
            </w:rPr>
            <w:fldChar w:fldCharType="end"/>
          </w:r>
        </w:p>
        <w:p w14:paraId="6060B0AD">
          <w:pPr>
            <w:pStyle w:val="26"/>
            <w:tabs>
              <w:tab w:val="right" w:leader="dot" w:pos="8306"/>
            </w:tabs>
          </w:pPr>
          <w:r>
            <w:rPr>
              <w:rFonts w:hint="eastAsia"/>
            </w:rPr>
            <w:fldChar w:fldCharType="begin"/>
          </w:r>
          <w:r>
            <w:rPr>
              <w:rFonts w:hint="eastAsia"/>
            </w:rPr>
            <w:instrText xml:space="preserve"> HYPERLINK \l _Toc3162 </w:instrText>
          </w:r>
          <w:r>
            <w:rPr>
              <w:rFonts w:hint="eastAsia"/>
            </w:rPr>
            <w:fldChar w:fldCharType="separate"/>
          </w:r>
          <w:r>
            <w:rPr>
              <w:rFonts w:hint="eastAsia" w:ascii="宋体" w:hAnsi="宋体" w:eastAsia="宋体" w:cstheme="minorBidi"/>
              <w:bCs/>
              <w:sz w:val="20"/>
              <w:szCs w:val="24"/>
            </w:rPr>
            <w:t>选手作业单</w:t>
          </w:r>
          <w:r>
            <w:tab/>
          </w:r>
          <w:r>
            <w:fldChar w:fldCharType="begin"/>
          </w:r>
          <w:r>
            <w:instrText xml:space="preserve"> PAGEREF _Toc3162 \h </w:instrText>
          </w:r>
          <w:r>
            <w:fldChar w:fldCharType="separate"/>
          </w:r>
          <w:r>
            <w:t>20</w:t>
          </w:r>
          <w:r>
            <w:fldChar w:fldCharType="end"/>
          </w:r>
          <w:r>
            <w:rPr>
              <w:rFonts w:hint="eastAsia"/>
            </w:rPr>
            <w:fldChar w:fldCharType="end"/>
          </w:r>
        </w:p>
        <w:p w14:paraId="5D31ABEA">
          <w:pPr>
            <w:pStyle w:val="2"/>
            <w:rPr>
              <w:rFonts w:hint="eastAsia" w:asciiTheme="minorHAnsi" w:hAnsiTheme="minorHAnsi" w:eastAsiaTheme="minorEastAsia" w:cstheme="minorBidi"/>
              <w:kern w:val="2"/>
              <w:sz w:val="18"/>
              <w:szCs w:val="18"/>
              <w:lang w:val="en-US" w:eastAsia="zh-CN" w:bidi="ar-SA"/>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rPr>
            <w:fldChar w:fldCharType="end"/>
          </w:r>
        </w:p>
      </w:sdtContent>
    </w:sdt>
    <w:p w14:paraId="5905012D">
      <w:pPr>
        <w:spacing w:line="360" w:lineRule="auto"/>
        <w:ind w:firstLine="241" w:firstLineChars="100"/>
        <w:outlineLvl w:val="0"/>
        <w:rPr>
          <w:rFonts w:hint="eastAsia" w:ascii="宋体" w:hAnsi="宋体" w:eastAsia="宋体"/>
          <w:b/>
          <w:bCs/>
          <w:sz w:val="24"/>
          <w:szCs w:val="24"/>
        </w:rPr>
      </w:pPr>
      <w:bookmarkStart w:id="13" w:name="_Toc25387"/>
      <w:r>
        <w:rPr>
          <w:rFonts w:hint="eastAsia" w:ascii="宋体" w:hAnsi="宋体" w:eastAsia="宋体"/>
          <w:b/>
          <w:bCs/>
          <w:sz w:val="24"/>
          <w:szCs w:val="24"/>
        </w:rPr>
        <w:t>一、项目描述</w:t>
      </w:r>
      <w:bookmarkEnd w:id="13"/>
    </w:p>
    <w:p w14:paraId="32A8DEDD">
      <w:pPr>
        <w:spacing w:line="360" w:lineRule="auto"/>
        <w:ind w:firstLine="482" w:firstLineChars="200"/>
        <w:outlineLvl w:val="1"/>
        <w:rPr>
          <w:rFonts w:hint="eastAsia" w:ascii="宋体" w:hAnsi="宋体" w:eastAsia="宋体"/>
          <w:b/>
          <w:bCs/>
          <w:sz w:val="24"/>
          <w:szCs w:val="24"/>
        </w:rPr>
      </w:pPr>
      <w:bookmarkStart w:id="14" w:name="_Toc16757"/>
      <w:r>
        <w:rPr>
          <w:rFonts w:hint="eastAsia" w:ascii="宋体" w:hAnsi="宋体" w:eastAsia="宋体"/>
          <w:b/>
          <w:bCs/>
          <w:sz w:val="24"/>
          <w:szCs w:val="24"/>
        </w:rPr>
        <w:t>（一）技术基本描述</w:t>
      </w:r>
      <w:bookmarkEnd w:id="14"/>
    </w:p>
    <w:p w14:paraId="47881A6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本赛项有理论知识竞赛和实操竞赛组成，实操竞赛包括：</w:t>
      </w:r>
      <w:r>
        <w:rPr>
          <w:rFonts w:hint="eastAsia" w:ascii="宋体" w:hAnsi="宋体" w:eastAsia="宋体"/>
          <w:b/>
          <w:bCs/>
          <w:sz w:val="24"/>
          <w:szCs w:val="24"/>
        </w:rPr>
        <w:t>“动力蓄电池系统安装与调试”和“电控系统检测与排故”</w:t>
      </w:r>
      <w:r>
        <w:rPr>
          <w:rFonts w:hint="eastAsia" w:ascii="宋体" w:hAnsi="宋体" w:eastAsia="宋体"/>
          <w:sz w:val="24"/>
          <w:szCs w:val="24"/>
        </w:rPr>
        <w:t>等两个竞赛任务，全面考察选手的理论知识、动力蓄电池系统安装与调试和电控系统检测与排故等知识与技能。重点考察选手对新能源汽车动力电池系统缺陷检查与修复、电控系统工作原理、控制逻辑理解应用的能力。本赛项在组队方式上，分为职工组(含教师）和学生组，各组别均为双人组队参赛。</w:t>
      </w:r>
    </w:p>
    <w:p w14:paraId="23C22DF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理论知识比赛环节的竞赛要点如下：</w:t>
      </w:r>
    </w:p>
    <w:p w14:paraId="51D7A2C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任务主要考察选手：汽车维修行业职业道德规范、汽车基础电路、电工电子、汽车仪表指示灯、汽车控制器基础、电力电子、电源转换、永磁同步电机的控制、高压配电、汽车基础电路、汽车控制器基础、新能源汽车充电等知识。</w:t>
      </w:r>
    </w:p>
    <w:p w14:paraId="6399B080">
      <w:pPr>
        <w:spacing w:line="360" w:lineRule="auto"/>
        <w:ind w:firstLine="480" w:firstLineChars="200"/>
        <w:rPr>
          <w:rFonts w:hint="eastAsia" w:ascii="宋体" w:hAnsi="宋体" w:eastAsia="宋体"/>
          <w:b/>
          <w:bCs/>
          <w:sz w:val="24"/>
          <w:szCs w:val="24"/>
        </w:rPr>
      </w:pPr>
      <w:r>
        <w:rPr>
          <w:rFonts w:hint="eastAsia" w:ascii="宋体" w:hAnsi="宋体" w:eastAsia="宋体"/>
          <w:sz w:val="24"/>
          <w:szCs w:val="24"/>
        </w:rPr>
        <w:t>实操比赛环节职工组(含教师）和学生组在实操考核的竞赛内容上略有区别，在竞赛难度和广度上各有侧重。实操比赛环节的竞赛要点如下：</w:t>
      </w:r>
    </w:p>
    <w:p w14:paraId="23450F7B">
      <w:pPr>
        <w:spacing w:line="360" w:lineRule="auto"/>
        <w:ind w:firstLine="482" w:firstLineChars="200"/>
        <w:outlineLvl w:val="2"/>
        <w:rPr>
          <w:rFonts w:hint="eastAsia" w:ascii="宋体" w:hAnsi="宋体" w:eastAsia="宋体"/>
          <w:b/>
          <w:bCs/>
          <w:sz w:val="24"/>
          <w:szCs w:val="24"/>
        </w:rPr>
      </w:pPr>
      <w:bookmarkStart w:id="15" w:name="_Toc29030"/>
      <w:r>
        <w:rPr>
          <w:rFonts w:hint="eastAsia" w:ascii="宋体" w:hAnsi="宋体" w:eastAsia="宋体"/>
          <w:b/>
          <w:bCs/>
          <w:sz w:val="24"/>
          <w:szCs w:val="24"/>
        </w:rPr>
        <w:t>任务一：动力蓄电池系统安装与调试</w:t>
      </w:r>
      <w:bookmarkEnd w:id="15"/>
      <w:r>
        <w:rPr>
          <w:rFonts w:hint="eastAsia" w:ascii="宋体" w:hAnsi="宋体" w:eastAsia="宋体"/>
          <w:b/>
          <w:bCs/>
          <w:sz w:val="24"/>
          <w:szCs w:val="24"/>
        </w:rPr>
        <w:t xml:space="preserve">   </w:t>
      </w:r>
    </w:p>
    <w:p w14:paraId="2E1227C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选手根据大赛组委会提供，由国内主流企业原车电池包及其他必要部件组成的电池包封测与检测诊断实训台，及相关专用工具仪器，在规定时间完成以下具体工作流程： </w:t>
      </w:r>
    </w:p>
    <w:p w14:paraId="66071A0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电池检测作业：在电池包静置状态下，检查电池包外观及铭牌信息；使用上位机检测电池包数据，分析可能故障原因。 </w:t>
      </w:r>
    </w:p>
    <w:p w14:paraId="7B9F9FF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电池系统故障排除作业：根据动力电池系统反映的故障现象，进行相关检测和诊断，排除动力电池系统中的故障。 </w:t>
      </w:r>
    </w:p>
    <w:p w14:paraId="4981654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电池组件更换作业：对动力电池包内部电池管理系统组件、电池模组等高压部件进行检测，找到故障部件，并进行更换或维修，期间完成电池组件拆装与检测、电池模组绝缘检测等操作。 </w:t>
      </w:r>
    </w:p>
    <w:p w14:paraId="30885D1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工单填写作业：完成《电池系统安装与调试作业表》的填写。 </w:t>
      </w:r>
    </w:p>
    <w:p w14:paraId="1745E67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本任务主要考查选手技术资料使用、高压安全防护、仪器设备使用、电池包组件更换、电池包绝缘检测、电池管理系统参数安全控制设置、以及电池管理系统故障诊断的能力</w:t>
      </w:r>
    </w:p>
    <w:p w14:paraId="0E5C9D52">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任务二：电控系统检测与排故</w:t>
      </w:r>
    </w:p>
    <w:p w14:paraId="7AA3DAF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选手根据大赛组委会提供的新能源汽车整车、故障诊断设备及相关工具，按照提供的车辆检测作业表（在《电控系统检测与排故作业表》中）及技术资料，在规定时间内完成以下具体任务工作流程： </w:t>
      </w:r>
    </w:p>
    <w:p w14:paraId="7B144A9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完成车辆PDI检查作业； </w:t>
      </w:r>
    </w:p>
    <w:p w14:paraId="547F3FE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完成“低压系统异常”故障诊断与排除作业； </w:t>
      </w:r>
    </w:p>
    <w:p w14:paraId="30C2624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完成“车辆无法高压上电”故障诊断与排除作业； </w:t>
      </w:r>
    </w:p>
    <w:p w14:paraId="71E26BC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完成“车载网络系统异常”故障诊断与排除作业； </w:t>
      </w:r>
    </w:p>
    <w:p w14:paraId="172FC17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完成”车辆无法正常充电“故障诊断与排除作业。 </w:t>
      </w:r>
    </w:p>
    <w:p w14:paraId="1E1ECCD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完成《电控系统检测与排故作业表》的填写作业。 </w:t>
      </w:r>
    </w:p>
    <w:p w14:paraId="5CD029F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任务主要考查选手技术资料使用、高压安全防护、仪器设备使用、新能源汽车结构组成和控制逻辑理解应用、车辆PDI检查的能力；整车低压控制系统、高压控制系统、车载网络系统等系统检测的能力；正确使用技术资料进行故障综合分析的能力；正确使用诊断设备进行整车故障检测、诊断与排除的能力。</w:t>
      </w:r>
    </w:p>
    <w:p w14:paraId="79887499">
      <w:pPr>
        <w:spacing w:line="360" w:lineRule="auto"/>
        <w:ind w:firstLine="482" w:firstLineChars="200"/>
        <w:outlineLvl w:val="1"/>
        <w:rPr>
          <w:rFonts w:hint="eastAsia" w:ascii="宋体" w:hAnsi="宋体" w:eastAsia="宋体"/>
          <w:b/>
          <w:bCs/>
          <w:sz w:val="24"/>
          <w:szCs w:val="24"/>
        </w:rPr>
      </w:pPr>
      <w:bookmarkStart w:id="16" w:name="_Toc3286"/>
      <w:r>
        <w:rPr>
          <w:rFonts w:hint="eastAsia" w:ascii="宋体" w:hAnsi="宋体" w:eastAsia="宋体"/>
          <w:b/>
          <w:bCs/>
          <w:sz w:val="24"/>
          <w:szCs w:val="24"/>
        </w:rPr>
        <w:t>（二）技术能力要求</w:t>
      </w:r>
      <w:bookmarkEnd w:id="16"/>
    </w:p>
    <w:p w14:paraId="4B479BC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本赛项着重考查选手新能源汽车电池、电机、电控、整车控制逻辑以及能耗分析等关键技术的实际应用能力。参赛选手应该具备以下技能：</w:t>
      </w:r>
    </w:p>
    <w:p w14:paraId="43D0D8A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1.高压安全防护和安全隔离技能。 </w:t>
      </w:r>
    </w:p>
    <w:p w14:paraId="3E14805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2.使用仪器设备进行产品性能检测的技能。 </w:t>
      </w:r>
    </w:p>
    <w:p w14:paraId="338D801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3.执行车辆高压断电的技能。 </w:t>
      </w:r>
    </w:p>
    <w:p w14:paraId="5775320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4.动力电池系统检查、组装、电池管理系统参数设置等动力电池系统装调的技能。 </w:t>
      </w:r>
    </w:p>
    <w:p w14:paraId="460C6F2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5.动力电池系统故障诊断与排除的技能。 </w:t>
      </w:r>
    </w:p>
    <w:p w14:paraId="3875A91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6.动力电池系统绝缘检测的技能。 </w:t>
      </w:r>
    </w:p>
    <w:p w14:paraId="14E3F56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7.执行车辆PDI检查的技能。 </w:t>
      </w:r>
    </w:p>
    <w:p w14:paraId="084B20E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8.新能源汽车维修工艺编制的能力。 </w:t>
      </w:r>
    </w:p>
    <w:p w14:paraId="453B052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9.车辆典型故障诊断与排除的技能。  </w:t>
      </w:r>
    </w:p>
    <w:p w14:paraId="13F9F31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10.应用技术资料的技能。 </w:t>
      </w:r>
    </w:p>
    <w:p w14:paraId="1C75AB6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11.国标信息查询的技能。</w:t>
      </w:r>
    </w:p>
    <w:p w14:paraId="693C3BB8">
      <w:pPr>
        <w:spacing w:line="360" w:lineRule="auto"/>
        <w:ind w:firstLine="482" w:firstLineChars="200"/>
        <w:outlineLvl w:val="1"/>
        <w:rPr>
          <w:rFonts w:hint="eastAsia" w:ascii="宋体" w:hAnsi="宋体" w:eastAsia="宋体"/>
          <w:b/>
          <w:bCs/>
          <w:sz w:val="24"/>
          <w:szCs w:val="24"/>
        </w:rPr>
      </w:pPr>
      <w:bookmarkStart w:id="17" w:name="_Toc21933"/>
      <w:r>
        <w:rPr>
          <w:rFonts w:hint="eastAsia" w:ascii="宋体" w:hAnsi="宋体" w:eastAsia="宋体"/>
          <w:b/>
          <w:bCs/>
          <w:sz w:val="24"/>
          <w:szCs w:val="24"/>
        </w:rPr>
        <w:t>（三）基本知识要求</w:t>
      </w:r>
      <w:bookmarkEnd w:id="17"/>
    </w:p>
    <w:p w14:paraId="17050B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本赛项旨在促进高素质技术技能人才培养，为新能源汽车产业发展提供人才支撑，选手需要掌握以下相关知识：</w:t>
      </w:r>
    </w:p>
    <w:p w14:paraId="3C79E4E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1.高压安全防护：高压电对人体的危害、触电的急救措施、带电检测高压器件的注意事项、非标准工位进行新能源汽车维修的注意事项、人身安全防护的注意事项等知识。 </w:t>
      </w:r>
    </w:p>
    <w:p w14:paraId="6E3DA0F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2.动力电池及电池管理系统：动力电池的特性、动力电池单体参数、动力电池包拆解、动力电池热管理、动力电池上位机使用与数据分析、电池管理系统功能和控制策略、动力电池组件拆装、电池包绝缘检测等知识。 </w:t>
      </w:r>
    </w:p>
    <w:p w14:paraId="2BAC072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 xml:space="preserve">3.新能源汽车电控系统：新能源汽车系统结构与工作原理、电控系统功能及原理、启动控制策略、充电控制策略、电源系统、驱动控制策略、制动能量反馈原理、常见故障及排除方法等知识。 </w:t>
      </w:r>
    </w:p>
    <w:p w14:paraId="4C2EF421">
      <w:pPr>
        <w:spacing w:line="360" w:lineRule="auto"/>
        <w:ind w:firstLine="482" w:firstLineChars="200"/>
        <w:outlineLvl w:val="1"/>
        <w:rPr>
          <w:rFonts w:hint="eastAsia" w:ascii="宋体" w:hAnsi="宋体" w:eastAsia="宋体"/>
          <w:b/>
          <w:bCs/>
          <w:sz w:val="24"/>
          <w:szCs w:val="24"/>
        </w:rPr>
      </w:pPr>
      <w:bookmarkStart w:id="18" w:name="_Toc4832"/>
      <w:r>
        <w:rPr>
          <w:rFonts w:hint="eastAsia" w:ascii="宋体" w:hAnsi="宋体" w:eastAsia="宋体"/>
          <w:b/>
          <w:bCs/>
          <w:sz w:val="24"/>
          <w:szCs w:val="24"/>
        </w:rPr>
        <w:t>（四）职业素养与安全要求</w:t>
      </w:r>
      <w:bookmarkEnd w:id="18"/>
    </w:p>
    <w:p w14:paraId="6DCA901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参赛选手应严格遵循“团队合作、德技兼修”相关职业素养要求及安全规范，安全文明参赛，操作规范，工具摆放整齐，着装规范，资料归档完整等；严格防止因设备、车辆运行造成人身伤害。</w:t>
      </w:r>
    </w:p>
    <w:p w14:paraId="60345F13">
      <w:pPr>
        <w:spacing w:line="360" w:lineRule="auto"/>
        <w:ind w:firstLine="482" w:firstLineChars="200"/>
        <w:outlineLvl w:val="0"/>
        <w:rPr>
          <w:rFonts w:hint="eastAsia" w:ascii="宋体" w:hAnsi="宋体" w:eastAsia="宋体"/>
          <w:b/>
          <w:bCs/>
          <w:sz w:val="24"/>
          <w:szCs w:val="24"/>
        </w:rPr>
      </w:pPr>
      <w:bookmarkStart w:id="19" w:name="_Toc6291"/>
      <w:r>
        <w:rPr>
          <w:rFonts w:hint="eastAsia" w:ascii="宋体" w:hAnsi="宋体" w:eastAsia="宋体"/>
          <w:b/>
          <w:bCs/>
          <w:sz w:val="24"/>
          <w:szCs w:val="24"/>
        </w:rPr>
        <w:t>二、竞赛题目</w:t>
      </w:r>
      <w:bookmarkEnd w:id="19"/>
    </w:p>
    <w:p w14:paraId="54304A6C">
      <w:pPr>
        <w:spacing w:line="360" w:lineRule="auto"/>
        <w:ind w:firstLine="482" w:firstLineChars="200"/>
        <w:outlineLvl w:val="1"/>
        <w:rPr>
          <w:rFonts w:hint="eastAsia" w:ascii="宋体" w:hAnsi="宋体" w:eastAsia="宋体"/>
          <w:b/>
          <w:bCs/>
          <w:sz w:val="24"/>
          <w:szCs w:val="24"/>
        </w:rPr>
      </w:pPr>
      <w:bookmarkStart w:id="20" w:name="_Toc579"/>
      <w:r>
        <w:rPr>
          <w:rFonts w:hint="eastAsia" w:ascii="宋体" w:hAnsi="宋体" w:eastAsia="宋体"/>
          <w:b/>
          <w:bCs/>
          <w:sz w:val="24"/>
          <w:szCs w:val="24"/>
        </w:rPr>
        <w:t>（一）竞赛分组</w:t>
      </w:r>
      <w:bookmarkEnd w:id="20"/>
    </w:p>
    <w:p w14:paraId="3A082EE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本赛项分职工组(含教师）和学生组，各组别均为双人组队参赛。两个组别在竞赛内容上略有区别，在竞赛难度和广度上各有侧重。</w:t>
      </w:r>
    </w:p>
    <w:p w14:paraId="28A70A73">
      <w:pPr>
        <w:spacing w:line="360" w:lineRule="auto"/>
        <w:ind w:firstLine="482" w:firstLineChars="200"/>
        <w:outlineLvl w:val="1"/>
        <w:rPr>
          <w:rFonts w:hint="eastAsia" w:ascii="宋体" w:hAnsi="宋体" w:eastAsia="宋体"/>
          <w:b/>
          <w:bCs/>
          <w:sz w:val="24"/>
          <w:szCs w:val="24"/>
        </w:rPr>
      </w:pPr>
      <w:bookmarkStart w:id="21" w:name="_Toc31945"/>
      <w:r>
        <w:rPr>
          <w:rFonts w:hint="eastAsia" w:ascii="宋体" w:hAnsi="宋体" w:eastAsia="宋体"/>
          <w:b/>
          <w:bCs/>
          <w:sz w:val="24"/>
          <w:szCs w:val="24"/>
        </w:rPr>
        <w:t>（二）竞赛形式</w:t>
      </w:r>
      <w:bookmarkEnd w:id="21"/>
    </w:p>
    <w:p w14:paraId="7BA4BB3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本赛项分理论知识和实操比赛，理论知识竞赛在软件系统上统一作答，实操竞赛在现场指定的竞赛平台上完成。</w:t>
      </w:r>
    </w:p>
    <w:p w14:paraId="79B0154F">
      <w:pPr>
        <w:spacing w:line="360" w:lineRule="auto"/>
        <w:ind w:firstLine="482" w:firstLineChars="200"/>
        <w:outlineLvl w:val="1"/>
        <w:rPr>
          <w:rFonts w:hint="eastAsia" w:ascii="宋体" w:hAnsi="宋体" w:eastAsia="宋体"/>
          <w:b/>
          <w:bCs/>
          <w:sz w:val="24"/>
          <w:szCs w:val="24"/>
        </w:rPr>
      </w:pPr>
      <w:bookmarkStart w:id="22" w:name="_Toc11945"/>
      <w:r>
        <w:rPr>
          <w:rFonts w:hint="eastAsia" w:ascii="宋体" w:hAnsi="宋体" w:eastAsia="宋体"/>
          <w:b/>
          <w:bCs/>
          <w:sz w:val="24"/>
          <w:szCs w:val="24"/>
        </w:rPr>
        <w:t>（三）命题标准</w:t>
      </w:r>
      <w:bookmarkEnd w:id="22"/>
    </w:p>
    <w:p w14:paraId="6B8C8CB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本赛项参照人力资源和社会保障部颁布的相关技能标准，结合企业生产、院校教学实际和汽车零部件装调工应用领域的发展状况，借鉴世界技能大赛命题、考核、评价方法，确定赛项内容，组织统一命题。</w:t>
      </w:r>
    </w:p>
    <w:p w14:paraId="0A003310">
      <w:pPr>
        <w:spacing w:line="360" w:lineRule="auto"/>
        <w:ind w:firstLine="482" w:firstLineChars="200"/>
        <w:outlineLvl w:val="1"/>
        <w:rPr>
          <w:rFonts w:hint="eastAsia" w:ascii="宋体" w:hAnsi="宋体" w:eastAsia="宋体"/>
          <w:b/>
          <w:bCs/>
          <w:sz w:val="24"/>
          <w:szCs w:val="24"/>
        </w:rPr>
      </w:pPr>
      <w:bookmarkStart w:id="23" w:name="_Toc7198"/>
      <w:r>
        <w:rPr>
          <w:rFonts w:hint="eastAsia" w:ascii="宋体" w:hAnsi="宋体" w:eastAsia="宋体"/>
          <w:b/>
          <w:bCs/>
          <w:sz w:val="24"/>
          <w:szCs w:val="24"/>
        </w:rPr>
        <w:t>（四）命题内容与竞赛时间</w:t>
      </w:r>
      <w:bookmarkEnd w:id="23"/>
    </w:p>
    <w:p w14:paraId="483D417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根据任务书给定的任务要求和赛场提供的竞赛平台，要求参赛选手在规定时间内完成理论知识竞赛、动力蓄电池系统安装与调试、电控系统检测与排故等任务。</w:t>
      </w:r>
    </w:p>
    <w:p w14:paraId="1F3CBDF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职工组（含教师）和学生组竞赛任务设计如下（见表1）：</w:t>
      </w:r>
    </w:p>
    <w:p w14:paraId="16271D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实操比赛环节各参赛队集中进行比赛，使用赛场提供的竞赛平台。</w:t>
      </w:r>
    </w:p>
    <w:p w14:paraId="1AE9C709">
      <w:pPr>
        <w:spacing w:line="360" w:lineRule="auto"/>
        <w:ind w:firstLine="420" w:firstLineChars="200"/>
        <w:jc w:val="center"/>
        <w:rPr>
          <w:rFonts w:hint="eastAsia" w:ascii="宋体" w:hAnsi="宋体" w:eastAsia="宋体"/>
          <w:szCs w:val="21"/>
        </w:rPr>
      </w:pPr>
      <w:r>
        <w:rPr>
          <w:rFonts w:hint="eastAsia" w:ascii="宋体" w:hAnsi="宋体" w:eastAsia="宋体"/>
          <w:szCs w:val="21"/>
        </w:rPr>
        <w:t>表1 职工组和学生组实操考核环节内容设计</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6"/>
        <w:gridCol w:w="1701"/>
        <w:gridCol w:w="1190"/>
        <w:gridCol w:w="1334"/>
        <w:gridCol w:w="1217"/>
      </w:tblGrid>
      <w:tr w14:paraId="4C5DA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716" w:type="dxa"/>
            <w:vAlign w:val="center"/>
          </w:tcPr>
          <w:p w14:paraId="68241091">
            <w:pPr>
              <w:spacing w:line="360" w:lineRule="auto"/>
              <w:jc w:val="center"/>
              <w:rPr>
                <w:rFonts w:hint="eastAsia" w:ascii="宋体" w:hAnsi="宋体" w:eastAsia="宋体"/>
                <w:b/>
                <w:bCs/>
                <w:sz w:val="24"/>
                <w:szCs w:val="24"/>
              </w:rPr>
            </w:pPr>
            <w:r>
              <w:rPr>
                <w:rFonts w:hint="eastAsia" w:ascii="宋体" w:hAnsi="宋体" w:eastAsia="宋体"/>
                <w:b/>
                <w:bCs/>
                <w:sz w:val="24"/>
                <w:szCs w:val="24"/>
              </w:rPr>
              <w:t>竞赛内容</w:t>
            </w:r>
          </w:p>
        </w:tc>
        <w:tc>
          <w:tcPr>
            <w:tcW w:w="1701" w:type="dxa"/>
          </w:tcPr>
          <w:p w14:paraId="4A9C6C02">
            <w:pPr>
              <w:spacing w:line="360" w:lineRule="auto"/>
              <w:jc w:val="center"/>
              <w:rPr>
                <w:rFonts w:hint="eastAsia" w:ascii="宋体" w:hAnsi="宋体" w:eastAsia="宋体"/>
                <w:b/>
                <w:bCs/>
                <w:sz w:val="24"/>
                <w:szCs w:val="24"/>
              </w:rPr>
            </w:pPr>
            <w:r>
              <w:rPr>
                <w:rFonts w:hint="eastAsia" w:ascii="宋体" w:hAnsi="宋体" w:eastAsia="宋体"/>
                <w:b/>
                <w:bCs/>
                <w:sz w:val="24"/>
                <w:szCs w:val="24"/>
              </w:rPr>
              <w:t>时间</w:t>
            </w:r>
          </w:p>
        </w:tc>
        <w:tc>
          <w:tcPr>
            <w:tcW w:w="1190" w:type="dxa"/>
            <w:vAlign w:val="center"/>
          </w:tcPr>
          <w:p w14:paraId="6DE860B1">
            <w:pPr>
              <w:spacing w:line="360" w:lineRule="auto"/>
              <w:jc w:val="center"/>
              <w:rPr>
                <w:rFonts w:hint="eastAsia" w:ascii="宋体" w:hAnsi="宋体" w:eastAsia="宋体"/>
                <w:b/>
                <w:bCs/>
                <w:sz w:val="24"/>
                <w:szCs w:val="24"/>
              </w:rPr>
            </w:pPr>
            <w:r>
              <w:rPr>
                <w:rFonts w:hint="eastAsia" w:ascii="宋体" w:hAnsi="宋体" w:eastAsia="宋体"/>
                <w:b/>
                <w:bCs/>
                <w:sz w:val="24"/>
                <w:szCs w:val="24"/>
              </w:rPr>
              <w:t>分值</w:t>
            </w:r>
          </w:p>
        </w:tc>
        <w:tc>
          <w:tcPr>
            <w:tcW w:w="2551" w:type="dxa"/>
            <w:gridSpan w:val="2"/>
            <w:vAlign w:val="center"/>
          </w:tcPr>
          <w:p w14:paraId="06D24996">
            <w:pPr>
              <w:spacing w:line="360" w:lineRule="auto"/>
              <w:jc w:val="center"/>
              <w:rPr>
                <w:rFonts w:hint="eastAsia" w:ascii="宋体" w:hAnsi="宋体" w:eastAsia="宋体"/>
                <w:b/>
                <w:bCs/>
                <w:sz w:val="24"/>
                <w:szCs w:val="24"/>
              </w:rPr>
            </w:pPr>
            <w:r>
              <w:rPr>
                <w:rFonts w:hint="eastAsia" w:ascii="宋体" w:hAnsi="宋体" w:eastAsia="宋体"/>
                <w:b/>
                <w:bCs/>
                <w:sz w:val="24"/>
                <w:szCs w:val="24"/>
              </w:rPr>
              <w:t>权值</w:t>
            </w:r>
          </w:p>
        </w:tc>
      </w:tr>
      <w:tr w14:paraId="6817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716" w:type="dxa"/>
            <w:vAlign w:val="center"/>
          </w:tcPr>
          <w:p w14:paraId="105F9D87">
            <w:pPr>
              <w:spacing w:line="360" w:lineRule="auto"/>
              <w:jc w:val="center"/>
              <w:rPr>
                <w:rFonts w:hint="eastAsia" w:ascii="宋体" w:hAnsi="宋体" w:eastAsia="宋体"/>
                <w:sz w:val="24"/>
                <w:szCs w:val="24"/>
              </w:rPr>
            </w:pPr>
            <w:r>
              <w:rPr>
                <w:rFonts w:hint="eastAsia" w:ascii="宋体" w:hAnsi="宋体" w:eastAsia="宋体"/>
                <w:sz w:val="24"/>
                <w:szCs w:val="24"/>
              </w:rPr>
              <w:t>理论知识竞赛</w:t>
            </w:r>
          </w:p>
        </w:tc>
        <w:tc>
          <w:tcPr>
            <w:tcW w:w="1701" w:type="dxa"/>
          </w:tcPr>
          <w:p w14:paraId="3F2AEB3B">
            <w:pPr>
              <w:spacing w:line="360" w:lineRule="auto"/>
              <w:jc w:val="center"/>
              <w:rPr>
                <w:rFonts w:hint="eastAsia" w:ascii="宋体" w:hAnsi="宋体" w:eastAsia="宋体"/>
                <w:sz w:val="24"/>
                <w:szCs w:val="24"/>
              </w:rPr>
            </w:pPr>
            <w:r>
              <w:rPr>
                <w:rFonts w:hint="eastAsia" w:ascii="宋体" w:hAnsi="宋体" w:eastAsia="宋体"/>
                <w:sz w:val="24"/>
                <w:szCs w:val="24"/>
              </w:rPr>
              <w:t>45min</w:t>
            </w:r>
          </w:p>
        </w:tc>
        <w:tc>
          <w:tcPr>
            <w:tcW w:w="1190" w:type="dxa"/>
            <w:vAlign w:val="center"/>
          </w:tcPr>
          <w:p w14:paraId="6C8F1032">
            <w:pPr>
              <w:spacing w:line="360" w:lineRule="auto"/>
              <w:jc w:val="center"/>
              <w:rPr>
                <w:rFonts w:hint="eastAsia" w:ascii="宋体" w:hAnsi="宋体" w:eastAsia="宋体"/>
                <w:sz w:val="24"/>
                <w:szCs w:val="24"/>
              </w:rPr>
            </w:pPr>
            <w:r>
              <w:rPr>
                <w:rFonts w:hint="eastAsia" w:ascii="宋体" w:hAnsi="宋体" w:eastAsia="宋体"/>
                <w:sz w:val="24"/>
                <w:szCs w:val="24"/>
              </w:rPr>
              <w:t>100</w:t>
            </w:r>
          </w:p>
        </w:tc>
        <w:tc>
          <w:tcPr>
            <w:tcW w:w="2551" w:type="dxa"/>
            <w:gridSpan w:val="2"/>
            <w:vAlign w:val="center"/>
          </w:tcPr>
          <w:p w14:paraId="451F9805">
            <w:pPr>
              <w:spacing w:line="360" w:lineRule="auto"/>
              <w:jc w:val="center"/>
              <w:rPr>
                <w:rFonts w:hint="eastAsia" w:ascii="宋体" w:hAnsi="宋体" w:eastAsia="宋体"/>
                <w:sz w:val="24"/>
                <w:szCs w:val="24"/>
              </w:rPr>
            </w:pPr>
            <w:r>
              <w:rPr>
                <w:rFonts w:hint="eastAsia" w:ascii="宋体" w:hAnsi="宋体" w:eastAsia="宋体"/>
                <w:sz w:val="24"/>
                <w:szCs w:val="24"/>
              </w:rPr>
              <w:t>20%</w:t>
            </w:r>
          </w:p>
        </w:tc>
      </w:tr>
      <w:tr w14:paraId="4954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2716" w:type="dxa"/>
            <w:vAlign w:val="center"/>
          </w:tcPr>
          <w:p w14:paraId="77F48FF3">
            <w:pPr>
              <w:spacing w:line="360" w:lineRule="auto"/>
              <w:jc w:val="center"/>
              <w:rPr>
                <w:rFonts w:hint="eastAsia" w:ascii="宋体" w:hAnsi="宋体" w:eastAsia="宋体"/>
                <w:sz w:val="24"/>
                <w:szCs w:val="24"/>
              </w:rPr>
            </w:pPr>
            <w:r>
              <w:rPr>
                <w:rFonts w:hint="eastAsia" w:ascii="宋体" w:hAnsi="宋体" w:eastAsia="宋体"/>
                <w:sz w:val="24"/>
                <w:szCs w:val="24"/>
              </w:rPr>
              <w:t>实操比赛1：动力蓄电池系统安装与调试</w:t>
            </w:r>
          </w:p>
        </w:tc>
        <w:tc>
          <w:tcPr>
            <w:tcW w:w="1701" w:type="dxa"/>
            <w:vAlign w:val="center"/>
          </w:tcPr>
          <w:p w14:paraId="7C4360D9">
            <w:pPr>
              <w:spacing w:line="360" w:lineRule="auto"/>
              <w:jc w:val="center"/>
              <w:rPr>
                <w:rFonts w:hint="eastAsia" w:ascii="宋体" w:hAnsi="宋体" w:eastAsia="宋体"/>
                <w:sz w:val="24"/>
                <w:szCs w:val="24"/>
              </w:rPr>
            </w:pPr>
            <w:r>
              <w:rPr>
                <w:rFonts w:hint="eastAsia" w:ascii="宋体" w:hAnsi="宋体" w:eastAsia="宋体"/>
                <w:sz w:val="24"/>
                <w:szCs w:val="24"/>
              </w:rPr>
              <w:t>30min</w:t>
            </w:r>
          </w:p>
        </w:tc>
        <w:tc>
          <w:tcPr>
            <w:tcW w:w="1190" w:type="dxa"/>
            <w:vAlign w:val="center"/>
          </w:tcPr>
          <w:p w14:paraId="3FE76389">
            <w:pPr>
              <w:spacing w:line="360" w:lineRule="auto"/>
              <w:jc w:val="center"/>
              <w:rPr>
                <w:rFonts w:hint="eastAsia" w:ascii="宋体" w:hAnsi="宋体" w:eastAsia="宋体"/>
                <w:sz w:val="24"/>
                <w:szCs w:val="24"/>
              </w:rPr>
            </w:pPr>
            <w:r>
              <w:rPr>
                <w:rFonts w:hint="eastAsia" w:ascii="宋体" w:hAnsi="宋体" w:eastAsia="宋体"/>
                <w:sz w:val="24"/>
                <w:szCs w:val="24"/>
              </w:rPr>
              <w:t>100</w:t>
            </w:r>
          </w:p>
        </w:tc>
        <w:tc>
          <w:tcPr>
            <w:tcW w:w="1334" w:type="dxa"/>
            <w:vAlign w:val="center"/>
          </w:tcPr>
          <w:p w14:paraId="63975F60">
            <w:pPr>
              <w:spacing w:line="360" w:lineRule="auto"/>
              <w:jc w:val="center"/>
              <w:rPr>
                <w:rFonts w:hint="eastAsia" w:ascii="宋体" w:hAnsi="宋体" w:eastAsia="宋体"/>
                <w:sz w:val="24"/>
                <w:szCs w:val="24"/>
              </w:rPr>
            </w:pPr>
            <w:r>
              <w:rPr>
                <w:rFonts w:hint="eastAsia" w:ascii="宋体" w:hAnsi="宋体" w:eastAsia="宋体"/>
                <w:sz w:val="24"/>
                <w:szCs w:val="24"/>
              </w:rPr>
              <w:t>50%</w:t>
            </w:r>
          </w:p>
        </w:tc>
        <w:tc>
          <w:tcPr>
            <w:tcW w:w="1217" w:type="dxa"/>
            <w:vMerge w:val="restart"/>
            <w:vAlign w:val="center"/>
          </w:tcPr>
          <w:p w14:paraId="2AE25E9B">
            <w:pPr>
              <w:spacing w:line="360" w:lineRule="auto"/>
              <w:jc w:val="center"/>
              <w:rPr>
                <w:rFonts w:hint="eastAsia" w:ascii="宋体" w:hAnsi="宋体" w:eastAsia="宋体"/>
                <w:sz w:val="24"/>
                <w:szCs w:val="24"/>
              </w:rPr>
            </w:pPr>
            <w:r>
              <w:rPr>
                <w:rFonts w:hint="eastAsia" w:ascii="宋体" w:hAnsi="宋体" w:eastAsia="宋体"/>
                <w:sz w:val="24"/>
                <w:szCs w:val="24"/>
              </w:rPr>
              <w:t>80%</w:t>
            </w:r>
          </w:p>
        </w:tc>
      </w:tr>
      <w:tr w14:paraId="09F1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2716" w:type="dxa"/>
            <w:vAlign w:val="center"/>
          </w:tcPr>
          <w:p w14:paraId="4A2B849A">
            <w:pPr>
              <w:spacing w:line="360" w:lineRule="auto"/>
              <w:jc w:val="center"/>
              <w:rPr>
                <w:rFonts w:hint="eastAsia" w:ascii="宋体" w:hAnsi="宋体" w:eastAsia="宋体"/>
                <w:sz w:val="24"/>
                <w:szCs w:val="24"/>
              </w:rPr>
            </w:pPr>
            <w:r>
              <w:rPr>
                <w:rFonts w:hint="eastAsia" w:ascii="宋体" w:hAnsi="宋体" w:eastAsia="宋体"/>
                <w:sz w:val="24"/>
                <w:szCs w:val="24"/>
              </w:rPr>
              <w:t>实操比赛2：电控系统检测与排故</w:t>
            </w:r>
          </w:p>
        </w:tc>
        <w:tc>
          <w:tcPr>
            <w:tcW w:w="1701" w:type="dxa"/>
            <w:vAlign w:val="center"/>
          </w:tcPr>
          <w:p w14:paraId="028AE8FB">
            <w:pPr>
              <w:spacing w:line="360" w:lineRule="auto"/>
              <w:jc w:val="center"/>
              <w:rPr>
                <w:rFonts w:hint="eastAsia" w:ascii="宋体" w:hAnsi="宋体" w:eastAsia="宋体"/>
                <w:sz w:val="24"/>
                <w:szCs w:val="24"/>
              </w:rPr>
            </w:pPr>
            <w:r>
              <w:rPr>
                <w:rFonts w:hint="eastAsia" w:ascii="宋体" w:hAnsi="宋体" w:eastAsia="宋体"/>
                <w:sz w:val="24"/>
                <w:szCs w:val="24"/>
              </w:rPr>
              <w:t>30min</w:t>
            </w:r>
          </w:p>
        </w:tc>
        <w:tc>
          <w:tcPr>
            <w:tcW w:w="1190" w:type="dxa"/>
            <w:vAlign w:val="center"/>
          </w:tcPr>
          <w:p w14:paraId="2618A147">
            <w:pPr>
              <w:spacing w:line="360" w:lineRule="auto"/>
              <w:jc w:val="center"/>
              <w:rPr>
                <w:rFonts w:hint="eastAsia" w:ascii="宋体" w:hAnsi="宋体" w:eastAsia="宋体"/>
                <w:sz w:val="24"/>
                <w:szCs w:val="24"/>
              </w:rPr>
            </w:pPr>
            <w:r>
              <w:rPr>
                <w:rFonts w:hint="eastAsia" w:ascii="宋体" w:hAnsi="宋体" w:eastAsia="宋体"/>
                <w:sz w:val="24"/>
                <w:szCs w:val="24"/>
              </w:rPr>
              <w:t>100</w:t>
            </w:r>
          </w:p>
        </w:tc>
        <w:tc>
          <w:tcPr>
            <w:tcW w:w="1334" w:type="dxa"/>
            <w:vAlign w:val="center"/>
          </w:tcPr>
          <w:p w14:paraId="19EFEE33">
            <w:pPr>
              <w:spacing w:line="360" w:lineRule="auto"/>
              <w:jc w:val="center"/>
              <w:rPr>
                <w:rFonts w:hint="eastAsia" w:ascii="宋体" w:hAnsi="宋体" w:eastAsia="宋体"/>
                <w:sz w:val="24"/>
                <w:szCs w:val="24"/>
              </w:rPr>
            </w:pPr>
            <w:r>
              <w:rPr>
                <w:rFonts w:hint="eastAsia" w:ascii="宋体" w:hAnsi="宋体" w:eastAsia="宋体"/>
                <w:sz w:val="24"/>
                <w:szCs w:val="24"/>
              </w:rPr>
              <w:t>50%</w:t>
            </w:r>
          </w:p>
        </w:tc>
        <w:tc>
          <w:tcPr>
            <w:tcW w:w="1217" w:type="dxa"/>
            <w:vMerge w:val="continue"/>
            <w:vAlign w:val="center"/>
          </w:tcPr>
          <w:p w14:paraId="2491D6FF">
            <w:pPr>
              <w:spacing w:line="360" w:lineRule="auto"/>
              <w:jc w:val="center"/>
              <w:rPr>
                <w:rFonts w:hint="eastAsia" w:ascii="宋体" w:hAnsi="宋体" w:eastAsia="宋体"/>
                <w:sz w:val="24"/>
                <w:szCs w:val="24"/>
              </w:rPr>
            </w:pPr>
          </w:p>
        </w:tc>
      </w:tr>
      <w:tr w14:paraId="55792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716" w:type="dxa"/>
            <w:vAlign w:val="center"/>
          </w:tcPr>
          <w:p w14:paraId="32BB7A8C">
            <w:pPr>
              <w:spacing w:line="360" w:lineRule="auto"/>
              <w:jc w:val="center"/>
              <w:rPr>
                <w:rFonts w:hint="eastAsia" w:ascii="宋体" w:hAnsi="宋体" w:eastAsia="宋体"/>
                <w:b/>
                <w:bCs/>
                <w:sz w:val="24"/>
                <w:szCs w:val="24"/>
              </w:rPr>
            </w:pPr>
            <w:r>
              <w:rPr>
                <w:rFonts w:hint="eastAsia" w:ascii="宋体" w:hAnsi="宋体" w:eastAsia="宋体"/>
                <w:b/>
                <w:bCs/>
                <w:sz w:val="24"/>
                <w:szCs w:val="24"/>
              </w:rPr>
              <w:t>总计</w:t>
            </w:r>
          </w:p>
        </w:tc>
        <w:tc>
          <w:tcPr>
            <w:tcW w:w="1701" w:type="dxa"/>
            <w:vAlign w:val="center"/>
          </w:tcPr>
          <w:p w14:paraId="5D591F5B">
            <w:pPr>
              <w:spacing w:line="360" w:lineRule="auto"/>
              <w:jc w:val="center"/>
              <w:rPr>
                <w:rFonts w:hint="eastAsia" w:ascii="宋体" w:hAnsi="宋体" w:eastAsia="宋体"/>
                <w:b/>
                <w:bCs/>
                <w:sz w:val="24"/>
                <w:szCs w:val="24"/>
              </w:rPr>
            </w:pPr>
          </w:p>
        </w:tc>
        <w:tc>
          <w:tcPr>
            <w:tcW w:w="1190" w:type="dxa"/>
            <w:vAlign w:val="center"/>
          </w:tcPr>
          <w:p w14:paraId="3F14BF60">
            <w:pPr>
              <w:spacing w:line="360" w:lineRule="auto"/>
              <w:jc w:val="center"/>
              <w:rPr>
                <w:rFonts w:hint="eastAsia" w:ascii="宋体" w:hAnsi="宋体" w:eastAsia="宋体"/>
                <w:b/>
                <w:bCs/>
                <w:sz w:val="24"/>
                <w:szCs w:val="24"/>
              </w:rPr>
            </w:pPr>
          </w:p>
        </w:tc>
        <w:tc>
          <w:tcPr>
            <w:tcW w:w="2551" w:type="dxa"/>
            <w:gridSpan w:val="2"/>
          </w:tcPr>
          <w:p w14:paraId="19FE8D22">
            <w:pPr>
              <w:spacing w:line="360" w:lineRule="auto"/>
              <w:jc w:val="center"/>
              <w:rPr>
                <w:rFonts w:hint="eastAsia" w:ascii="宋体" w:hAnsi="宋体" w:eastAsia="宋体"/>
                <w:b/>
                <w:bCs/>
                <w:sz w:val="24"/>
                <w:szCs w:val="24"/>
              </w:rPr>
            </w:pPr>
            <w:r>
              <w:rPr>
                <w:rFonts w:hint="eastAsia" w:ascii="宋体" w:hAnsi="宋体" w:eastAsia="宋体"/>
                <w:b/>
                <w:bCs/>
                <w:sz w:val="24"/>
                <w:szCs w:val="24"/>
              </w:rPr>
              <w:t>100分</w:t>
            </w:r>
          </w:p>
        </w:tc>
      </w:tr>
    </w:tbl>
    <w:p w14:paraId="1160A868">
      <w:pPr>
        <w:spacing w:line="360" w:lineRule="auto"/>
        <w:rPr>
          <w:rFonts w:hint="eastAsia" w:ascii="宋体" w:hAnsi="宋体" w:eastAsia="宋体"/>
          <w:sz w:val="24"/>
          <w:szCs w:val="24"/>
        </w:rPr>
      </w:pPr>
    </w:p>
    <w:p w14:paraId="3023052E">
      <w:pPr>
        <w:spacing w:line="360" w:lineRule="auto"/>
        <w:ind w:firstLine="482" w:firstLineChars="200"/>
        <w:outlineLvl w:val="0"/>
        <w:rPr>
          <w:rFonts w:hint="eastAsia" w:ascii="宋体" w:hAnsi="宋体" w:eastAsia="宋体"/>
          <w:b/>
          <w:bCs/>
          <w:sz w:val="24"/>
          <w:szCs w:val="24"/>
        </w:rPr>
      </w:pPr>
      <w:bookmarkStart w:id="24" w:name="_Toc21548"/>
      <w:r>
        <w:rPr>
          <w:rFonts w:hint="eastAsia" w:ascii="宋体" w:hAnsi="宋体" w:eastAsia="宋体"/>
          <w:b/>
          <w:bCs/>
          <w:sz w:val="24"/>
          <w:szCs w:val="24"/>
        </w:rPr>
        <w:t>三、评判方式</w:t>
      </w:r>
      <w:bookmarkEnd w:id="24"/>
    </w:p>
    <w:p w14:paraId="4A8A8968">
      <w:pPr>
        <w:spacing w:line="360" w:lineRule="auto"/>
        <w:ind w:firstLine="482" w:firstLineChars="200"/>
        <w:outlineLvl w:val="1"/>
        <w:rPr>
          <w:rFonts w:hint="eastAsia" w:ascii="宋体" w:hAnsi="宋体" w:eastAsia="宋体"/>
          <w:b/>
          <w:bCs/>
          <w:sz w:val="24"/>
          <w:szCs w:val="24"/>
        </w:rPr>
      </w:pPr>
      <w:bookmarkStart w:id="25" w:name="_Toc19887"/>
      <w:r>
        <w:rPr>
          <w:rFonts w:hint="eastAsia" w:ascii="宋体" w:hAnsi="宋体" w:eastAsia="宋体"/>
          <w:b/>
          <w:bCs/>
          <w:sz w:val="24"/>
          <w:szCs w:val="24"/>
        </w:rPr>
        <w:t>（一）评判流程</w:t>
      </w:r>
      <w:bookmarkEnd w:id="25"/>
    </w:p>
    <w:p w14:paraId="3FC630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实操比赛评分由过程评分、结果评分、违规扣分三部分组成。</w:t>
      </w:r>
    </w:p>
    <w:p w14:paraId="313F708C">
      <w:pPr>
        <w:spacing w:line="360" w:lineRule="auto"/>
        <w:ind w:firstLine="482" w:firstLineChars="200"/>
        <w:outlineLvl w:val="2"/>
        <w:rPr>
          <w:rFonts w:hint="eastAsia" w:ascii="宋体" w:hAnsi="宋体" w:eastAsia="宋体"/>
          <w:b/>
          <w:bCs/>
          <w:sz w:val="24"/>
          <w:szCs w:val="24"/>
        </w:rPr>
      </w:pPr>
      <w:bookmarkStart w:id="26" w:name="_Toc21329"/>
      <w:r>
        <w:rPr>
          <w:rFonts w:hint="eastAsia" w:ascii="宋体" w:hAnsi="宋体" w:eastAsia="宋体"/>
          <w:b/>
          <w:bCs/>
          <w:sz w:val="24"/>
          <w:szCs w:val="24"/>
        </w:rPr>
        <w:t>1．过程评分</w:t>
      </w:r>
      <w:bookmarkEnd w:id="26"/>
    </w:p>
    <w:p w14:paraId="0A15134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过程评分至少由2名现场评分裁判根据评分细则，共同对选手的操作进行现场评分；若现场评分裁判对选手的评分有分歧，由现场裁判长裁决。职业素养评分至少由2名现场评分裁判在竞赛过程中独立评分，由现场裁判长进行综合，产生选手的职业素养成绩。</w:t>
      </w:r>
    </w:p>
    <w:p w14:paraId="659168AD">
      <w:pPr>
        <w:spacing w:line="360" w:lineRule="auto"/>
        <w:ind w:firstLine="482" w:firstLineChars="200"/>
        <w:outlineLvl w:val="2"/>
        <w:rPr>
          <w:rFonts w:hint="eastAsia" w:ascii="宋体" w:hAnsi="宋体" w:eastAsia="宋体"/>
          <w:b/>
          <w:bCs/>
          <w:sz w:val="24"/>
          <w:szCs w:val="24"/>
        </w:rPr>
      </w:pPr>
      <w:bookmarkStart w:id="27" w:name="_Toc9817"/>
      <w:r>
        <w:rPr>
          <w:rFonts w:hint="eastAsia" w:ascii="宋体" w:hAnsi="宋体" w:eastAsia="宋体"/>
          <w:b/>
          <w:bCs/>
          <w:sz w:val="24"/>
          <w:szCs w:val="24"/>
        </w:rPr>
        <w:t>2.结果评分</w:t>
      </w:r>
      <w:bookmarkEnd w:id="27"/>
    </w:p>
    <w:p w14:paraId="6E00802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结果评分至少由2名裁判根据评分细则进行客观评分，并记录评分结果。</w:t>
      </w:r>
    </w:p>
    <w:p w14:paraId="2441ADB7">
      <w:pPr>
        <w:spacing w:line="360" w:lineRule="auto"/>
        <w:ind w:firstLine="482" w:firstLineChars="200"/>
        <w:outlineLvl w:val="2"/>
        <w:rPr>
          <w:rFonts w:hint="eastAsia" w:ascii="宋体" w:hAnsi="宋体" w:eastAsia="宋体"/>
          <w:b/>
          <w:bCs/>
          <w:sz w:val="24"/>
          <w:szCs w:val="24"/>
        </w:rPr>
      </w:pPr>
      <w:bookmarkStart w:id="28" w:name="_Toc4651"/>
      <w:r>
        <w:rPr>
          <w:rFonts w:hint="eastAsia" w:ascii="宋体" w:hAnsi="宋体" w:eastAsia="宋体"/>
          <w:b/>
          <w:bCs/>
          <w:sz w:val="24"/>
          <w:szCs w:val="24"/>
        </w:rPr>
        <w:t>3.违规扣分</w:t>
      </w:r>
      <w:bookmarkEnd w:id="28"/>
    </w:p>
    <w:p w14:paraId="06B2130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选手竞赛中有下列情形者将予以扣分：</w:t>
      </w:r>
    </w:p>
    <w:p w14:paraId="6BE0D82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（1）在完成工作任务的过程中，因操作不当导致事故，扣总分的10%～15%，情况严重者取消竞赛资格。</w:t>
      </w:r>
    </w:p>
    <w:p w14:paraId="07C5990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（2）因违规操作损坏赛场提供的设备、污染赛场环境等严重不符合职业规范的行为，视情节扣总分的5%～10%，情况严重者取消竞赛资格。</w:t>
      </w:r>
    </w:p>
    <w:p w14:paraId="6BBAC23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（3）扰乱赛场秩序，干扰裁判员工作，视情节扣总分的5%～10%，情况严重者取消竞赛资格。</w:t>
      </w:r>
    </w:p>
    <w:p w14:paraId="58C2D35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（4）没有按照竞赛规程和任务书要求，比赛现场工具摆放不整齐、作业流程混乱、着装不规范、资料归档不完整，视情节扣总分的5%～10%。</w:t>
      </w:r>
    </w:p>
    <w:p w14:paraId="4532A1BF">
      <w:pPr>
        <w:spacing w:line="360" w:lineRule="auto"/>
        <w:ind w:firstLine="482" w:firstLineChars="200"/>
        <w:outlineLvl w:val="1"/>
        <w:rPr>
          <w:rFonts w:hint="eastAsia" w:ascii="宋体" w:hAnsi="宋体" w:eastAsia="宋体"/>
          <w:b/>
          <w:bCs/>
          <w:sz w:val="24"/>
          <w:szCs w:val="24"/>
        </w:rPr>
      </w:pPr>
      <w:bookmarkStart w:id="29" w:name="_Toc11750"/>
      <w:r>
        <w:rPr>
          <w:rFonts w:hint="eastAsia" w:ascii="宋体" w:hAnsi="宋体" w:eastAsia="宋体"/>
          <w:b/>
          <w:bCs/>
          <w:sz w:val="24"/>
          <w:szCs w:val="24"/>
        </w:rPr>
        <w:t>（二）评判方法</w:t>
      </w:r>
      <w:bookmarkEnd w:id="29"/>
    </w:p>
    <w:p w14:paraId="21FE6EE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（1）采用过程评分的任务，将根据工具、量具、仪器的选择和使用以及操作步骤、操作方法、操作规范性、操作结果等诸方面进行评分。</w:t>
      </w:r>
    </w:p>
    <w:p w14:paraId="0A8C005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（2）采用结果评分的任务，将根据任务书要求的竞赛任务，对参赛队完成调试、加工、检测、分拣、入库的质量进行评判。</w:t>
      </w:r>
    </w:p>
    <w:p w14:paraId="4E261A0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（3）评分方法和过程要求规范、统一、标准，保证对所有选手一致公平。</w:t>
      </w:r>
    </w:p>
    <w:p w14:paraId="26C2089D">
      <w:pPr>
        <w:spacing w:line="360" w:lineRule="auto"/>
        <w:ind w:firstLine="482" w:firstLineChars="200"/>
        <w:outlineLvl w:val="1"/>
        <w:rPr>
          <w:rFonts w:hint="eastAsia" w:ascii="宋体" w:hAnsi="宋体" w:eastAsia="宋体"/>
          <w:b/>
          <w:bCs/>
          <w:sz w:val="24"/>
          <w:szCs w:val="24"/>
        </w:rPr>
      </w:pPr>
      <w:bookmarkStart w:id="30" w:name="_Toc21333"/>
      <w:r>
        <w:rPr>
          <w:rFonts w:hint="eastAsia" w:ascii="宋体" w:hAnsi="宋体" w:eastAsia="宋体"/>
          <w:b/>
          <w:bCs/>
          <w:sz w:val="24"/>
          <w:szCs w:val="24"/>
        </w:rPr>
        <w:t>（三）成绩复核</w:t>
      </w:r>
      <w:bookmarkEnd w:id="30"/>
    </w:p>
    <w:p w14:paraId="49ABDD9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为保障成绩评判的准确性，监督组将对赛项总成绩排名前30%的所有参赛选手的成绩进行复核，对其余成绩进行抽检复核，抽检覆盖率不得低于15%。如发现成绩错误，以书面方式及时告知裁判长，由裁判长更正成绩并签字确认。复核、抽检错误率超过5%的，裁判组将对所有成绩进行复核。</w:t>
      </w:r>
    </w:p>
    <w:p w14:paraId="6160054D">
      <w:pPr>
        <w:spacing w:line="360" w:lineRule="auto"/>
        <w:ind w:firstLine="482" w:firstLineChars="200"/>
        <w:outlineLvl w:val="1"/>
        <w:rPr>
          <w:rFonts w:hint="eastAsia" w:ascii="宋体" w:hAnsi="宋体" w:eastAsia="宋体"/>
          <w:b/>
          <w:bCs/>
          <w:sz w:val="24"/>
          <w:szCs w:val="24"/>
        </w:rPr>
      </w:pPr>
      <w:bookmarkStart w:id="31" w:name="_Toc30357"/>
      <w:r>
        <w:rPr>
          <w:rFonts w:hint="eastAsia" w:ascii="宋体" w:hAnsi="宋体" w:eastAsia="宋体"/>
          <w:b/>
          <w:bCs/>
          <w:sz w:val="24"/>
          <w:szCs w:val="24"/>
        </w:rPr>
        <w:t>（四）最终成绩</w:t>
      </w:r>
      <w:bookmarkEnd w:id="31"/>
    </w:p>
    <w:p w14:paraId="262D917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赛项最终得分按百分制计分。最终成绩经复核无误，须由裁判长、监督人员签字确认，在实操比赛竞赛全部结束后2小时内公布。</w:t>
      </w:r>
    </w:p>
    <w:p w14:paraId="09EA44AF">
      <w:pPr>
        <w:spacing w:line="360" w:lineRule="auto"/>
        <w:ind w:firstLine="482" w:firstLineChars="200"/>
        <w:outlineLvl w:val="1"/>
        <w:rPr>
          <w:rFonts w:hint="eastAsia" w:ascii="宋体" w:hAnsi="宋体" w:eastAsia="宋体"/>
          <w:b/>
          <w:bCs/>
          <w:sz w:val="24"/>
          <w:szCs w:val="24"/>
        </w:rPr>
      </w:pPr>
      <w:bookmarkStart w:id="32" w:name="_Toc6618"/>
      <w:r>
        <w:rPr>
          <w:rFonts w:hint="eastAsia" w:ascii="宋体" w:hAnsi="宋体" w:eastAsia="宋体"/>
          <w:b/>
          <w:bCs/>
          <w:sz w:val="24"/>
          <w:szCs w:val="24"/>
        </w:rPr>
        <w:t>（五）成绩排序</w:t>
      </w:r>
      <w:bookmarkEnd w:id="32"/>
    </w:p>
    <w:p w14:paraId="7B59B25B">
      <w:pPr>
        <w:spacing w:line="360" w:lineRule="auto"/>
        <w:ind w:firstLine="482" w:firstLineChars="200"/>
        <w:outlineLvl w:val="2"/>
        <w:rPr>
          <w:rFonts w:hint="eastAsia" w:ascii="宋体" w:hAnsi="宋体" w:eastAsia="宋体"/>
          <w:b/>
          <w:bCs/>
          <w:sz w:val="24"/>
          <w:szCs w:val="24"/>
        </w:rPr>
      </w:pPr>
      <w:bookmarkStart w:id="33" w:name="_Toc29163"/>
      <w:r>
        <w:rPr>
          <w:rFonts w:hint="eastAsia" w:ascii="宋体" w:hAnsi="宋体" w:eastAsia="宋体"/>
          <w:b/>
          <w:bCs/>
          <w:sz w:val="24"/>
          <w:szCs w:val="24"/>
        </w:rPr>
        <w:t>1.名次排序方法</w:t>
      </w:r>
      <w:bookmarkEnd w:id="33"/>
    </w:p>
    <w:p w14:paraId="4008B2B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名次的排序根据选手竞赛总分评定结果从高到低依次排定；竞赛总分相同者，用时少的排名在前；若技能实操用时相同，则按“实操比赛任务2”得分排名，得分高者排名在前。</w:t>
      </w:r>
    </w:p>
    <w:p w14:paraId="28BC00ED">
      <w:pPr>
        <w:spacing w:line="360" w:lineRule="auto"/>
        <w:ind w:firstLine="482" w:firstLineChars="200"/>
        <w:outlineLvl w:val="2"/>
        <w:rPr>
          <w:rFonts w:hint="eastAsia" w:ascii="宋体" w:hAnsi="宋体" w:eastAsia="宋体"/>
          <w:b/>
          <w:bCs/>
          <w:sz w:val="24"/>
          <w:szCs w:val="24"/>
        </w:rPr>
      </w:pPr>
      <w:bookmarkStart w:id="34" w:name="_Toc10570"/>
      <w:r>
        <w:rPr>
          <w:rFonts w:hint="eastAsia" w:ascii="宋体" w:hAnsi="宋体" w:eastAsia="宋体"/>
          <w:b/>
          <w:bCs/>
          <w:sz w:val="24"/>
          <w:szCs w:val="24"/>
        </w:rPr>
        <w:t>2.奖项设定</w:t>
      </w:r>
      <w:bookmarkEnd w:id="34"/>
    </w:p>
    <w:p w14:paraId="4F7C48A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奖项设定遵照省人社厅相关文相关规定。</w:t>
      </w:r>
    </w:p>
    <w:p w14:paraId="6DFC3696">
      <w:pPr>
        <w:spacing w:line="360" w:lineRule="auto"/>
        <w:ind w:firstLine="482" w:firstLineChars="200"/>
        <w:outlineLvl w:val="0"/>
        <w:rPr>
          <w:rFonts w:hint="eastAsia" w:ascii="宋体" w:hAnsi="宋体" w:eastAsia="宋体"/>
          <w:b/>
          <w:bCs/>
          <w:sz w:val="24"/>
          <w:szCs w:val="24"/>
        </w:rPr>
      </w:pPr>
      <w:bookmarkStart w:id="35" w:name="_Toc29928"/>
      <w:r>
        <w:rPr>
          <w:rFonts w:hint="eastAsia" w:ascii="宋体" w:hAnsi="宋体" w:eastAsia="宋体"/>
          <w:b/>
          <w:bCs/>
          <w:sz w:val="24"/>
          <w:szCs w:val="24"/>
        </w:rPr>
        <w:t>四、大赛基础设施</w:t>
      </w:r>
      <w:bookmarkEnd w:id="35"/>
    </w:p>
    <w:p w14:paraId="7FC7055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本赛项职工组（含教师）和学生组采用一致的竞赛平台。</w:t>
      </w:r>
    </w:p>
    <w:p w14:paraId="479CF574">
      <w:pPr>
        <w:spacing w:line="360" w:lineRule="auto"/>
        <w:ind w:firstLine="482" w:firstLineChars="200"/>
        <w:outlineLvl w:val="1"/>
        <w:rPr>
          <w:rFonts w:hint="eastAsia" w:ascii="宋体" w:hAnsi="宋体" w:eastAsia="宋体"/>
          <w:b/>
          <w:bCs/>
          <w:sz w:val="24"/>
          <w:szCs w:val="24"/>
        </w:rPr>
      </w:pPr>
      <w:bookmarkStart w:id="36" w:name="_Toc27532"/>
      <w:r>
        <w:rPr>
          <w:rFonts w:hint="eastAsia" w:ascii="宋体" w:hAnsi="宋体" w:eastAsia="宋体"/>
          <w:b/>
          <w:bCs/>
          <w:sz w:val="24"/>
          <w:szCs w:val="24"/>
        </w:rPr>
        <w:t>赛场设备主要配置清单</w:t>
      </w:r>
      <w:bookmarkEnd w:id="36"/>
    </w:p>
    <w:p w14:paraId="0ED348F8">
      <w:pPr>
        <w:spacing w:line="360" w:lineRule="auto"/>
        <w:ind w:firstLine="420" w:firstLineChars="200"/>
        <w:jc w:val="center"/>
        <w:rPr>
          <w:rFonts w:hint="eastAsia" w:ascii="宋体" w:hAnsi="宋体" w:eastAsia="宋体"/>
          <w:szCs w:val="21"/>
        </w:rPr>
      </w:pPr>
      <w:r>
        <w:rPr>
          <w:rFonts w:hint="eastAsia" w:ascii="宋体" w:hAnsi="宋体" w:eastAsia="宋体"/>
          <w:szCs w:val="21"/>
        </w:rPr>
        <w:t>表2：竞赛设备配置清单</w:t>
      </w:r>
    </w:p>
    <w:p w14:paraId="7818E4BD">
      <w:pPr>
        <w:jc w:val="center"/>
        <w:rPr>
          <w:rFonts w:hint="eastAsia" w:ascii="宋体" w:hAnsi="宋体" w:eastAsia="宋体"/>
          <w:b/>
          <w:bCs/>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2879"/>
        <w:gridCol w:w="1134"/>
        <w:gridCol w:w="1701"/>
        <w:gridCol w:w="851"/>
        <w:gridCol w:w="850"/>
      </w:tblGrid>
      <w:tr w14:paraId="7D62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0" w:type="dxa"/>
            <w:noWrap/>
            <w:vAlign w:val="center"/>
          </w:tcPr>
          <w:p w14:paraId="62108CD3">
            <w:pPr>
              <w:jc w:val="center"/>
              <w:rPr>
                <w:rFonts w:hint="eastAsia" w:ascii="宋体" w:hAnsi="宋体" w:eastAsia="宋体"/>
                <w:b/>
                <w:bCs/>
                <w:szCs w:val="21"/>
              </w:rPr>
            </w:pPr>
            <w:r>
              <w:rPr>
                <w:rFonts w:hint="eastAsia" w:ascii="宋体" w:hAnsi="宋体" w:eastAsia="宋体"/>
                <w:b/>
                <w:bCs/>
                <w:szCs w:val="21"/>
              </w:rPr>
              <w:t>序号</w:t>
            </w:r>
          </w:p>
        </w:tc>
        <w:tc>
          <w:tcPr>
            <w:tcW w:w="2879" w:type="dxa"/>
            <w:noWrap/>
            <w:vAlign w:val="center"/>
          </w:tcPr>
          <w:p w14:paraId="2FF75970">
            <w:pPr>
              <w:jc w:val="center"/>
              <w:rPr>
                <w:rFonts w:hint="eastAsia" w:ascii="宋体" w:hAnsi="宋体" w:eastAsia="宋体"/>
                <w:b/>
                <w:bCs/>
                <w:szCs w:val="21"/>
              </w:rPr>
            </w:pPr>
            <w:r>
              <w:rPr>
                <w:rFonts w:hint="eastAsia" w:ascii="宋体" w:hAnsi="宋体" w:eastAsia="宋体"/>
                <w:b/>
                <w:bCs/>
                <w:szCs w:val="21"/>
              </w:rPr>
              <w:t>设备名称</w:t>
            </w:r>
          </w:p>
        </w:tc>
        <w:tc>
          <w:tcPr>
            <w:tcW w:w="1134" w:type="dxa"/>
            <w:noWrap/>
            <w:vAlign w:val="center"/>
          </w:tcPr>
          <w:p w14:paraId="3F2EEEE9">
            <w:pPr>
              <w:jc w:val="center"/>
              <w:rPr>
                <w:rFonts w:hint="eastAsia" w:ascii="宋体" w:hAnsi="宋体" w:eastAsia="宋体"/>
                <w:b/>
                <w:bCs/>
                <w:szCs w:val="21"/>
              </w:rPr>
            </w:pPr>
            <w:r>
              <w:rPr>
                <w:rFonts w:hint="eastAsia" w:ascii="宋体" w:hAnsi="宋体" w:eastAsia="宋体"/>
                <w:b/>
                <w:bCs/>
                <w:szCs w:val="21"/>
              </w:rPr>
              <w:t>品牌</w:t>
            </w:r>
          </w:p>
        </w:tc>
        <w:tc>
          <w:tcPr>
            <w:tcW w:w="1701" w:type="dxa"/>
            <w:noWrap/>
            <w:vAlign w:val="center"/>
          </w:tcPr>
          <w:p w14:paraId="06903697">
            <w:pPr>
              <w:jc w:val="center"/>
              <w:rPr>
                <w:rFonts w:hint="eastAsia" w:ascii="宋体" w:hAnsi="宋体" w:eastAsia="宋体"/>
                <w:b/>
                <w:bCs/>
                <w:szCs w:val="21"/>
              </w:rPr>
            </w:pPr>
            <w:r>
              <w:rPr>
                <w:rFonts w:hint="eastAsia" w:ascii="宋体" w:hAnsi="宋体" w:eastAsia="宋体"/>
                <w:b/>
                <w:bCs/>
                <w:szCs w:val="21"/>
              </w:rPr>
              <w:t>型号</w:t>
            </w:r>
          </w:p>
        </w:tc>
        <w:tc>
          <w:tcPr>
            <w:tcW w:w="851" w:type="dxa"/>
            <w:noWrap/>
            <w:vAlign w:val="center"/>
          </w:tcPr>
          <w:p w14:paraId="658AFF71">
            <w:pPr>
              <w:jc w:val="center"/>
              <w:rPr>
                <w:rFonts w:hint="eastAsia" w:ascii="宋体" w:hAnsi="宋体" w:eastAsia="宋体"/>
                <w:b/>
                <w:bCs/>
                <w:szCs w:val="21"/>
              </w:rPr>
            </w:pPr>
            <w:r>
              <w:rPr>
                <w:rFonts w:hint="eastAsia" w:ascii="宋体" w:hAnsi="宋体" w:eastAsia="宋体"/>
                <w:b/>
                <w:bCs/>
                <w:szCs w:val="21"/>
              </w:rPr>
              <w:t>单位</w:t>
            </w:r>
          </w:p>
        </w:tc>
        <w:tc>
          <w:tcPr>
            <w:tcW w:w="850" w:type="dxa"/>
            <w:noWrap/>
            <w:vAlign w:val="center"/>
          </w:tcPr>
          <w:p w14:paraId="207681EC">
            <w:pPr>
              <w:jc w:val="center"/>
              <w:rPr>
                <w:rFonts w:hint="eastAsia" w:ascii="宋体" w:hAnsi="宋体" w:eastAsia="宋体"/>
                <w:b/>
                <w:bCs/>
                <w:szCs w:val="21"/>
              </w:rPr>
            </w:pPr>
            <w:r>
              <w:rPr>
                <w:rFonts w:hint="eastAsia" w:ascii="宋体" w:hAnsi="宋体" w:eastAsia="宋体"/>
                <w:b/>
                <w:bCs/>
                <w:szCs w:val="21"/>
              </w:rPr>
              <w:t>数量/工位</w:t>
            </w:r>
          </w:p>
        </w:tc>
      </w:tr>
      <w:tr w14:paraId="24E7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60" w:type="dxa"/>
            <w:noWrap/>
            <w:vAlign w:val="center"/>
          </w:tcPr>
          <w:p w14:paraId="587032BE">
            <w:pPr>
              <w:jc w:val="center"/>
              <w:rPr>
                <w:rFonts w:hint="eastAsia" w:ascii="宋体" w:hAnsi="宋体" w:eastAsia="宋体"/>
                <w:szCs w:val="21"/>
              </w:rPr>
            </w:pPr>
            <w:r>
              <w:rPr>
                <w:rFonts w:hint="eastAsia" w:ascii="宋体" w:hAnsi="宋体" w:eastAsia="宋体"/>
                <w:szCs w:val="21"/>
              </w:rPr>
              <w:t>1</w:t>
            </w:r>
          </w:p>
        </w:tc>
        <w:tc>
          <w:tcPr>
            <w:tcW w:w="2879" w:type="dxa"/>
            <w:vAlign w:val="center"/>
          </w:tcPr>
          <w:p w14:paraId="635792BD">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电池包封测与检测诊断实训台</w:t>
            </w:r>
          </w:p>
        </w:tc>
        <w:tc>
          <w:tcPr>
            <w:tcW w:w="1134" w:type="dxa"/>
            <w:noWrap/>
            <w:vAlign w:val="center"/>
          </w:tcPr>
          <w:p w14:paraId="31A55632">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学而为</w:t>
            </w:r>
          </w:p>
        </w:tc>
        <w:tc>
          <w:tcPr>
            <w:tcW w:w="1701" w:type="dxa"/>
            <w:noWrap/>
            <w:vAlign w:val="center"/>
          </w:tcPr>
          <w:p w14:paraId="2EE88778">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XEW-DZT-01</w:t>
            </w:r>
          </w:p>
        </w:tc>
        <w:tc>
          <w:tcPr>
            <w:tcW w:w="851" w:type="dxa"/>
            <w:noWrap/>
            <w:vAlign w:val="center"/>
          </w:tcPr>
          <w:p w14:paraId="29A1CF20">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3F93D1DF">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1</w:t>
            </w:r>
          </w:p>
        </w:tc>
      </w:tr>
      <w:tr w14:paraId="7666A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0" w:type="dxa"/>
            <w:noWrap/>
            <w:vAlign w:val="center"/>
          </w:tcPr>
          <w:p w14:paraId="534DF6EE">
            <w:pPr>
              <w:jc w:val="center"/>
              <w:rPr>
                <w:rFonts w:hint="eastAsia" w:ascii="宋体" w:hAnsi="宋体" w:eastAsia="宋体"/>
                <w:szCs w:val="21"/>
              </w:rPr>
            </w:pPr>
            <w:r>
              <w:rPr>
                <w:rFonts w:hint="eastAsia" w:ascii="宋体" w:hAnsi="宋体" w:eastAsia="宋体"/>
                <w:szCs w:val="21"/>
              </w:rPr>
              <w:t>2</w:t>
            </w:r>
          </w:p>
        </w:tc>
        <w:tc>
          <w:tcPr>
            <w:tcW w:w="2879" w:type="dxa"/>
            <w:vAlign w:val="center"/>
          </w:tcPr>
          <w:p w14:paraId="7106DC14">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电池管理系统上位机软件</w:t>
            </w:r>
          </w:p>
        </w:tc>
        <w:tc>
          <w:tcPr>
            <w:tcW w:w="1134" w:type="dxa"/>
            <w:noWrap/>
            <w:vAlign w:val="center"/>
          </w:tcPr>
          <w:p w14:paraId="2F35E061">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学而为</w:t>
            </w:r>
          </w:p>
        </w:tc>
        <w:tc>
          <w:tcPr>
            <w:tcW w:w="1701" w:type="dxa"/>
            <w:noWrap/>
            <w:vAlign w:val="center"/>
          </w:tcPr>
          <w:p w14:paraId="40EDBF7B">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XEW-DSJ-01S</w:t>
            </w:r>
          </w:p>
        </w:tc>
        <w:tc>
          <w:tcPr>
            <w:tcW w:w="851" w:type="dxa"/>
            <w:noWrap/>
            <w:vAlign w:val="center"/>
          </w:tcPr>
          <w:p w14:paraId="7BD7AE24">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1C40A0D4">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1</w:t>
            </w:r>
          </w:p>
        </w:tc>
      </w:tr>
      <w:tr w14:paraId="3CB5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60" w:type="dxa"/>
            <w:noWrap/>
            <w:vAlign w:val="center"/>
          </w:tcPr>
          <w:p w14:paraId="0446A467">
            <w:pPr>
              <w:jc w:val="center"/>
              <w:rPr>
                <w:rFonts w:hint="eastAsia" w:ascii="宋体" w:hAnsi="宋体" w:eastAsia="宋体"/>
                <w:szCs w:val="21"/>
              </w:rPr>
            </w:pPr>
            <w:r>
              <w:rPr>
                <w:rFonts w:hint="eastAsia" w:ascii="宋体" w:hAnsi="宋体" w:eastAsia="宋体"/>
                <w:szCs w:val="21"/>
              </w:rPr>
              <w:t>3</w:t>
            </w:r>
          </w:p>
        </w:tc>
        <w:tc>
          <w:tcPr>
            <w:tcW w:w="2879" w:type="dxa"/>
            <w:vAlign w:val="center"/>
          </w:tcPr>
          <w:p w14:paraId="251DB672">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纯电动汽车</w:t>
            </w:r>
          </w:p>
        </w:tc>
        <w:tc>
          <w:tcPr>
            <w:tcW w:w="1134" w:type="dxa"/>
            <w:noWrap/>
            <w:vAlign w:val="center"/>
          </w:tcPr>
          <w:p w14:paraId="7FED01A3">
            <w:pPr>
              <w:widowControl/>
              <w:jc w:val="center"/>
              <w:textAlignment w:val="center"/>
              <w:rPr>
                <w:rFonts w:hint="eastAsia" w:ascii="宋体" w:hAnsi="宋体" w:eastAsia="宋体"/>
                <w:szCs w:val="21"/>
              </w:rPr>
            </w:pPr>
            <w:r>
              <w:rPr>
                <w:rFonts w:hint="eastAsia" w:ascii="宋体" w:hAnsi="宋体" w:eastAsia="宋体"/>
                <w:szCs w:val="21"/>
              </w:rPr>
              <w:t>吉利</w:t>
            </w:r>
          </w:p>
        </w:tc>
        <w:tc>
          <w:tcPr>
            <w:tcW w:w="1701" w:type="dxa"/>
            <w:noWrap/>
            <w:vAlign w:val="center"/>
          </w:tcPr>
          <w:p w14:paraId="4264BC55">
            <w:pPr>
              <w:widowControl/>
              <w:jc w:val="center"/>
              <w:textAlignment w:val="center"/>
              <w:rPr>
                <w:rFonts w:hint="eastAsia" w:ascii="宋体" w:hAnsi="宋体" w:eastAsia="宋体"/>
                <w:szCs w:val="21"/>
              </w:rPr>
            </w:pPr>
            <w:r>
              <w:rPr>
                <w:rFonts w:hint="eastAsia" w:ascii="宋体" w:hAnsi="宋体" w:eastAsia="宋体"/>
                <w:szCs w:val="21"/>
              </w:rPr>
              <w:t>EV450</w:t>
            </w:r>
          </w:p>
        </w:tc>
        <w:tc>
          <w:tcPr>
            <w:tcW w:w="851" w:type="dxa"/>
            <w:noWrap/>
            <w:vAlign w:val="center"/>
          </w:tcPr>
          <w:p w14:paraId="2D99D4EF">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018A9651">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1</w:t>
            </w:r>
          </w:p>
        </w:tc>
      </w:tr>
      <w:tr w14:paraId="259C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0" w:type="dxa"/>
            <w:noWrap/>
            <w:vAlign w:val="center"/>
          </w:tcPr>
          <w:p w14:paraId="297BE26B">
            <w:pPr>
              <w:jc w:val="center"/>
              <w:rPr>
                <w:rFonts w:hint="eastAsia" w:ascii="宋体" w:hAnsi="宋体" w:eastAsia="宋体"/>
                <w:szCs w:val="21"/>
              </w:rPr>
            </w:pPr>
            <w:r>
              <w:rPr>
                <w:rFonts w:hint="eastAsia" w:ascii="宋体" w:hAnsi="宋体" w:eastAsia="宋体"/>
                <w:szCs w:val="21"/>
              </w:rPr>
              <w:t>4</w:t>
            </w:r>
          </w:p>
        </w:tc>
        <w:tc>
          <w:tcPr>
            <w:tcW w:w="2879" w:type="dxa"/>
            <w:vAlign w:val="center"/>
          </w:tcPr>
          <w:p w14:paraId="10A9FD63">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故障诊断仪器</w:t>
            </w:r>
          </w:p>
        </w:tc>
        <w:tc>
          <w:tcPr>
            <w:tcW w:w="1134" w:type="dxa"/>
            <w:noWrap/>
            <w:vAlign w:val="center"/>
          </w:tcPr>
          <w:p w14:paraId="646A82A0">
            <w:pPr>
              <w:widowControl/>
              <w:jc w:val="center"/>
              <w:textAlignment w:val="center"/>
              <w:rPr>
                <w:rFonts w:hint="default" w:ascii="宋体" w:hAnsi="宋体" w:eastAsia="宋体"/>
                <w:szCs w:val="21"/>
                <w:lang w:val="en-US" w:eastAsia="zh-CN"/>
              </w:rPr>
            </w:pPr>
            <w:r>
              <w:rPr>
                <w:rFonts w:hint="eastAsia" w:ascii="宋体" w:hAnsi="宋体" w:eastAsia="宋体"/>
                <w:szCs w:val="21"/>
                <w:lang w:val="en-US" w:eastAsia="zh-CN"/>
              </w:rPr>
              <w:t>奇瑞</w:t>
            </w:r>
          </w:p>
        </w:tc>
        <w:tc>
          <w:tcPr>
            <w:tcW w:w="1701" w:type="dxa"/>
            <w:noWrap/>
            <w:vAlign w:val="center"/>
          </w:tcPr>
          <w:p w14:paraId="65220EC9">
            <w:pPr>
              <w:widowControl/>
              <w:jc w:val="center"/>
              <w:textAlignment w:val="center"/>
              <w:rPr>
                <w:rFonts w:hint="default" w:ascii="宋体" w:hAnsi="宋体" w:eastAsia="宋体"/>
                <w:szCs w:val="21"/>
                <w:lang w:val="en-US" w:eastAsia="zh-CN"/>
              </w:rPr>
            </w:pPr>
            <w:r>
              <w:rPr>
                <w:rFonts w:hint="eastAsia" w:ascii="宋体" w:hAnsi="宋体" w:eastAsia="宋体"/>
                <w:szCs w:val="21"/>
                <w:lang w:val="en-US" w:eastAsia="zh-CN"/>
              </w:rPr>
              <w:t>QRXK-1</w:t>
            </w:r>
          </w:p>
        </w:tc>
        <w:tc>
          <w:tcPr>
            <w:tcW w:w="851" w:type="dxa"/>
            <w:noWrap/>
            <w:vAlign w:val="center"/>
          </w:tcPr>
          <w:p w14:paraId="669E2CFA">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5D306B9A">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1</w:t>
            </w:r>
          </w:p>
        </w:tc>
      </w:tr>
      <w:tr w14:paraId="35BF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60" w:type="dxa"/>
            <w:noWrap/>
            <w:vAlign w:val="center"/>
          </w:tcPr>
          <w:p w14:paraId="1009576A">
            <w:pPr>
              <w:jc w:val="center"/>
              <w:rPr>
                <w:rFonts w:hint="eastAsia" w:ascii="宋体" w:hAnsi="宋体" w:eastAsia="宋体"/>
                <w:szCs w:val="21"/>
              </w:rPr>
            </w:pPr>
            <w:r>
              <w:rPr>
                <w:rFonts w:hint="eastAsia" w:ascii="宋体" w:hAnsi="宋体" w:eastAsia="宋体"/>
                <w:szCs w:val="21"/>
              </w:rPr>
              <w:t>5</w:t>
            </w:r>
          </w:p>
        </w:tc>
        <w:tc>
          <w:tcPr>
            <w:tcW w:w="2879" w:type="dxa"/>
            <w:vAlign w:val="center"/>
          </w:tcPr>
          <w:p w14:paraId="516B26A5">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检测工具套装</w:t>
            </w:r>
          </w:p>
        </w:tc>
        <w:tc>
          <w:tcPr>
            <w:tcW w:w="1134" w:type="dxa"/>
            <w:noWrap/>
            <w:vAlign w:val="center"/>
          </w:tcPr>
          <w:p w14:paraId="16B65712">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学而为</w:t>
            </w:r>
          </w:p>
        </w:tc>
        <w:tc>
          <w:tcPr>
            <w:tcW w:w="1701" w:type="dxa"/>
            <w:noWrap/>
            <w:vAlign w:val="center"/>
          </w:tcPr>
          <w:p w14:paraId="6C36F9D2">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XEW-WYB-01W</w:t>
            </w:r>
          </w:p>
        </w:tc>
        <w:tc>
          <w:tcPr>
            <w:tcW w:w="851" w:type="dxa"/>
            <w:noWrap/>
            <w:vAlign w:val="center"/>
          </w:tcPr>
          <w:p w14:paraId="141AD48B">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645897A9">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1</w:t>
            </w:r>
          </w:p>
        </w:tc>
      </w:tr>
      <w:tr w14:paraId="6901E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0" w:type="dxa"/>
            <w:noWrap/>
            <w:vAlign w:val="center"/>
          </w:tcPr>
          <w:p w14:paraId="7D60CF51">
            <w:pPr>
              <w:jc w:val="center"/>
              <w:rPr>
                <w:rFonts w:hint="eastAsia" w:ascii="宋体" w:hAnsi="宋体" w:eastAsia="宋体"/>
                <w:szCs w:val="21"/>
              </w:rPr>
            </w:pPr>
            <w:r>
              <w:rPr>
                <w:rFonts w:hint="eastAsia" w:ascii="宋体" w:hAnsi="宋体" w:eastAsia="宋体"/>
                <w:szCs w:val="21"/>
              </w:rPr>
              <w:t>6</w:t>
            </w:r>
          </w:p>
        </w:tc>
        <w:tc>
          <w:tcPr>
            <w:tcW w:w="2879" w:type="dxa"/>
            <w:vAlign w:val="center"/>
          </w:tcPr>
          <w:p w14:paraId="05FE5F19">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工具和量具套装</w:t>
            </w:r>
          </w:p>
        </w:tc>
        <w:tc>
          <w:tcPr>
            <w:tcW w:w="1134" w:type="dxa"/>
            <w:noWrap/>
            <w:vAlign w:val="center"/>
          </w:tcPr>
          <w:p w14:paraId="0A93018D">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学而为</w:t>
            </w:r>
          </w:p>
        </w:tc>
        <w:tc>
          <w:tcPr>
            <w:tcW w:w="1701" w:type="dxa"/>
            <w:noWrap/>
            <w:vAlign w:val="center"/>
          </w:tcPr>
          <w:p w14:paraId="44AF2BEE">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XEW-TGJ-01W</w:t>
            </w:r>
          </w:p>
        </w:tc>
        <w:tc>
          <w:tcPr>
            <w:tcW w:w="851" w:type="dxa"/>
            <w:noWrap/>
            <w:vAlign w:val="center"/>
          </w:tcPr>
          <w:p w14:paraId="0F351BA9">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0372DFD7">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1</w:t>
            </w:r>
          </w:p>
        </w:tc>
      </w:tr>
      <w:tr w14:paraId="0187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0" w:type="dxa"/>
            <w:noWrap/>
            <w:vAlign w:val="center"/>
          </w:tcPr>
          <w:p w14:paraId="09DA1F6D">
            <w:pPr>
              <w:jc w:val="center"/>
              <w:rPr>
                <w:rFonts w:hint="eastAsia" w:ascii="宋体" w:hAnsi="宋体" w:eastAsia="宋体"/>
                <w:szCs w:val="21"/>
              </w:rPr>
            </w:pPr>
            <w:r>
              <w:rPr>
                <w:rFonts w:hint="eastAsia" w:ascii="宋体" w:hAnsi="宋体" w:eastAsia="宋体"/>
                <w:szCs w:val="21"/>
              </w:rPr>
              <w:t>7</w:t>
            </w:r>
          </w:p>
        </w:tc>
        <w:tc>
          <w:tcPr>
            <w:tcW w:w="2879" w:type="dxa"/>
            <w:vAlign w:val="center"/>
          </w:tcPr>
          <w:p w14:paraId="0FF44BED">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人员安全防护套装</w:t>
            </w:r>
          </w:p>
        </w:tc>
        <w:tc>
          <w:tcPr>
            <w:tcW w:w="1134" w:type="dxa"/>
            <w:noWrap/>
            <w:vAlign w:val="center"/>
          </w:tcPr>
          <w:p w14:paraId="2A1186D6">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学而为</w:t>
            </w:r>
          </w:p>
        </w:tc>
        <w:tc>
          <w:tcPr>
            <w:tcW w:w="1701" w:type="dxa"/>
            <w:noWrap/>
            <w:vAlign w:val="center"/>
          </w:tcPr>
          <w:p w14:paraId="7D6E7B02">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XEW-RFC-01A</w:t>
            </w:r>
          </w:p>
        </w:tc>
        <w:tc>
          <w:tcPr>
            <w:tcW w:w="851" w:type="dxa"/>
            <w:noWrap/>
            <w:vAlign w:val="center"/>
          </w:tcPr>
          <w:p w14:paraId="1271EF92">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3800609F">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2</w:t>
            </w:r>
          </w:p>
        </w:tc>
      </w:tr>
      <w:tr w14:paraId="2B45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0" w:type="dxa"/>
            <w:noWrap/>
            <w:vAlign w:val="center"/>
          </w:tcPr>
          <w:p w14:paraId="48C03993">
            <w:pPr>
              <w:jc w:val="center"/>
              <w:rPr>
                <w:rFonts w:hint="eastAsia" w:ascii="宋体" w:hAnsi="宋体" w:eastAsia="宋体"/>
                <w:szCs w:val="21"/>
              </w:rPr>
            </w:pPr>
            <w:r>
              <w:rPr>
                <w:rFonts w:hint="eastAsia" w:ascii="宋体" w:hAnsi="宋体" w:eastAsia="宋体"/>
                <w:szCs w:val="21"/>
              </w:rPr>
              <w:t>8</w:t>
            </w:r>
          </w:p>
        </w:tc>
        <w:tc>
          <w:tcPr>
            <w:tcW w:w="2879" w:type="dxa"/>
            <w:vAlign w:val="center"/>
          </w:tcPr>
          <w:p w14:paraId="116D8E87">
            <w:pPr>
              <w:widowControl/>
              <w:jc w:val="left"/>
              <w:textAlignment w:val="center"/>
              <w:rPr>
                <w:rFonts w:hint="eastAsia" w:ascii="宋体" w:hAnsi="宋体" w:eastAsia="宋体"/>
                <w:szCs w:val="21"/>
              </w:rPr>
            </w:pPr>
            <w:r>
              <w:rPr>
                <w:rFonts w:hint="eastAsia" w:ascii="宋体" w:hAnsi="宋体" w:eastAsia="宋体" w:cs="宋体"/>
                <w:color w:val="000000"/>
                <w:kern w:val="0"/>
                <w:sz w:val="22"/>
                <w:lang w:bidi="ar"/>
              </w:rPr>
              <w:t>工位安全防护套装</w:t>
            </w:r>
          </w:p>
        </w:tc>
        <w:tc>
          <w:tcPr>
            <w:tcW w:w="1134" w:type="dxa"/>
            <w:noWrap/>
            <w:vAlign w:val="center"/>
          </w:tcPr>
          <w:p w14:paraId="330192FB">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学而为</w:t>
            </w:r>
          </w:p>
        </w:tc>
        <w:tc>
          <w:tcPr>
            <w:tcW w:w="1701" w:type="dxa"/>
            <w:noWrap/>
            <w:vAlign w:val="center"/>
          </w:tcPr>
          <w:p w14:paraId="5E707B07">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XEW-GFC-02A</w:t>
            </w:r>
          </w:p>
        </w:tc>
        <w:tc>
          <w:tcPr>
            <w:tcW w:w="851" w:type="dxa"/>
            <w:noWrap/>
            <w:vAlign w:val="center"/>
          </w:tcPr>
          <w:p w14:paraId="1C2C9F33">
            <w:pPr>
              <w:widowControl/>
              <w:jc w:val="center"/>
              <w:textAlignment w:val="center"/>
              <w:rPr>
                <w:rFonts w:hint="eastAsia" w:ascii="宋体" w:hAnsi="宋体" w:eastAsia="宋体"/>
                <w:szCs w:val="21"/>
              </w:rPr>
            </w:pPr>
            <w:r>
              <w:rPr>
                <w:rFonts w:hint="eastAsia" w:ascii="宋体" w:hAnsi="宋体" w:eastAsia="宋体"/>
                <w:szCs w:val="21"/>
              </w:rPr>
              <w:t>套</w:t>
            </w:r>
          </w:p>
        </w:tc>
        <w:tc>
          <w:tcPr>
            <w:tcW w:w="850" w:type="dxa"/>
            <w:noWrap/>
            <w:vAlign w:val="center"/>
          </w:tcPr>
          <w:p w14:paraId="76E43154">
            <w:pPr>
              <w:widowControl/>
              <w:jc w:val="center"/>
              <w:textAlignment w:val="center"/>
              <w:rPr>
                <w:rFonts w:hint="eastAsia" w:ascii="宋体" w:hAnsi="宋体" w:eastAsia="宋体"/>
                <w:szCs w:val="21"/>
              </w:rPr>
            </w:pPr>
            <w:r>
              <w:rPr>
                <w:rFonts w:hint="eastAsia" w:ascii="宋体" w:hAnsi="宋体" w:eastAsia="宋体" w:cs="宋体"/>
                <w:color w:val="000000"/>
                <w:kern w:val="0"/>
                <w:sz w:val="22"/>
                <w:lang w:bidi="ar"/>
              </w:rPr>
              <w:t>2</w:t>
            </w:r>
          </w:p>
        </w:tc>
      </w:tr>
    </w:tbl>
    <w:p w14:paraId="56835BF8">
      <w:pPr>
        <w:jc w:val="center"/>
        <w:rPr>
          <w:rFonts w:hint="eastAsia" w:ascii="宋体" w:hAnsi="宋体" w:eastAsia="宋体"/>
          <w:b/>
          <w:bCs/>
          <w:szCs w:val="21"/>
        </w:rPr>
      </w:pPr>
    </w:p>
    <w:p w14:paraId="6404E6AE">
      <w:pPr>
        <w:spacing w:line="360" w:lineRule="auto"/>
        <w:rPr>
          <w:rFonts w:hint="eastAsia" w:ascii="宋体" w:hAnsi="宋体" w:eastAsia="宋体"/>
          <w:sz w:val="24"/>
          <w:szCs w:val="24"/>
        </w:rPr>
      </w:pPr>
    </w:p>
    <w:p w14:paraId="2D0865D3">
      <w:pPr>
        <w:spacing w:line="360" w:lineRule="auto"/>
        <w:ind w:firstLine="482" w:firstLineChars="200"/>
        <w:outlineLvl w:val="0"/>
        <w:rPr>
          <w:rFonts w:hint="eastAsia" w:ascii="宋体" w:hAnsi="宋体" w:eastAsia="宋体"/>
          <w:b/>
          <w:bCs/>
          <w:sz w:val="24"/>
          <w:szCs w:val="24"/>
        </w:rPr>
      </w:pPr>
      <w:bookmarkStart w:id="37" w:name="_Toc12059"/>
      <w:r>
        <w:rPr>
          <w:rFonts w:hint="eastAsia" w:ascii="宋体" w:hAnsi="宋体" w:eastAsia="宋体"/>
          <w:b/>
          <w:bCs/>
          <w:sz w:val="24"/>
          <w:szCs w:val="24"/>
        </w:rPr>
        <w:t>五、大赛竞赛流程</w:t>
      </w:r>
      <w:bookmarkEnd w:id="37"/>
    </w:p>
    <w:p w14:paraId="36372DC3">
      <w:pPr>
        <w:spacing w:line="360" w:lineRule="auto"/>
        <w:ind w:firstLine="482" w:firstLineChars="200"/>
        <w:outlineLvl w:val="1"/>
        <w:rPr>
          <w:rFonts w:hint="eastAsia" w:ascii="宋体" w:hAnsi="宋体" w:eastAsia="宋体"/>
          <w:b/>
          <w:bCs/>
          <w:sz w:val="24"/>
          <w:szCs w:val="24"/>
        </w:rPr>
      </w:pPr>
      <w:bookmarkStart w:id="38" w:name="_Toc4652"/>
      <w:r>
        <w:rPr>
          <w:rFonts w:hint="eastAsia" w:ascii="宋体" w:hAnsi="宋体" w:eastAsia="宋体"/>
          <w:b/>
          <w:bCs/>
          <w:sz w:val="24"/>
          <w:szCs w:val="24"/>
        </w:rPr>
        <w:t>（一）场次安排</w:t>
      </w:r>
      <w:bookmarkEnd w:id="38"/>
    </w:p>
    <w:p w14:paraId="1975BA9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根据参赛选手报名人数和设备数量而定。</w:t>
      </w:r>
    </w:p>
    <w:p w14:paraId="63D18868">
      <w:pPr>
        <w:spacing w:line="360" w:lineRule="auto"/>
        <w:ind w:firstLine="482" w:firstLineChars="200"/>
        <w:outlineLvl w:val="1"/>
        <w:rPr>
          <w:rFonts w:hint="eastAsia" w:ascii="宋体" w:hAnsi="宋体" w:eastAsia="宋体"/>
          <w:b/>
          <w:bCs/>
          <w:sz w:val="24"/>
          <w:szCs w:val="24"/>
        </w:rPr>
      </w:pPr>
      <w:bookmarkStart w:id="39" w:name="_Toc13101"/>
      <w:r>
        <w:rPr>
          <w:rFonts w:hint="eastAsia" w:ascii="宋体" w:hAnsi="宋体" w:eastAsia="宋体"/>
          <w:b/>
          <w:bCs/>
          <w:sz w:val="24"/>
          <w:szCs w:val="24"/>
        </w:rPr>
        <w:t>（二）场次和工位抽签</w:t>
      </w:r>
      <w:bookmarkEnd w:id="39"/>
    </w:p>
    <w:p w14:paraId="3831C5A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竞赛前，由技术工作委员会统筹考虑参赛人数和设备台套数，确定竞赛场次，工位抽签在赛前30分钟进行。</w:t>
      </w:r>
    </w:p>
    <w:p w14:paraId="6878DB27">
      <w:pPr>
        <w:spacing w:line="360" w:lineRule="auto"/>
        <w:ind w:firstLine="482" w:firstLineChars="200"/>
        <w:outlineLvl w:val="1"/>
        <w:rPr>
          <w:rFonts w:hint="eastAsia" w:ascii="宋体" w:hAnsi="宋体" w:eastAsia="宋体"/>
          <w:b/>
          <w:bCs/>
          <w:sz w:val="24"/>
          <w:szCs w:val="24"/>
        </w:rPr>
      </w:pPr>
      <w:bookmarkStart w:id="40" w:name="_Toc14139"/>
      <w:r>
        <w:rPr>
          <w:rFonts w:hint="eastAsia" w:ascii="宋体" w:hAnsi="宋体" w:eastAsia="宋体"/>
          <w:b/>
          <w:bCs/>
          <w:sz w:val="24"/>
          <w:szCs w:val="24"/>
        </w:rPr>
        <w:t>（三）日程安排</w:t>
      </w:r>
      <w:bookmarkEnd w:id="40"/>
    </w:p>
    <w:p w14:paraId="6203DFC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竞赛前将根据参赛人数、竞赛批次等制定详细日程表，比赛详细流程表另行发布。</w:t>
      </w:r>
    </w:p>
    <w:p w14:paraId="49ACC11D">
      <w:pPr>
        <w:spacing w:line="360" w:lineRule="auto"/>
        <w:ind w:firstLine="482" w:firstLineChars="200"/>
        <w:outlineLvl w:val="0"/>
        <w:rPr>
          <w:rFonts w:hint="eastAsia" w:ascii="宋体" w:hAnsi="宋体" w:eastAsia="宋体"/>
          <w:b/>
          <w:bCs/>
          <w:sz w:val="24"/>
          <w:szCs w:val="24"/>
        </w:rPr>
      </w:pPr>
      <w:bookmarkStart w:id="41" w:name="_Toc25810"/>
      <w:r>
        <w:rPr>
          <w:rFonts w:hint="eastAsia" w:ascii="宋体" w:hAnsi="宋体" w:eastAsia="宋体"/>
          <w:b/>
          <w:bCs/>
          <w:sz w:val="24"/>
          <w:szCs w:val="24"/>
        </w:rPr>
        <w:t>六、裁判员条件和工作内容</w:t>
      </w:r>
      <w:bookmarkEnd w:id="41"/>
    </w:p>
    <w:p w14:paraId="03795DFD">
      <w:pPr>
        <w:spacing w:line="360" w:lineRule="auto"/>
        <w:ind w:firstLine="482" w:firstLineChars="200"/>
        <w:outlineLvl w:val="1"/>
        <w:rPr>
          <w:rFonts w:hint="eastAsia" w:ascii="宋体" w:hAnsi="宋体" w:eastAsia="宋体"/>
          <w:b/>
          <w:bCs/>
          <w:sz w:val="24"/>
          <w:szCs w:val="24"/>
        </w:rPr>
      </w:pPr>
      <w:bookmarkStart w:id="42" w:name="_Toc8692"/>
      <w:r>
        <w:rPr>
          <w:rFonts w:hint="eastAsia" w:ascii="宋体" w:hAnsi="宋体" w:eastAsia="宋体"/>
          <w:b/>
          <w:bCs/>
          <w:sz w:val="24"/>
          <w:szCs w:val="24"/>
        </w:rPr>
        <w:t>（一）裁判长</w:t>
      </w:r>
      <w:bookmarkEnd w:id="42"/>
    </w:p>
    <w:p w14:paraId="6DD1C90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场实行裁判长负责制，全面负责本赛项的竞赛执裁工作。裁判长和副裁判长由大赛全国组委会通过遴选审核确定，大赛全国组委会全力配合裁判长完成竞赛组织和裁判管理工作。裁判长、副裁判长要全面了解竞赛技术要点、竞赛组织过程、裁判技术规范。</w:t>
      </w:r>
    </w:p>
    <w:p w14:paraId="2419E7A3">
      <w:pPr>
        <w:spacing w:line="360" w:lineRule="auto"/>
        <w:ind w:firstLine="482" w:firstLineChars="200"/>
        <w:outlineLvl w:val="1"/>
        <w:rPr>
          <w:rFonts w:hint="eastAsia" w:ascii="宋体" w:hAnsi="宋体" w:eastAsia="宋体"/>
          <w:b/>
          <w:bCs/>
          <w:sz w:val="24"/>
          <w:szCs w:val="24"/>
        </w:rPr>
      </w:pPr>
      <w:bookmarkStart w:id="43" w:name="_Toc32587"/>
      <w:r>
        <w:rPr>
          <w:rFonts w:hint="eastAsia" w:ascii="宋体" w:hAnsi="宋体" w:eastAsia="宋体"/>
          <w:b/>
          <w:bCs/>
          <w:sz w:val="24"/>
          <w:szCs w:val="24"/>
        </w:rPr>
        <w:t>（二）裁判员的条件和组成</w:t>
      </w:r>
      <w:bookmarkEnd w:id="43"/>
    </w:p>
    <w:p w14:paraId="1A13558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员须符合裁判员工作管理规范，赛前由技术工作委员会统一组织裁判员培训。参加决赛执裁的裁判员由技术工作委员会抽取和推荐。被抽取或推荐的裁判员在大赛前可申请不参加裁判工作并放弃相应权利。一旦确认担任裁判员工作后，比赛中途不得更换人选。若裁判员不能满足裁判等技术工作需要，由裁判长按照大赛全国组委会相关要求处理。</w:t>
      </w:r>
    </w:p>
    <w:p w14:paraId="09AC4A2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员应服从裁判长的管理，裁判员的工作由裁判长指派或抽签决定。在工作时间内，裁判员不得徇私舞弊、无故迟到、早退、中途离开工作地或放弃工作，否则将视其影响程度进行相应处理，直至取消裁判员资格并记录在案。</w:t>
      </w:r>
    </w:p>
    <w:p w14:paraId="7BB5037B">
      <w:pPr>
        <w:spacing w:line="360" w:lineRule="auto"/>
        <w:ind w:firstLine="482" w:firstLineChars="200"/>
        <w:outlineLvl w:val="1"/>
        <w:rPr>
          <w:rFonts w:hint="eastAsia" w:ascii="宋体" w:hAnsi="宋体" w:eastAsia="宋体"/>
          <w:b/>
          <w:bCs/>
          <w:sz w:val="24"/>
          <w:szCs w:val="24"/>
        </w:rPr>
      </w:pPr>
      <w:bookmarkStart w:id="44" w:name="_Toc13762"/>
      <w:r>
        <w:rPr>
          <w:rFonts w:hint="eastAsia" w:ascii="宋体" w:hAnsi="宋体" w:eastAsia="宋体"/>
          <w:b/>
          <w:bCs/>
          <w:sz w:val="24"/>
          <w:szCs w:val="24"/>
        </w:rPr>
        <w:t>（三）裁判员的工作内容</w:t>
      </w:r>
      <w:bookmarkEnd w:id="44"/>
    </w:p>
    <w:p w14:paraId="6A537061">
      <w:pPr>
        <w:spacing w:line="360" w:lineRule="auto"/>
        <w:ind w:firstLine="482" w:firstLineChars="200"/>
        <w:outlineLvl w:val="2"/>
        <w:rPr>
          <w:rFonts w:hint="eastAsia" w:ascii="宋体" w:hAnsi="宋体" w:eastAsia="宋体"/>
          <w:b/>
          <w:bCs/>
          <w:sz w:val="24"/>
          <w:szCs w:val="24"/>
        </w:rPr>
      </w:pPr>
      <w:bookmarkStart w:id="45" w:name="_Toc16597"/>
      <w:r>
        <w:rPr>
          <w:rFonts w:hint="eastAsia" w:ascii="宋体" w:hAnsi="宋体" w:eastAsia="宋体"/>
          <w:b/>
          <w:bCs/>
          <w:sz w:val="24"/>
          <w:szCs w:val="24"/>
        </w:rPr>
        <w:t>1.裁判员赛前培训</w:t>
      </w:r>
      <w:bookmarkEnd w:id="45"/>
    </w:p>
    <w:p w14:paraId="10F17F2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裁判员需在赛前参加裁判工作培训，掌握与执裁工作相关的大赛制度要求和赛项竞赛规则，具体包括：竞赛技术规则、竞赛技术平台、评分方式、评分标准、成绩管理流程、安全注意事项和安全应急预案等。</w:t>
      </w:r>
    </w:p>
    <w:p w14:paraId="1BA69A03">
      <w:pPr>
        <w:spacing w:line="360" w:lineRule="auto"/>
        <w:ind w:firstLine="482" w:firstLineChars="200"/>
        <w:outlineLvl w:val="2"/>
        <w:rPr>
          <w:rFonts w:hint="eastAsia" w:ascii="宋体" w:hAnsi="宋体" w:eastAsia="宋体"/>
          <w:b/>
          <w:bCs/>
          <w:sz w:val="24"/>
          <w:szCs w:val="24"/>
        </w:rPr>
      </w:pPr>
      <w:bookmarkStart w:id="46" w:name="_Toc1640"/>
      <w:r>
        <w:rPr>
          <w:rFonts w:hint="eastAsia" w:ascii="宋体" w:hAnsi="宋体" w:eastAsia="宋体"/>
          <w:b/>
          <w:bCs/>
          <w:sz w:val="24"/>
          <w:szCs w:val="24"/>
        </w:rPr>
        <w:t>2.裁判员分组</w:t>
      </w:r>
      <w:bookmarkEnd w:id="46"/>
    </w:p>
    <w:p w14:paraId="7F08591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在裁判长的安排下，对裁判员进行分组，并明确组内人员分工及工作职责、工作流程和工作要求等。</w:t>
      </w:r>
    </w:p>
    <w:p w14:paraId="7E4EE035">
      <w:pPr>
        <w:spacing w:line="360" w:lineRule="auto"/>
        <w:ind w:firstLine="482" w:firstLineChars="200"/>
        <w:outlineLvl w:val="2"/>
        <w:rPr>
          <w:rFonts w:hint="eastAsia" w:ascii="宋体" w:hAnsi="宋体" w:eastAsia="宋体"/>
          <w:b/>
          <w:bCs/>
          <w:sz w:val="24"/>
          <w:szCs w:val="24"/>
        </w:rPr>
      </w:pPr>
      <w:bookmarkStart w:id="47" w:name="_Toc27323"/>
      <w:r>
        <w:rPr>
          <w:rFonts w:hint="eastAsia" w:ascii="宋体" w:hAnsi="宋体" w:eastAsia="宋体"/>
          <w:b/>
          <w:bCs/>
          <w:sz w:val="24"/>
          <w:szCs w:val="24"/>
        </w:rPr>
        <w:t>3.赛前准备</w:t>
      </w:r>
      <w:bookmarkEnd w:id="47"/>
    </w:p>
    <w:p w14:paraId="1232E54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裁判执裁前对赛场设备设施的规范性、完整性和安全性进行检查，做好执裁的准备工作。</w:t>
      </w:r>
    </w:p>
    <w:p w14:paraId="4591CBF9">
      <w:pPr>
        <w:spacing w:line="360" w:lineRule="auto"/>
        <w:ind w:firstLine="482" w:firstLineChars="200"/>
        <w:outlineLvl w:val="2"/>
        <w:rPr>
          <w:rFonts w:hint="eastAsia" w:ascii="宋体" w:hAnsi="宋体" w:eastAsia="宋体"/>
          <w:b/>
          <w:bCs/>
          <w:sz w:val="24"/>
          <w:szCs w:val="24"/>
        </w:rPr>
      </w:pPr>
      <w:bookmarkStart w:id="48" w:name="_Toc8780"/>
      <w:r>
        <w:rPr>
          <w:rFonts w:hint="eastAsia" w:ascii="宋体" w:hAnsi="宋体" w:eastAsia="宋体"/>
          <w:b/>
          <w:bCs/>
          <w:sz w:val="24"/>
          <w:szCs w:val="24"/>
        </w:rPr>
        <w:t>4.现场执裁</w:t>
      </w:r>
      <w:bookmarkEnd w:id="48"/>
    </w:p>
    <w:p w14:paraId="7E7233C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现场裁判负责引导选手在赛位或等候区域等待竞赛指令。期间，现场裁判需向选手宣读竞赛须知，提醒选手遵照安全规定和操作规范进行竞赛。竞赛过程中，裁判员不得单独接近选手，除非选手举手示意裁判员解决竞赛中出现的问题，或选手出现严重违规行为。裁判员无权解释竞赛试题内容。竞赛中现场裁判需做好赛场纪律的维护，对有违规行为的选手提出警告，对严重违规选手，应按竞赛规程予以停赛或取消竞赛资格等处理，并记录在《赛场情况记录表》。在具有危险性的作业环节，裁判员要严防选手出现错误操作。现场裁判适时提醒选手竞赛剩余时间，到竞赛结束时，选手仍未停止作业，现场裁判在确保安全前提下有权强制终止选手作业。加密裁判和现场裁判负责检查选手携带的物品，违规物品一律清出赛场。竞赛结束后裁判员要指令选手停止竞赛，监督选手提交一切竞赛文件。竞赛换场期间，现场裁判须做好选手的隔离工作。</w:t>
      </w:r>
    </w:p>
    <w:p w14:paraId="7E39CE88">
      <w:pPr>
        <w:spacing w:line="360" w:lineRule="auto"/>
        <w:ind w:firstLine="482" w:firstLineChars="200"/>
        <w:outlineLvl w:val="2"/>
        <w:rPr>
          <w:rFonts w:hint="eastAsia" w:ascii="宋体" w:hAnsi="宋体" w:eastAsia="宋体"/>
          <w:b/>
          <w:bCs/>
          <w:sz w:val="24"/>
          <w:szCs w:val="24"/>
        </w:rPr>
      </w:pPr>
      <w:bookmarkStart w:id="49" w:name="_Toc749"/>
      <w:r>
        <w:rPr>
          <w:rFonts w:hint="eastAsia" w:ascii="宋体" w:hAnsi="宋体" w:eastAsia="宋体"/>
          <w:b/>
          <w:bCs/>
          <w:sz w:val="24"/>
          <w:szCs w:val="24"/>
        </w:rPr>
        <w:t>5.竞赛作品加密和解密</w:t>
      </w:r>
      <w:bookmarkEnd w:id="49"/>
    </w:p>
    <w:p w14:paraId="62548D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加密由加密裁判员负责；评分结果得出后，加密裁判在监督人员监督下对加密结果进行解密，并形成最终成绩单。</w:t>
      </w:r>
    </w:p>
    <w:p w14:paraId="60CED990">
      <w:pPr>
        <w:spacing w:line="360" w:lineRule="auto"/>
        <w:ind w:firstLine="482" w:firstLineChars="200"/>
        <w:outlineLvl w:val="2"/>
        <w:rPr>
          <w:rFonts w:hint="eastAsia" w:ascii="宋体" w:hAnsi="宋体" w:eastAsia="宋体"/>
          <w:b/>
          <w:bCs/>
          <w:sz w:val="24"/>
          <w:szCs w:val="24"/>
        </w:rPr>
      </w:pPr>
      <w:bookmarkStart w:id="50" w:name="_Toc27703"/>
      <w:r>
        <w:rPr>
          <w:rFonts w:hint="eastAsia" w:ascii="宋体" w:hAnsi="宋体" w:eastAsia="宋体"/>
          <w:b/>
          <w:bCs/>
          <w:sz w:val="24"/>
          <w:szCs w:val="24"/>
        </w:rPr>
        <w:t>6.竞赛材料和作品管理</w:t>
      </w:r>
      <w:bookmarkEnd w:id="50"/>
    </w:p>
    <w:p w14:paraId="3360770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现场裁判须在规定时间发放赛题等竞赛材料，于赛后回收、密封所有竞赛作品和资料，并将其交给承办单位就地按规定保存。</w:t>
      </w:r>
    </w:p>
    <w:p w14:paraId="16C28157">
      <w:pPr>
        <w:spacing w:line="360" w:lineRule="auto"/>
        <w:ind w:firstLine="482" w:firstLineChars="200"/>
        <w:outlineLvl w:val="2"/>
        <w:rPr>
          <w:rFonts w:hint="eastAsia" w:ascii="宋体" w:hAnsi="宋体" w:eastAsia="宋体"/>
          <w:b/>
          <w:bCs/>
          <w:sz w:val="24"/>
          <w:szCs w:val="24"/>
        </w:rPr>
      </w:pPr>
      <w:bookmarkStart w:id="51" w:name="_Toc27460"/>
      <w:r>
        <w:rPr>
          <w:rFonts w:hint="eastAsia" w:ascii="宋体" w:hAnsi="宋体" w:eastAsia="宋体"/>
          <w:b/>
          <w:bCs/>
          <w:sz w:val="24"/>
          <w:szCs w:val="24"/>
        </w:rPr>
        <w:t>7.成绩复核及数据录入、统计</w:t>
      </w:r>
      <w:bookmarkEnd w:id="51"/>
    </w:p>
    <w:p w14:paraId="7B49965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如在成绩复核中发现错误，裁判长须会同相关评分裁判更正成绩并签字确认。</w:t>
      </w:r>
    </w:p>
    <w:p w14:paraId="511A4168">
      <w:pPr>
        <w:spacing w:line="360" w:lineRule="auto"/>
        <w:ind w:firstLine="482" w:firstLineChars="200"/>
        <w:outlineLvl w:val="1"/>
        <w:rPr>
          <w:rFonts w:hint="eastAsia" w:ascii="宋体" w:hAnsi="宋体" w:eastAsia="宋体"/>
          <w:b/>
          <w:bCs/>
          <w:sz w:val="24"/>
          <w:szCs w:val="24"/>
        </w:rPr>
      </w:pPr>
      <w:bookmarkStart w:id="52" w:name="_Toc26637"/>
      <w:r>
        <w:rPr>
          <w:rFonts w:hint="eastAsia" w:ascii="宋体" w:hAnsi="宋体" w:eastAsia="宋体"/>
          <w:b/>
          <w:bCs/>
          <w:sz w:val="24"/>
          <w:szCs w:val="24"/>
        </w:rPr>
        <w:t>（四）裁判员在评判工作中的任务</w:t>
      </w:r>
      <w:bookmarkEnd w:id="52"/>
    </w:p>
    <w:p w14:paraId="077A147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现场裁判根据裁判长的安排，在竞赛过程中进行执裁，根据参赛选手的现场表现，依据赛题要求、评分细则完成过程记录和评分，填写记录评分表并签字确认；结果评分裁判根据参赛选手提交的竞赛成果，依据评分细则进行评分；统分裁判负责在监督人员监督下完成统分工作，统分表须由统分裁判、裁判长、监督组成员共同签字确认。各模块统分结束后，统分裁判在监督人员监督下完成汇总计分工作，填写成绩汇总表。在正式公布竞赛成绩之前，任何人员不得泄露评分结果。</w:t>
      </w:r>
    </w:p>
    <w:p w14:paraId="78086D6C">
      <w:pPr>
        <w:spacing w:line="360" w:lineRule="auto"/>
        <w:ind w:firstLine="482" w:firstLineChars="200"/>
        <w:outlineLvl w:val="1"/>
        <w:rPr>
          <w:rFonts w:hint="eastAsia" w:ascii="宋体" w:hAnsi="宋体" w:eastAsia="宋体"/>
          <w:b/>
          <w:bCs/>
          <w:sz w:val="24"/>
          <w:szCs w:val="24"/>
        </w:rPr>
      </w:pPr>
      <w:bookmarkStart w:id="53" w:name="_Toc17365"/>
      <w:r>
        <w:rPr>
          <w:rFonts w:hint="eastAsia" w:ascii="宋体" w:hAnsi="宋体" w:eastAsia="宋体"/>
          <w:b/>
          <w:bCs/>
          <w:sz w:val="24"/>
          <w:szCs w:val="24"/>
        </w:rPr>
        <w:t>（五）裁判员在评判中的纪律和要求</w:t>
      </w:r>
      <w:bookmarkEnd w:id="53"/>
    </w:p>
    <w:p w14:paraId="10F6846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1.裁判员必须服从竞赛规则要求，认真履行相关工作职责和流程。裁判员在工作期间不得使用手机、照相机、录像机等通信和数据存储设备。在竞赛、评分过程中，不得拍照赛题、图纸、竞赛作品。</w:t>
      </w:r>
    </w:p>
    <w:p w14:paraId="454B3AF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2.监督仲裁人员不得干扰裁判人员工作，对于执裁评分的质疑应向裁判长提出，并由裁判长视相关问题做出解释和解决。</w:t>
      </w:r>
    </w:p>
    <w:p w14:paraId="722234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3.主观评判时裁判员不得相互讨论，不得引导他人判断。</w:t>
      </w:r>
    </w:p>
    <w:p w14:paraId="25450E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4.过程评分要由至少两位裁判共同执裁。</w:t>
      </w:r>
    </w:p>
    <w:p w14:paraId="6552FC1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5.现场裁判应及时响应参赛选手提出的问题和合理要求。</w:t>
      </w:r>
    </w:p>
    <w:p w14:paraId="0F3F722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6.现场裁判不得接近正在比赛的选手，不得在比赛选手附近评论或讨论任何问题。</w:t>
      </w:r>
    </w:p>
    <w:p w14:paraId="100B0981">
      <w:pPr>
        <w:spacing w:line="360" w:lineRule="auto"/>
        <w:ind w:firstLine="480" w:firstLineChars="200"/>
        <w:outlineLvl w:val="2"/>
        <w:rPr>
          <w:rFonts w:hint="eastAsia" w:ascii="宋体" w:hAnsi="宋体" w:eastAsia="宋体"/>
          <w:sz w:val="24"/>
          <w:szCs w:val="24"/>
        </w:rPr>
      </w:pPr>
      <w:bookmarkStart w:id="54" w:name="_Toc14917"/>
      <w:r>
        <w:rPr>
          <w:rFonts w:hint="eastAsia" w:ascii="宋体" w:hAnsi="宋体" w:eastAsia="宋体"/>
          <w:sz w:val="24"/>
          <w:szCs w:val="24"/>
        </w:rPr>
        <w:t>7.现场裁判须负责比赛全过程的安全检查。</w:t>
      </w:r>
      <w:bookmarkEnd w:id="54"/>
    </w:p>
    <w:p w14:paraId="2BC8D97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8.裁判长有权对评判结果造成不良影响等情况的裁判人员做出终止其裁判工作的处理。</w:t>
      </w:r>
    </w:p>
    <w:p w14:paraId="534AF58E">
      <w:pPr>
        <w:spacing w:line="360" w:lineRule="auto"/>
        <w:ind w:firstLine="482" w:firstLineChars="200"/>
        <w:outlineLvl w:val="0"/>
        <w:rPr>
          <w:rFonts w:hint="eastAsia" w:ascii="宋体" w:hAnsi="宋体" w:eastAsia="宋体"/>
          <w:b/>
          <w:bCs/>
          <w:sz w:val="24"/>
          <w:szCs w:val="24"/>
        </w:rPr>
      </w:pPr>
      <w:bookmarkStart w:id="55" w:name="_Toc30985"/>
      <w:r>
        <w:rPr>
          <w:rFonts w:hint="eastAsia" w:ascii="宋体" w:hAnsi="宋体" w:eastAsia="宋体"/>
          <w:b/>
          <w:bCs/>
          <w:sz w:val="24"/>
          <w:szCs w:val="24"/>
        </w:rPr>
        <w:t>七、选手的条件和工作内容</w:t>
      </w:r>
      <w:bookmarkEnd w:id="55"/>
    </w:p>
    <w:p w14:paraId="7DBB2E2F">
      <w:pPr>
        <w:spacing w:line="360" w:lineRule="auto"/>
        <w:ind w:firstLine="482" w:firstLineChars="200"/>
        <w:outlineLvl w:val="1"/>
        <w:rPr>
          <w:rFonts w:hint="eastAsia" w:ascii="宋体" w:hAnsi="宋体" w:eastAsia="宋体"/>
          <w:b/>
          <w:bCs/>
          <w:sz w:val="24"/>
          <w:szCs w:val="24"/>
        </w:rPr>
      </w:pPr>
      <w:bookmarkStart w:id="56" w:name="_Toc22576"/>
      <w:r>
        <w:rPr>
          <w:rFonts w:hint="eastAsia" w:ascii="宋体" w:hAnsi="宋体" w:eastAsia="宋体"/>
          <w:b/>
          <w:bCs/>
          <w:sz w:val="24"/>
          <w:szCs w:val="24"/>
        </w:rPr>
        <w:t>（一）选手的条件和要求</w:t>
      </w:r>
      <w:bookmarkEnd w:id="56"/>
    </w:p>
    <w:p w14:paraId="3311E1E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凡从事相关专业或职业的企业职工、院校教师、职业院校（含技工院校）在籍学生均可报名参加本次比赛。</w:t>
      </w:r>
    </w:p>
    <w:p w14:paraId="76422959">
      <w:pPr>
        <w:spacing w:line="360" w:lineRule="auto"/>
        <w:ind w:firstLine="482" w:firstLineChars="200"/>
        <w:outlineLvl w:val="1"/>
        <w:rPr>
          <w:rFonts w:hint="eastAsia" w:ascii="宋体" w:hAnsi="宋体" w:eastAsia="宋体"/>
          <w:b/>
          <w:bCs/>
          <w:sz w:val="24"/>
          <w:szCs w:val="24"/>
        </w:rPr>
      </w:pPr>
      <w:bookmarkStart w:id="57" w:name="_Toc9046"/>
      <w:r>
        <w:rPr>
          <w:rFonts w:hint="eastAsia" w:ascii="宋体" w:hAnsi="宋体" w:eastAsia="宋体"/>
          <w:b/>
          <w:bCs/>
          <w:sz w:val="24"/>
          <w:szCs w:val="24"/>
        </w:rPr>
        <w:t>（二）选手的工作内容</w:t>
      </w:r>
      <w:bookmarkEnd w:id="57"/>
    </w:p>
    <w:p w14:paraId="63392940">
      <w:pPr>
        <w:spacing w:line="360" w:lineRule="auto"/>
        <w:ind w:firstLine="482" w:firstLineChars="200"/>
        <w:outlineLvl w:val="2"/>
        <w:rPr>
          <w:rFonts w:hint="eastAsia" w:ascii="宋体" w:hAnsi="宋体" w:eastAsia="宋体"/>
          <w:b/>
          <w:bCs/>
          <w:sz w:val="24"/>
          <w:szCs w:val="24"/>
        </w:rPr>
      </w:pPr>
      <w:bookmarkStart w:id="58" w:name="_Toc5956"/>
      <w:r>
        <w:rPr>
          <w:rFonts w:hint="eastAsia" w:ascii="宋体" w:hAnsi="宋体" w:eastAsia="宋体"/>
          <w:b/>
          <w:bCs/>
          <w:sz w:val="24"/>
          <w:szCs w:val="24"/>
        </w:rPr>
        <w:t>1.熟悉场地和设备</w:t>
      </w:r>
      <w:bookmarkEnd w:id="58"/>
    </w:p>
    <w:p w14:paraId="7BD562F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（1）赛前安排各参赛队选手统一有序的熟悉竞赛场地和设备，不允许拆装设备、不允许修改软件、设备参数等。</w:t>
      </w:r>
    </w:p>
    <w:p w14:paraId="68A112C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（2）熟悉场地时，不得携带手机、相机等设备，不得对赛场及赛场设备拍照。</w:t>
      </w:r>
    </w:p>
    <w:p w14:paraId="065AA0E9">
      <w:pPr>
        <w:spacing w:line="360" w:lineRule="auto"/>
        <w:ind w:firstLine="480" w:firstLineChars="200"/>
        <w:outlineLvl w:val="3"/>
        <w:rPr>
          <w:rFonts w:hint="eastAsia" w:ascii="宋体" w:hAnsi="宋体" w:eastAsia="宋体"/>
          <w:sz w:val="24"/>
          <w:szCs w:val="24"/>
        </w:rPr>
      </w:pPr>
      <w:r>
        <w:rPr>
          <w:rFonts w:hint="eastAsia" w:ascii="宋体" w:hAnsi="宋体" w:eastAsia="宋体"/>
          <w:sz w:val="24"/>
          <w:szCs w:val="24"/>
        </w:rPr>
        <w:t>（3）熟悉场地时不发表没有根据及有损大赛整体形象的言论。</w:t>
      </w:r>
    </w:p>
    <w:p w14:paraId="4FF195C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（4）熟悉场地时严格遵守大赛各种制度，严禁拥挤，喧哗，以免发生意外事故。</w:t>
      </w:r>
    </w:p>
    <w:p w14:paraId="020B4B36">
      <w:pPr>
        <w:spacing w:line="360" w:lineRule="auto"/>
        <w:ind w:firstLine="482" w:firstLineChars="200"/>
        <w:outlineLvl w:val="2"/>
        <w:rPr>
          <w:rFonts w:hint="eastAsia" w:ascii="宋体" w:hAnsi="宋体" w:eastAsia="宋体"/>
          <w:b/>
          <w:bCs/>
          <w:sz w:val="24"/>
          <w:szCs w:val="24"/>
        </w:rPr>
      </w:pPr>
      <w:bookmarkStart w:id="59" w:name="_Toc19910"/>
      <w:r>
        <w:rPr>
          <w:rFonts w:hint="eastAsia" w:ascii="宋体" w:hAnsi="宋体" w:eastAsia="宋体"/>
          <w:b/>
          <w:bCs/>
          <w:sz w:val="24"/>
          <w:szCs w:val="24"/>
        </w:rPr>
        <w:t>2.检录时</w:t>
      </w:r>
      <w:bookmarkEnd w:id="59"/>
    </w:p>
    <w:p w14:paraId="0651034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选手抽签确定赛位。</w:t>
      </w:r>
    </w:p>
    <w:p w14:paraId="6CF77829">
      <w:pPr>
        <w:spacing w:line="360" w:lineRule="auto"/>
        <w:ind w:firstLine="482" w:firstLineChars="200"/>
        <w:outlineLvl w:val="2"/>
        <w:rPr>
          <w:rFonts w:hint="eastAsia" w:ascii="宋体" w:hAnsi="宋体" w:eastAsia="宋体"/>
          <w:b/>
          <w:bCs/>
          <w:sz w:val="24"/>
          <w:szCs w:val="24"/>
        </w:rPr>
      </w:pPr>
      <w:bookmarkStart w:id="60" w:name="_Toc31760"/>
      <w:r>
        <w:rPr>
          <w:rFonts w:hint="eastAsia" w:ascii="宋体" w:hAnsi="宋体" w:eastAsia="宋体"/>
          <w:b/>
          <w:bCs/>
          <w:sz w:val="24"/>
          <w:szCs w:val="24"/>
        </w:rPr>
        <w:t>3.竞赛过程中</w:t>
      </w:r>
      <w:bookmarkEnd w:id="60"/>
    </w:p>
    <w:p w14:paraId="6CC9A4A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选手遵守竞赛纪律，服从赛场规范，按照赛题要求完成竞赛。</w:t>
      </w:r>
    </w:p>
    <w:p w14:paraId="0EBEC7FB">
      <w:pPr>
        <w:spacing w:line="360" w:lineRule="auto"/>
        <w:ind w:firstLine="482" w:firstLineChars="200"/>
        <w:outlineLvl w:val="2"/>
        <w:rPr>
          <w:rFonts w:hint="eastAsia" w:ascii="宋体" w:hAnsi="宋体" w:eastAsia="宋体"/>
          <w:b/>
          <w:bCs/>
          <w:sz w:val="24"/>
          <w:szCs w:val="24"/>
        </w:rPr>
      </w:pPr>
      <w:bookmarkStart w:id="61" w:name="_Toc8625"/>
      <w:r>
        <w:rPr>
          <w:rFonts w:hint="eastAsia" w:ascii="宋体" w:hAnsi="宋体" w:eastAsia="宋体"/>
          <w:b/>
          <w:bCs/>
          <w:sz w:val="24"/>
          <w:szCs w:val="24"/>
        </w:rPr>
        <w:t>4.竞赛结束时</w:t>
      </w:r>
      <w:bookmarkEnd w:id="61"/>
    </w:p>
    <w:p w14:paraId="5ACBAB0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选手按照裁判员要求停止竞赛作业，并提交竞赛作品、图纸、U盘、草稿纸等所有相关内容。</w:t>
      </w:r>
    </w:p>
    <w:p w14:paraId="526C7DE9">
      <w:pPr>
        <w:spacing w:line="360" w:lineRule="auto"/>
        <w:ind w:firstLine="482" w:firstLineChars="200"/>
        <w:outlineLvl w:val="1"/>
        <w:rPr>
          <w:rFonts w:hint="eastAsia" w:ascii="宋体" w:hAnsi="宋体" w:eastAsia="宋体"/>
          <w:b/>
          <w:bCs/>
          <w:sz w:val="24"/>
          <w:szCs w:val="24"/>
        </w:rPr>
      </w:pPr>
      <w:bookmarkStart w:id="62" w:name="_Toc28036"/>
      <w:r>
        <w:rPr>
          <w:rFonts w:hint="eastAsia" w:ascii="宋体" w:hAnsi="宋体" w:eastAsia="宋体"/>
          <w:b/>
          <w:bCs/>
          <w:sz w:val="24"/>
          <w:szCs w:val="24"/>
        </w:rPr>
        <w:t>（三）赛场纪律</w:t>
      </w:r>
      <w:bookmarkEnd w:id="62"/>
    </w:p>
    <w:p w14:paraId="2739468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1.选手在竞赛期间不得携带和使用手机、照相机、录像机等通信设备，不得携带非大赛提供的电子存储设备、资料。</w:t>
      </w:r>
    </w:p>
    <w:p w14:paraId="6E35178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2.比赛期间，选手有问题应及时向裁判员反映；选手正常比赛时，裁判员不得主动接近或干涉选手；若选手需要技术支持，裁判员应及时通知相关人员前来解决；若需作出判决，则应报告裁判长，由裁判长决定。</w:t>
      </w:r>
    </w:p>
    <w:p w14:paraId="3855841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3.竞赛结束铃声响起以后，选手应立即停止操作。选手应及时把作品、赛题、图纸、电子存储设备、草稿纸等所有相关文件提交给现场裁判并确认。资料由加密裁判做好加密和保存工作，最终统一提交给裁判长。</w:t>
      </w:r>
    </w:p>
    <w:p w14:paraId="43B8C34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4.未经裁判长允许，选手不得延长比赛时间。</w:t>
      </w:r>
    </w:p>
    <w:p w14:paraId="2228C76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5.未经裁判长允许，竞赛结束后，选手不能离开赛场。</w:t>
      </w:r>
    </w:p>
    <w:p w14:paraId="1177566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6.参赛选手不得损坏竞赛设备和有影响下一场竞赛的行为。</w:t>
      </w:r>
    </w:p>
    <w:p w14:paraId="7D176E4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7.参赛选手如果违反前述相关规定和组委会印发的竞赛技术规则，视违规程度，受到“总分扣除10-20分、不得进入前8名、取消竞赛资格”等不同处罚。</w:t>
      </w:r>
    </w:p>
    <w:p w14:paraId="06EDABA7">
      <w:pPr>
        <w:spacing w:line="360" w:lineRule="auto"/>
        <w:ind w:firstLine="482" w:firstLineChars="200"/>
        <w:outlineLvl w:val="2"/>
        <w:rPr>
          <w:rFonts w:hint="eastAsia" w:ascii="宋体" w:hAnsi="宋体" w:eastAsia="宋体"/>
          <w:b/>
          <w:bCs/>
          <w:sz w:val="24"/>
          <w:szCs w:val="24"/>
        </w:rPr>
      </w:pPr>
      <w:bookmarkStart w:id="63" w:name="_Toc10583"/>
      <w:r>
        <w:rPr>
          <w:rFonts w:hint="eastAsia" w:ascii="宋体" w:hAnsi="宋体" w:eastAsia="宋体"/>
          <w:b/>
          <w:bCs/>
          <w:sz w:val="24"/>
          <w:szCs w:val="24"/>
        </w:rPr>
        <w:t>8.选手文明参赛要求</w:t>
      </w:r>
      <w:bookmarkEnd w:id="63"/>
    </w:p>
    <w:p w14:paraId="239EB45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（1）竞赛现场提供竞赛设备、计算机及相关软件、相关技术资料、工具、仪器等，选手不得自带任何纸质资料和存储工具，如出现严重的违规、违纪、舞弊等现象，经裁判组裁定取消竞赛成绩。</w:t>
      </w:r>
    </w:p>
    <w:p w14:paraId="1BAF1CA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（2）参赛选手必须及时备份和保存自己的竞赛数据，防止意外断电及其它情况造成程序或资料的丢失。不按要求存储数据导致数据丢失者，责任自负。</w:t>
      </w:r>
    </w:p>
    <w:p w14:paraId="627BB4B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（3）参赛队的竞赛场次和工位号采取抽签的方式确定，竞赛场次签在赛前领队会上抽取，工位签在赛前检录时抽取。</w:t>
      </w:r>
    </w:p>
    <w:p w14:paraId="17C421D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（4）参赛队按照参赛场次进入比赛场地，利用现场提供的所有条件，在规定时间内完成竞赛任务。</w:t>
      </w:r>
    </w:p>
    <w:p w14:paraId="5A5315FD">
      <w:pPr>
        <w:spacing w:line="360" w:lineRule="auto"/>
        <w:ind w:firstLine="480" w:firstLineChars="200"/>
        <w:outlineLvl w:val="3"/>
        <w:rPr>
          <w:rFonts w:hint="eastAsia" w:ascii="宋体" w:hAnsi="宋体" w:eastAsia="宋体"/>
          <w:sz w:val="24"/>
          <w:szCs w:val="24"/>
        </w:rPr>
      </w:pPr>
      <w:r>
        <w:rPr>
          <w:rFonts w:hint="eastAsia" w:ascii="宋体" w:hAnsi="宋体" w:eastAsia="宋体"/>
          <w:sz w:val="24"/>
          <w:szCs w:val="24"/>
        </w:rPr>
        <w:t>（5）每个组别同场竞赛使用相同赛题，不同场次使用不同赛题。</w:t>
      </w:r>
    </w:p>
    <w:p w14:paraId="1D49355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（6）操作技能竞赛，参赛选手在赛前30-60分钟（以竞赛日程为准），凭参赛证和身份证进入赛场检录。检录工作由检录裁判负责，检录后进行工位抽签。</w:t>
      </w:r>
    </w:p>
    <w:p w14:paraId="499E0D5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工位抽签工作由加密裁判负责，选手工位抽签后，选手参赛证更换成参赛工位号，选手在竞赛工位抽签记录表上签字确认后，凭参赛工位号统一进入竞赛工位准备竞赛。竞赛场次和竞赛工位号抽签确定后，选手不准随意调换。</w:t>
      </w:r>
    </w:p>
    <w:p w14:paraId="22FE856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（8）工位抽签后，由裁判长进行安全教育，确认现场条件，赛前10分钟领取赛题，裁判长宣布竞赛开始后才可开始操作。</w:t>
      </w:r>
    </w:p>
    <w:p w14:paraId="35CFCDB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（9）竞赛过程中，选手若需休息、饮水或去洗手间，一律计算在竞赛时间内。</w:t>
      </w:r>
    </w:p>
    <w:p w14:paraId="247238A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10）竞赛过程中，参赛选手须严格遵守相关安全操作规程，禁止不安全操作和野蛮操作,确保人身及设备安全，并接受裁判员的监督和警示，若因选手个人因素造成人身安全事故和设备故障，不予延时，情节特别严重者，由大赛裁判组视具体情况做出处理决定（最高至终止竞赛），并由裁判长上报大赛监督仲裁组；若因非选手个人因素造成设备故障，由大赛裁判组视具体情况做出延时处理并由裁判长上报大赛监督仲裁组。</w:t>
      </w:r>
    </w:p>
    <w:p w14:paraId="5FB992B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（11）如果选手提前结束比赛，应报裁判员批准，比赛终止时间由裁判员记录在案，选手提前结束比赛后不得再进行任何竞赛相关工作。选手提前结束竞赛后需原地等待，不得离开赛场，直至本场比赛结束。</w:t>
      </w:r>
    </w:p>
    <w:p w14:paraId="7D28866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（12）裁判长在竞赛结束前15分钟对选手做出提示，裁判长宣布竞赛结束后，选手应立即停止操作。</w:t>
      </w:r>
    </w:p>
    <w:p w14:paraId="3764F17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（13）竞赛结束后，由现场裁判员和选手检查确认提交的内容，现场裁判员当选手面封装上交竞赛作品，选手在收件表上签字确认，现场裁判员签字确认。</w:t>
      </w:r>
    </w:p>
    <w:p w14:paraId="1CBCFA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竞赛结束，选手应立即清理现场，包括竞赛设备及周边卫生并恢复竞赛设备原始状态等。经现场裁判员和现场工作人员确认后方可离开工位。经裁判长统一确认后，选手统一离开赛场，清理现场工作是对选手职业素养评判的内容之一。</w:t>
      </w:r>
    </w:p>
    <w:p w14:paraId="5689FE4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（15）为保证大赛的公平、公正，加密裁判将对选手上交的文档和竞赛作品进行加密，然后交给评分裁判进行评分。</w:t>
      </w:r>
    </w:p>
    <w:p w14:paraId="5B38853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（16）参赛选手在竞赛赛过程中，视比赛任务需求戴安全帽（长发不得外露），穿工作服、穿劳保工作鞋，佩戴护目镜。</w:t>
      </w:r>
    </w:p>
    <w:p w14:paraId="4F3A68B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（17）参赛选手在比赛过程中，要求工具摆放整齐，竞赛过程中裁判组将安排裁判员对参赛选手的安全防护、操作规范和工具摆放等职业素养进行现场评分。</w:t>
      </w:r>
    </w:p>
    <w:p w14:paraId="62F5411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（18）选手离开竞赛场地时，不得将任何与竞赛相关的物品带离竞赛现场。</w:t>
      </w:r>
    </w:p>
    <w:p w14:paraId="2280BF0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（19）各类赛务人员必须统一佩戴由大赛组委会签发的相关证件，着装整齐。</w:t>
      </w:r>
    </w:p>
    <w:p w14:paraId="1F3E9BC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（20）除现场裁判员和参赛选手外，其他人员不得进入比赛区域。赛场安全员、设备和软件技术支持人员、工作人员必须在指定区域等待，未经裁判长允许不得进入比赛区域。</w:t>
      </w:r>
    </w:p>
    <w:p w14:paraId="44C75F69">
      <w:pPr>
        <w:spacing w:line="360" w:lineRule="auto"/>
        <w:ind w:firstLine="482" w:firstLineChars="200"/>
        <w:outlineLvl w:val="0"/>
        <w:rPr>
          <w:rFonts w:hint="eastAsia" w:ascii="宋体" w:hAnsi="宋体" w:eastAsia="宋体"/>
          <w:b/>
          <w:bCs/>
          <w:sz w:val="24"/>
          <w:szCs w:val="24"/>
        </w:rPr>
      </w:pPr>
      <w:bookmarkStart w:id="64" w:name="_Toc22442"/>
      <w:r>
        <w:rPr>
          <w:rFonts w:hint="eastAsia" w:ascii="宋体" w:hAnsi="宋体" w:eastAsia="宋体"/>
          <w:b/>
          <w:bCs/>
          <w:sz w:val="24"/>
          <w:szCs w:val="24"/>
        </w:rPr>
        <w:t>八、竞赛场地要求</w:t>
      </w:r>
      <w:bookmarkEnd w:id="64"/>
    </w:p>
    <w:p w14:paraId="2FA408F3">
      <w:pPr>
        <w:spacing w:line="360" w:lineRule="auto"/>
        <w:ind w:firstLine="482" w:firstLineChars="200"/>
        <w:outlineLvl w:val="1"/>
        <w:rPr>
          <w:rFonts w:hint="eastAsia" w:ascii="宋体" w:hAnsi="宋体" w:eastAsia="宋体"/>
          <w:b/>
          <w:bCs/>
          <w:sz w:val="24"/>
          <w:szCs w:val="24"/>
        </w:rPr>
      </w:pPr>
      <w:bookmarkStart w:id="65" w:name="_Toc10301"/>
      <w:r>
        <w:rPr>
          <w:rFonts w:hint="eastAsia" w:ascii="宋体" w:hAnsi="宋体" w:eastAsia="宋体"/>
          <w:b/>
          <w:bCs/>
          <w:sz w:val="24"/>
          <w:szCs w:val="24"/>
        </w:rPr>
        <w:t>（一）场地面积要求</w:t>
      </w:r>
      <w:bookmarkEnd w:id="65"/>
    </w:p>
    <w:p w14:paraId="4545B22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（1）竞赛场地划分为检录区、现场服务与技术支持区、休息区、医疗区、观摩通道等。</w:t>
      </w:r>
    </w:p>
    <w:p w14:paraId="1DCF8D22">
      <w:pPr>
        <w:spacing w:line="360" w:lineRule="auto"/>
        <w:ind w:firstLine="480" w:firstLineChars="200"/>
        <w:outlineLvl w:val="2"/>
        <w:rPr>
          <w:rFonts w:hint="eastAsia" w:ascii="宋体" w:hAnsi="宋体" w:eastAsia="宋体"/>
          <w:sz w:val="24"/>
          <w:szCs w:val="24"/>
        </w:rPr>
      </w:pPr>
      <w:bookmarkStart w:id="66" w:name="_Toc24844"/>
      <w:r>
        <w:rPr>
          <w:rFonts w:hint="eastAsia" w:ascii="宋体" w:hAnsi="宋体" w:eastAsia="宋体"/>
          <w:sz w:val="24"/>
          <w:szCs w:val="24"/>
        </w:rPr>
        <w:t>（2）竞赛场地及工位设置情况另行通知。比赛工位数量根据报</w:t>
      </w:r>
      <w:bookmarkEnd w:id="66"/>
    </w:p>
    <w:p w14:paraId="3E660F7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名参赛队数量调整。</w:t>
      </w:r>
    </w:p>
    <w:p w14:paraId="0EB997C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（3）赛场主通道需要符合紧急疏散要求，并有安保、消防、设备维修和电力抢险人员待命，以防突发事件。</w:t>
      </w:r>
    </w:p>
    <w:p w14:paraId="2F49E20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（4）根据赛项特点，用防护围栏隔离成竞赛区域构成竞赛单元，赛事单元相对独立，确保选手独立开展比赛，不受外界影响；</w:t>
      </w:r>
    </w:p>
    <w:p w14:paraId="4071A3E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（5）每个竞赛工位配有相应数量的清洁器具。</w:t>
      </w:r>
    </w:p>
    <w:p w14:paraId="62A8B29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（6）赛场配备有常用干粉灭火器、消防沙。</w:t>
      </w:r>
    </w:p>
    <w:p w14:paraId="23079E1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（7）赛区内配备的厕所、医疗点、维修服务站、生活补给站、垃圾分类收集点等都在警戒线范围内，确保大赛在相对安全的环境内进行。</w:t>
      </w:r>
    </w:p>
    <w:p w14:paraId="7649687E">
      <w:pPr>
        <w:spacing w:line="360" w:lineRule="auto"/>
        <w:ind w:firstLine="482" w:firstLineChars="200"/>
        <w:outlineLvl w:val="1"/>
        <w:rPr>
          <w:rFonts w:hint="eastAsia" w:ascii="宋体" w:hAnsi="宋体" w:eastAsia="宋体"/>
          <w:b/>
          <w:bCs/>
          <w:sz w:val="24"/>
          <w:szCs w:val="24"/>
        </w:rPr>
      </w:pPr>
      <w:bookmarkStart w:id="67" w:name="_Toc16250"/>
      <w:r>
        <w:rPr>
          <w:rFonts w:hint="eastAsia" w:ascii="宋体" w:hAnsi="宋体" w:eastAsia="宋体"/>
          <w:b/>
          <w:bCs/>
          <w:sz w:val="24"/>
          <w:szCs w:val="24"/>
        </w:rPr>
        <w:t>（二）场地照明要求</w:t>
      </w:r>
      <w:bookmarkEnd w:id="67"/>
    </w:p>
    <w:p w14:paraId="793A9F2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竞赛场地照明应充足、柔和。</w:t>
      </w:r>
    </w:p>
    <w:p w14:paraId="58F9C030">
      <w:pPr>
        <w:spacing w:line="360" w:lineRule="auto"/>
        <w:ind w:firstLine="482" w:firstLineChars="200"/>
        <w:outlineLvl w:val="1"/>
        <w:rPr>
          <w:rFonts w:hint="eastAsia" w:ascii="宋体" w:hAnsi="宋体" w:eastAsia="宋体"/>
          <w:b/>
          <w:bCs/>
          <w:sz w:val="24"/>
          <w:szCs w:val="24"/>
        </w:rPr>
      </w:pPr>
      <w:bookmarkStart w:id="68" w:name="_Toc12371"/>
      <w:r>
        <w:rPr>
          <w:rFonts w:hint="eastAsia" w:ascii="宋体" w:hAnsi="宋体" w:eastAsia="宋体"/>
          <w:b/>
          <w:bCs/>
          <w:sz w:val="24"/>
          <w:szCs w:val="24"/>
        </w:rPr>
        <w:t>（三）场地消防和逃生要求</w:t>
      </w:r>
      <w:bookmarkEnd w:id="68"/>
    </w:p>
    <w:p w14:paraId="7FD27CF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实操比赛项目赛场需符合防火安全规定，防火疏散标识清晰、齐全，疏散通道畅通；赛场采光、照明和通风良好，提供稳定的水、电、气源，并配有供电应急设备、灭火器等。赛场必须留有安全通道。竞赛前必须明确告知选手和裁判员安全通道路线。赛场组织人员要做好竞赛安全、健康和公共卫生及突发事件预防与应急处理等工作。</w:t>
      </w:r>
    </w:p>
    <w:p w14:paraId="17B03BFA">
      <w:pPr>
        <w:spacing w:line="360" w:lineRule="auto"/>
        <w:ind w:firstLine="482" w:firstLineChars="200"/>
        <w:outlineLvl w:val="0"/>
        <w:rPr>
          <w:rFonts w:hint="eastAsia" w:ascii="宋体" w:hAnsi="宋体" w:eastAsia="宋体"/>
          <w:b/>
          <w:bCs/>
          <w:sz w:val="24"/>
          <w:szCs w:val="24"/>
        </w:rPr>
      </w:pPr>
      <w:bookmarkStart w:id="69" w:name="_Toc1361"/>
      <w:r>
        <w:rPr>
          <w:rFonts w:hint="eastAsia" w:ascii="宋体" w:hAnsi="宋体" w:eastAsia="宋体"/>
          <w:b/>
          <w:bCs/>
          <w:sz w:val="24"/>
          <w:szCs w:val="24"/>
        </w:rPr>
        <w:t>九、竞赛安全要求</w:t>
      </w:r>
      <w:bookmarkEnd w:id="69"/>
    </w:p>
    <w:p w14:paraId="2502BEC9">
      <w:pPr>
        <w:spacing w:line="360" w:lineRule="auto"/>
        <w:ind w:firstLine="482" w:firstLineChars="200"/>
        <w:outlineLvl w:val="1"/>
        <w:rPr>
          <w:rFonts w:hint="eastAsia" w:ascii="宋体" w:hAnsi="宋体" w:eastAsia="宋体"/>
          <w:b/>
          <w:bCs/>
          <w:sz w:val="24"/>
          <w:szCs w:val="24"/>
        </w:rPr>
      </w:pPr>
      <w:bookmarkStart w:id="70" w:name="_Toc27625"/>
      <w:r>
        <w:rPr>
          <w:rFonts w:ascii="宋体" w:hAnsi="宋体" w:eastAsia="宋体"/>
          <w:b/>
          <w:bCs/>
          <w:sz w:val="24"/>
          <w:szCs w:val="24"/>
        </w:rPr>
        <w:t>（一）选手安全防护措施要求</w:t>
      </w:r>
      <w:bookmarkEnd w:id="70"/>
    </w:p>
    <w:p w14:paraId="2E91B76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选手安全防护措施要求见下表3，根据比赛任务需要选用。</w:t>
      </w:r>
    </w:p>
    <w:p w14:paraId="77A8572F">
      <w:pPr>
        <w:spacing w:line="360" w:lineRule="auto"/>
        <w:ind w:firstLine="480" w:firstLineChars="200"/>
        <w:jc w:val="center"/>
        <w:rPr>
          <w:rFonts w:hint="eastAsia" w:ascii="宋体" w:hAnsi="宋体" w:eastAsia="宋体"/>
          <w:sz w:val="24"/>
          <w:szCs w:val="24"/>
        </w:rPr>
      </w:pPr>
      <w:r>
        <w:rPr>
          <w:rFonts w:hint="eastAsia" w:ascii="宋体" w:hAnsi="宋体" w:eastAsia="宋体"/>
          <w:sz w:val="24"/>
          <w:szCs w:val="24"/>
        </w:rPr>
        <w:t>表3 选手安全防护装备</w:t>
      </w:r>
    </w:p>
    <w:tbl>
      <w:tblPr>
        <w:tblStyle w:val="9"/>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2268"/>
        <w:gridCol w:w="4252"/>
      </w:tblGrid>
      <w:tr w14:paraId="1B4E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702" w:type="dxa"/>
            <w:vAlign w:val="center"/>
          </w:tcPr>
          <w:p w14:paraId="68DD9751">
            <w:pPr>
              <w:spacing w:line="480" w:lineRule="exact"/>
              <w:jc w:val="center"/>
              <w:rPr>
                <w:rFonts w:hint="eastAsia" w:ascii="宋体" w:hAnsi="宋体" w:eastAsia="宋体" w:cs="仿宋"/>
                <w:b/>
                <w:szCs w:val="21"/>
              </w:rPr>
            </w:pPr>
            <w:r>
              <w:rPr>
                <w:rFonts w:hint="eastAsia" w:ascii="宋体" w:hAnsi="宋体" w:eastAsia="宋体" w:cs="仿宋"/>
                <w:b/>
                <w:szCs w:val="21"/>
              </w:rPr>
              <w:t>防护项目</w:t>
            </w:r>
          </w:p>
        </w:tc>
        <w:tc>
          <w:tcPr>
            <w:tcW w:w="2268" w:type="dxa"/>
            <w:vAlign w:val="center"/>
          </w:tcPr>
          <w:p w14:paraId="1802F078">
            <w:pPr>
              <w:spacing w:line="480" w:lineRule="exact"/>
              <w:jc w:val="center"/>
              <w:rPr>
                <w:rFonts w:hint="eastAsia" w:ascii="宋体" w:hAnsi="宋体" w:eastAsia="宋体" w:cs="仿宋"/>
                <w:b/>
                <w:szCs w:val="21"/>
              </w:rPr>
            </w:pPr>
            <w:r>
              <w:rPr>
                <w:rFonts w:hint="eastAsia" w:ascii="宋体" w:hAnsi="宋体" w:eastAsia="宋体" w:cs="仿宋"/>
                <w:b/>
                <w:szCs w:val="21"/>
              </w:rPr>
              <w:t>图示</w:t>
            </w:r>
          </w:p>
        </w:tc>
        <w:tc>
          <w:tcPr>
            <w:tcW w:w="4252" w:type="dxa"/>
            <w:vAlign w:val="center"/>
          </w:tcPr>
          <w:p w14:paraId="43CFF09A">
            <w:pPr>
              <w:spacing w:line="480" w:lineRule="exact"/>
              <w:jc w:val="center"/>
              <w:rPr>
                <w:rFonts w:hint="eastAsia" w:ascii="宋体" w:hAnsi="宋体" w:eastAsia="宋体" w:cs="仿宋"/>
                <w:b/>
                <w:szCs w:val="21"/>
              </w:rPr>
            </w:pPr>
            <w:r>
              <w:rPr>
                <w:rFonts w:hint="eastAsia" w:ascii="宋体" w:hAnsi="宋体" w:eastAsia="宋体" w:cs="仿宋"/>
                <w:b/>
                <w:szCs w:val="21"/>
              </w:rPr>
              <w:t>说明</w:t>
            </w:r>
          </w:p>
        </w:tc>
      </w:tr>
      <w:tr w14:paraId="7FD00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702" w:type="dxa"/>
            <w:vAlign w:val="center"/>
          </w:tcPr>
          <w:p w14:paraId="172817E4">
            <w:pPr>
              <w:spacing w:line="480" w:lineRule="exact"/>
              <w:jc w:val="center"/>
              <w:rPr>
                <w:rFonts w:hint="eastAsia" w:ascii="宋体" w:hAnsi="宋体" w:eastAsia="宋体" w:cs="仿宋"/>
                <w:szCs w:val="21"/>
              </w:rPr>
            </w:pPr>
            <w:r>
              <w:rPr>
                <w:rFonts w:hint="eastAsia" w:ascii="宋体" w:hAnsi="宋体" w:eastAsia="宋体" w:cs="仿宋"/>
                <w:szCs w:val="21"/>
              </w:rPr>
              <w:t>足部的防护</w:t>
            </w:r>
          </w:p>
        </w:tc>
        <w:tc>
          <w:tcPr>
            <w:tcW w:w="2268" w:type="dxa"/>
            <w:vAlign w:val="center"/>
          </w:tcPr>
          <w:p w14:paraId="78294B95">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1312" behindDoc="0" locked="0" layoutInCell="1" allowOverlap="1">
                  <wp:simplePos x="0" y="0"/>
                  <wp:positionH relativeFrom="column">
                    <wp:posOffset>353695</wp:posOffset>
                  </wp:positionH>
                  <wp:positionV relativeFrom="paragraph">
                    <wp:posOffset>106045</wp:posOffset>
                  </wp:positionV>
                  <wp:extent cx="603250" cy="372110"/>
                  <wp:effectExtent l="0" t="0" r="6350" b="8890"/>
                  <wp:wrapSquare wrapText="bothSides"/>
                  <wp:docPr id="2094611522" name="图片 18" descr="鞋子的特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611522" name="图片 18" descr="鞋子的特写&#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03250" cy="372110"/>
                          </a:xfrm>
                          <a:prstGeom prst="rect">
                            <a:avLst/>
                          </a:prstGeom>
                          <a:noFill/>
                          <a:ln>
                            <a:noFill/>
                          </a:ln>
                        </pic:spPr>
                      </pic:pic>
                    </a:graphicData>
                  </a:graphic>
                </wp:anchor>
              </w:drawing>
            </w:r>
          </w:p>
        </w:tc>
        <w:tc>
          <w:tcPr>
            <w:tcW w:w="4252" w:type="dxa"/>
            <w:vAlign w:val="center"/>
          </w:tcPr>
          <w:p w14:paraId="63459773">
            <w:pPr>
              <w:jc w:val="left"/>
              <w:rPr>
                <w:rFonts w:hint="eastAsia" w:ascii="宋体" w:hAnsi="宋体" w:eastAsia="宋体" w:cs="仿宋"/>
                <w:szCs w:val="21"/>
              </w:rPr>
            </w:pPr>
            <w:r>
              <w:rPr>
                <w:rFonts w:hint="eastAsia" w:ascii="宋体" w:hAnsi="宋体" w:eastAsia="宋体" w:cs="仿宋"/>
                <w:szCs w:val="21"/>
              </w:rPr>
              <w:t>防滑、防砸、防穿刺、绝缘（参赛选手自备）</w:t>
            </w:r>
          </w:p>
        </w:tc>
      </w:tr>
      <w:tr w14:paraId="3022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702" w:type="dxa"/>
            <w:vAlign w:val="center"/>
          </w:tcPr>
          <w:p w14:paraId="183A8505">
            <w:pPr>
              <w:spacing w:line="480" w:lineRule="exact"/>
              <w:jc w:val="center"/>
              <w:rPr>
                <w:rFonts w:hint="eastAsia" w:ascii="宋体" w:hAnsi="宋体" w:eastAsia="宋体" w:cs="仿宋"/>
                <w:szCs w:val="21"/>
              </w:rPr>
            </w:pPr>
            <w:r>
              <w:rPr>
                <w:rFonts w:hint="eastAsia" w:ascii="宋体" w:hAnsi="宋体" w:eastAsia="宋体" w:cs="仿宋"/>
                <w:szCs w:val="21"/>
              </w:rPr>
              <w:t>眼睛的防护</w:t>
            </w:r>
          </w:p>
        </w:tc>
        <w:tc>
          <w:tcPr>
            <w:tcW w:w="2268" w:type="dxa"/>
            <w:vAlign w:val="center"/>
          </w:tcPr>
          <w:p w14:paraId="180DBDED">
            <w:pPr>
              <w:spacing w:line="480" w:lineRule="exact"/>
              <w:rPr>
                <w:rFonts w:hint="eastAsia" w:ascii="宋体" w:hAnsi="宋体" w:eastAsia="宋体"/>
                <w:szCs w:val="21"/>
              </w:rPr>
            </w:pPr>
            <w:r>
              <w:rPr>
                <w:rFonts w:ascii="宋体" w:hAnsi="宋体" w:eastAsia="宋体"/>
                <w:szCs w:val="21"/>
              </w:rPr>
              <w:drawing>
                <wp:anchor distT="0" distB="0" distL="114300" distR="114300" simplePos="0" relativeHeight="251663360" behindDoc="0" locked="0" layoutInCell="1" allowOverlap="1">
                  <wp:simplePos x="0" y="0"/>
                  <wp:positionH relativeFrom="column">
                    <wp:posOffset>258445</wp:posOffset>
                  </wp:positionH>
                  <wp:positionV relativeFrom="paragraph">
                    <wp:posOffset>-227965</wp:posOffset>
                  </wp:positionV>
                  <wp:extent cx="806450" cy="483235"/>
                  <wp:effectExtent l="0" t="0" r="0" b="0"/>
                  <wp:wrapSquare wrapText="bothSides"/>
                  <wp:docPr id="1669709598" name="图片 19" descr="雪地里的摆拍&#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709598" name="图片 19" descr="雪地里的摆拍&#10;&#10;中度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06450" cy="483235"/>
                          </a:xfrm>
                          <a:prstGeom prst="rect">
                            <a:avLst/>
                          </a:prstGeom>
                          <a:noFill/>
                          <a:ln>
                            <a:noFill/>
                          </a:ln>
                        </pic:spPr>
                      </pic:pic>
                    </a:graphicData>
                  </a:graphic>
                </wp:anchor>
              </w:drawing>
            </w:r>
          </w:p>
        </w:tc>
        <w:tc>
          <w:tcPr>
            <w:tcW w:w="4252" w:type="dxa"/>
            <w:vAlign w:val="center"/>
          </w:tcPr>
          <w:p w14:paraId="6EF8A547">
            <w:pPr>
              <w:jc w:val="left"/>
              <w:rPr>
                <w:rFonts w:hint="eastAsia" w:ascii="宋体" w:hAnsi="宋体" w:eastAsia="宋体" w:cs="仿宋"/>
                <w:szCs w:val="21"/>
              </w:rPr>
            </w:pPr>
            <w:r>
              <w:rPr>
                <w:rFonts w:hint="eastAsia" w:ascii="宋体" w:hAnsi="宋体" w:eastAsia="宋体" w:cs="仿宋"/>
                <w:szCs w:val="21"/>
              </w:rPr>
              <w:t>1.防溅入</w:t>
            </w:r>
          </w:p>
          <w:p w14:paraId="275E347D">
            <w:pPr>
              <w:jc w:val="left"/>
              <w:rPr>
                <w:rFonts w:hint="eastAsia" w:ascii="宋体" w:hAnsi="宋体" w:eastAsia="宋体" w:cs="仿宋"/>
                <w:szCs w:val="21"/>
              </w:rPr>
            </w:pPr>
            <w:r>
              <w:rPr>
                <w:rFonts w:hint="eastAsia" w:ascii="宋体" w:hAnsi="宋体" w:eastAsia="宋体" w:cs="仿宋"/>
                <w:szCs w:val="21"/>
              </w:rPr>
              <w:t>2.带近视镜也必须佩戴</w:t>
            </w:r>
          </w:p>
          <w:p w14:paraId="623BEDE9">
            <w:pPr>
              <w:jc w:val="left"/>
              <w:rPr>
                <w:rFonts w:hint="eastAsia" w:ascii="宋体" w:hAnsi="宋体" w:eastAsia="宋体" w:cs="仿宋"/>
                <w:szCs w:val="21"/>
              </w:rPr>
            </w:pPr>
            <w:r>
              <w:rPr>
                <w:rFonts w:hint="eastAsia" w:ascii="宋体" w:hAnsi="宋体" w:eastAsia="宋体" w:cs="仿宋"/>
                <w:szCs w:val="21"/>
              </w:rPr>
              <w:t>3.根据比赛任务和裁判要求佩戴护目镜</w:t>
            </w:r>
          </w:p>
        </w:tc>
      </w:tr>
      <w:tr w14:paraId="6DAE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702" w:type="dxa"/>
            <w:vAlign w:val="center"/>
          </w:tcPr>
          <w:p w14:paraId="2DAAD6AE">
            <w:pPr>
              <w:spacing w:line="480" w:lineRule="exact"/>
              <w:jc w:val="center"/>
              <w:rPr>
                <w:rFonts w:hint="eastAsia" w:ascii="宋体" w:hAnsi="宋体" w:eastAsia="宋体" w:cs="仿宋"/>
                <w:szCs w:val="21"/>
              </w:rPr>
            </w:pPr>
            <w:r>
              <w:rPr>
                <w:rFonts w:hint="eastAsia" w:ascii="宋体" w:hAnsi="宋体" w:eastAsia="宋体" w:cs="仿宋"/>
                <w:szCs w:val="21"/>
              </w:rPr>
              <w:t>手部的防护</w:t>
            </w:r>
          </w:p>
        </w:tc>
        <w:tc>
          <w:tcPr>
            <w:tcW w:w="2268" w:type="dxa"/>
            <w:vAlign w:val="center"/>
          </w:tcPr>
          <w:p w14:paraId="0DFA8C8F">
            <w:pPr>
              <w:spacing w:line="480" w:lineRule="exact"/>
              <w:rPr>
                <w:rFonts w:hint="eastAsia" w:ascii="宋体" w:hAnsi="宋体" w:eastAsia="宋体"/>
                <w:szCs w:val="21"/>
              </w:rPr>
            </w:pPr>
            <w:r>
              <w:rPr>
                <w:rFonts w:ascii="宋体" w:hAnsi="宋体" w:eastAsia="宋体" w:cs="仿宋"/>
                <w:szCs w:val="21"/>
              </w:rPr>
              <w:drawing>
                <wp:anchor distT="0" distB="0" distL="114300" distR="114300" simplePos="0" relativeHeight="251664384" behindDoc="0" locked="0" layoutInCell="1" allowOverlap="1">
                  <wp:simplePos x="0" y="0"/>
                  <wp:positionH relativeFrom="column">
                    <wp:posOffset>462280</wp:posOffset>
                  </wp:positionH>
                  <wp:positionV relativeFrom="paragraph">
                    <wp:posOffset>-340995</wp:posOffset>
                  </wp:positionV>
                  <wp:extent cx="541020" cy="541020"/>
                  <wp:effectExtent l="0" t="0" r="0" b="0"/>
                  <wp:wrapTopAndBottom/>
                  <wp:docPr id="1142099238"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099238" name="图片 5"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1020" cy="541020"/>
                          </a:xfrm>
                          <a:prstGeom prst="rect">
                            <a:avLst/>
                          </a:prstGeom>
                          <a:noFill/>
                          <a:ln>
                            <a:noFill/>
                          </a:ln>
                        </pic:spPr>
                      </pic:pic>
                    </a:graphicData>
                  </a:graphic>
                </wp:anchor>
              </w:drawing>
            </w:r>
          </w:p>
        </w:tc>
        <w:tc>
          <w:tcPr>
            <w:tcW w:w="4252" w:type="dxa"/>
            <w:vAlign w:val="center"/>
          </w:tcPr>
          <w:p w14:paraId="5FEEF807">
            <w:pPr>
              <w:jc w:val="left"/>
              <w:rPr>
                <w:rFonts w:hint="eastAsia" w:ascii="宋体" w:hAnsi="宋体" w:eastAsia="宋体" w:cs="仿宋"/>
                <w:szCs w:val="21"/>
              </w:rPr>
            </w:pPr>
            <w:r>
              <w:rPr>
                <w:rFonts w:hint="eastAsia" w:ascii="宋体" w:hAnsi="宋体" w:eastAsia="宋体" w:cs="仿宋"/>
                <w:szCs w:val="21"/>
              </w:rPr>
              <w:t>防刺、绝缘</w:t>
            </w:r>
          </w:p>
        </w:tc>
      </w:tr>
      <w:tr w14:paraId="239D5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1702" w:type="dxa"/>
            <w:vAlign w:val="center"/>
          </w:tcPr>
          <w:p w14:paraId="6BCC7B56">
            <w:pPr>
              <w:spacing w:line="480" w:lineRule="exact"/>
              <w:jc w:val="center"/>
              <w:rPr>
                <w:rFonts w:hint="eastAsia" w:ascii="宋体" w:hAnsi="宋体" w:eastAsia="宋体" w:cs="仿宋"/>
                <w:szCs w:val="21"/>
              </w:rPr>
            </w:pPr>
            <w:r>
              <w:rPr>
                <w:rFonts w:hint="eastAsia" w:ascii="宋体" w:hAnsi="宋体" w:eastAsia="宋体" w:cs="仿宋"/>
                <w:szCs w:val="21"/>
              </w:rPr>
              <w:t>安全帽</w:t>
            </w:r>
          </w:p>
        </w:tc>
        <w:tc>
          <w:tcPr>
            <w:tcW w:w="2268" w:type="dxa"/>
            <w:vAlign w:val="center"/>
          </w:tcPr>
          <w:p w14:paraId="1EA49359">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2336" behindDoc="0" locked="0" layoutInCell="1" allowOverlap="1">
                  <wp:simplePos x="0" y="0"/>
                  <wp:positionH relativeFrom="column">
                    <wp:posOffset>364490</wp:posOffset>
                  </wp:positionH>
                  <wp:positionV relativeFrom="paragraph">
                    <wp:posOffset>50800</wp:posOffset>
                  </wp:positionV>
                  <wp:extent cx="650875" cy="568325"/>
                  <wp:effectExtent l="0" t="0" r="0" b="3175"/>
                  <wp:wrapSquare wrapText="bothSides"/>
                  <wp:docPr id="1149603772" name="图片 17" descr="黑色的头盔&#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603772" name="图片 17" descr="黑色的头盔&#10;&#10;中度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50875" cy="568325"/>
                          </a:xfrm>
                          <a:prstGeom prst="rect">
                            <a:avLst/>
                          </a:prstGeom>
                          <a:noFill/>
                          <a:ln>
                            <a:noFill/>
                          </a:ln>
                        </pic:spPr>
                      </pic:pic>
                    </a:graphicData>
                  </a:graphic>
                </wp:anchor>
              </w:drawing>
            </w:r>
          </w:p>
        </w:tc>
        <w:tc>
          <w:tcPr>
            <w:tcW w:w="4252" w:type="dxa"/>
            <w:vAlign w:val="center"/>
          </w:tcPr>
          <w:p w14:paraId="2AB56F9C">
            <w:pPr>
              <w:jc w:val="left"/>
              <w:rPr>
                <w:rFonts w:hint="eastAsia" w:ascii="宋体" w:hAnsi="宋体" w:eastAsia="宋体" w:cs="仿宋"/>
                <w:szCs w:val="21"/>
              </w:rPr>
            </w:pPr>
            <w:r>
              <w:rPr>
                <w:rFonts w:hint="eastAsia" w:ascii="宋体" w:hAnsi="宋体" w:eastAsia="宋体" w:cs="仿宋"/>
                <w:szCs w:val="21"/>
              </w:rPr>
              <w:t>1.用来保护头顶的钢制或类似原料制的浅圆顶</w:t>
            </w:r>
            <w:r>
              <w:fldChar w:fldCharType="begin"/>
            </w:r>
            <w:r>
              <w:instrText xml:space="preserve"> HYPERLINK "https://baike.baidu.com/item/%E5%B8%BD%E5%AD%90/995404" \t "_blank" </w:instrText>
            </w:r>
            <w:r>
              <w:fldChar w:fldCharType="separate"/>
            </w:r>
            <w:r>
              <w:rPr>
                <w:rFonts w:hint="eastAsia" w:ascii="宋体" w:hAnsi="宋体" w:eastAsia="宋体" w:cs="仿宋"/>
                <w:szCs w:val="21"/>
              </w:rPr>
              <w:t>帽子</w:t>
            </w:r>
            <w:r>
              <w:rPr>
                <w:rFonts w:hint="eastAsia" w:ascii="宋体" w:hAnsi="宋体" w:eastAsia="宋体" w:cs="仿宋"/>
                <w:szCs w:val="21"/>
              </w:rPr>
              <w:fldChar w:fldCharType="end"/>
            </w:r>
            <w:r>
              <w:rPr>
                <w:rFonts w:hint="eastAsia" w:ascii="宋体" w:hAnsi="宋体" w:eastAsia="宋体" w:cs="仿宋"/>
                <w:szCs w:val="21"/>
              </w:rPr>
              <w:t>，防止冲击物伤害头部</w:t>
            </w:r>
          </w:p>
          <w:p w14:paraId="0D8788F2">
            <w:pPr>
              <w:jc w:val="left"/>
              <w:rPr>
                <w:rFonts w:hint="eastAsia" w:ascii="宋体" w:hAnsi="宋体" w:eastAsia="宋体" w:cs="仿宋"/>
                <w:szCs w:val="21"/>
              </w:rPr>
            </w:pPr>
            <w:r>
              <w:rPr>
                <w:rFonts w:hint="eastAsia" w:ascii="宋体" w:hAnsi="宋体" w:eastAsia="宋体" w:cs="仿宋"/>
                <w:szCs w:val="21"/>
              </w:rPr>
              <w:t>2.比赛全程选手必须佩戴安全帽</w:t>
            </w:r>
          </w:p>
        </w:tc>
      </w:tr>
      <w:tr w14:paraId="6A2F3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1702" w:type="dxa"/>
            <w:vAlign w:val="center"/>
          </w:tcPr>
          <w:p w14:paraId="78E80A81">
            <w:pPr>
              <w:spacing w:line="480" w:lineRule="exact"/>
              <w:jc w:val="center"/>
              <w:rPr>
                <w:rFonts w:hint="eastAsia" w:ascii="宋体" w:hAnsi="宋体" w:eastAsia="宋体" w:cs="仿宋"/>
                <w:szCs w:val="21"/>
              </w:rPr>
            </w:pPr>
            <w:r>
              <w:rPr>
                <w:rFonts w:hint="eastAsia" w:ascii="宋体" w:hAnsi="宋体" w:eastAsia="宋体" w:cs="仿宋"/>
                <w:szCs w:val="21"/>
              </w:rPr>
              <w:t>工作服</w:t>
            </w:r>
          </w:p>
        </w:tc>
        <w:tc>
          <w:tcPr>
            <w:tcW w:w="2268" w:type="dxa"/>
            <w:vAlign w:val="center"/>
          </w:tcPr>
          <w:p w14:paraId="78E7EC63">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0288" behindDoc="0" locked="0" layoutInCell="1" allowOverlap="1">
                  <wp:simplePos x="0" y="0"/>
                  <wp:positionH relativeFrom="column">
                    <wp:posOffset>393065</wp:posOffset>
                  </wp:positionH>
                  <wp:positionV relativeFrom="paragraph">
                    <wp:posOffset>144145</wp:posOffset>
                  </wp:positionV>
                  <wp:extent cx="673735" cy="751205"/>
                  <wp:effectExtent l="0" t="0" r="0" b="0"/>
                  <wp:wrapSquare wrapText="bothSides"/>
                  <wp:docPr id="907849845" name="图片 15" descr="工作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849845" name="图片 15" descr="工作服"/>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73735" cy="751205"/>
                          </a:xfrm>
                          <a:prstGeom prst="rect">
                            <a:avLst/>
                          </a:prstGeom>
                          <a:noFill/>
                          <a:ln>
                            <a:noFill/>
                          </a:ln>
                        </pic:spPr>
                      </pic:pic>
                    </a:graphicData>
                  </a:graphic>
                </wp:anchor>
              </w:drawing>
            </w:r>
          </w:p>
        </w:tc>
        <w:tc>
          <w:tcPr>
            <w:tcW w:w="4252" w:type="dxa"/>
            <w:vAlign w:val="center"/>
          </w:tcPr>
          <w:p w14:paraId="74647B63">
            <w:pPr>
              <w:jc w:val="left"/>
              <w:rPr>
                <w:rFonts w:hint="eastAsia" w:ascii="宋体" w:hAnsi="宋体" w:eastAsia="宋体" w:cs="仿宋"/>
                <w:szCs w:val="21"/>
              </w:rPr>
            </w:pPr>
            <w:r>
              <w:rPr>
                <w:rFonts w:hint="eastAsia" w:ascii="宋体" w:hAnsi="宋体" w:eastAsia="宋体" w:cs="仿宋"/>
                <w:szCs w:val="21"/>
              </w:rPr>
              <w:t>1.必须是长裤</w:t>
            </w:r>
          </w:p>
          <w:p w14:paraId="4DDE74AF">
            <w:pPr>
              <w:jc w:val="left"/>
              <w:rPr>
                <w:rFonts w:hint="eastAsia" w:ascii="宋体" w:hAnsi="宋体" w:eastAsia="宋体" w:cs="仿宋"/>
                <w:szCs w:val="21"/>
              </w:rPr>
            </w:pPr>
            <w:r>
              <w:rPr>
                <w:rFonts w:hint="eastAsia" w:ascii="宋体" w:hAnsi="宋体" w:eastAsia="宋体" w:cs="仿宋"/>
                <w:szCs w:val="21"/>
              </w:rPr>
              <w:t>2.防护服必须紧身不松垮，达到三紧要求</w:t>
            </w:r>
          </w:p>
        </w:tc>
      </w:tr>
    </w:tbl>
    <w:p w14:paraId="0DA297FA">
      <w:pPr>
        <w:spacing w:line="360" w:lineRule="auto"/>
        <w:ind w:firstLine="482" w:firstLineChars="200"/>
        <w:rPr>
          <w:rFonts w:hint="eastAsia" w:ascii="宋体" w:hAnsi="宋体" w:eastAsia="宋体"/>
          <w:b/>
          <w:bCs/>
          <w:sz w:val="24"/>
          <w:szCs w:val="24"/>
        </w:rPr>
      </w:pPr>
    </w:p>
    <w:p w14:paraId="67BE36B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大赛时，裁判员对违反安全与健康条例、违反操作规程的选手和现象将提出警告并进行纠正。不听警告，不进行纠正的参赛选手会受到不允许进入竞赛现场、罚去安全分、停止加工、取消竞赛资格等不同程度的惩罚。选手防护装备佩戴要求见表4。</w:t>
      </w:r>
    </w:p>
    <w:p w14:paraId="2CCDAA21">
      <w:pPr>
        <w:spacing w:line="360" w:lineRule="auto"/>
        <w:ind w:firstLine="420" w:firstLineChars="200"/>
        <w:jc w:val="center"/>
        <w:rPr>
          <w:rFonts w:hint="eastAsia" w:ascii="宋体" w:hAnsi="宋体" w:eastAsia="宋体"/>
          <w:szCs w:val="21"/>
        </w:rPr>
      </w:pPr>
      <w:r>
        <w:rPr>
          <w:rFonts w:hint="eastAsia" w:ascii="宋体" w:hAnsi="宋体" w:eastAsia="宋体"/>
          <w:szCs w:val="21"/>
        </w:rPr>
        <w:t>表4  选手防护装备佩戴要求</w:t>
      </w:r>
    </w:p>
    <w:tbl>
      <w:tblPr>
        <w:tblStyle w:val="9"/>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5103"/>
        <w:gridCol w:w="1751"/>
      </w:tblGrid>
      <w:tr w14:paraId="7BE05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shd w:val="clear" w:color="auto" w:fill="FFFFFF"/>
            <w:vAlign w:val="center"/>
          </w:tcPr>
          <w:p w14:paraId="1C0E6612">
            <w:pPr>
              <w:jc w:val="center"/>
              <w:rPr>
                <w:rFonts w:hint="eastAsia" w:ascii="宋体" w:hAnsi="宋体" w:eastAsia="宋体" w:cs="仿宋"/>
                <w:b/>
                <w:szCs w:val="21"/>
              </w:rPr>
            </w:pPr>
            <w:r>
              <w:rPr>
                <w:rFonts w:hint="eastAsia" w:ascii="宋体" w:hAnsi="宋体" w:eastAsia="宋体" w:cs="仿宋"/>
                <w:b/>
                <w:szCs w:val="21"/>
              </w:rPr>
              <w:t>时段</w:t>
            </w:r>
          </w:p>
        </w:tc>
        <w:tc>
          <w:tcPr>
            <w:tcW w:w="5103" w:type="dxa"/>
            <w:shd w:val="clear" w:color="auto" w:fill="FFFFFF"/>
            <w:vAlign w:val="center"/>
          </w:tcPr>
          <w:p w14:paraId="6F6E8446">
            <w:pPr>
              <w:jc w:val="center"/>
              <w:rPr>
                <w:rFonts w:hint="eastAsia" w:ascii="宋体" w:hAnsi="宋体" w:eastAsia="宋体" w:cs="仿宋"/>
                <w:b/>
                <w:szCs w:val="21"/>
              </w:rPr>
            </w:pPr>
            <w:r>
              <w:rPr>
                <w:rFonts w:hint="eastAsia" w:ascii="宋体" w:hAnsi="宋体" w:eastAsia="宋体" w:cs="仿宋"/>
                <w:b/>
                <w:szCs w:val="21"/>
              </w:rPr>
              <w:t>要求</w:t>
            </w:r>
          </w:p>
        </w:tc>
        <w:tc>
          <w:tcPr>
            <w:tcW w:w="1751" w:type="dxa"/>
            <w:shd w:val="clear" w:color="auto" w:fill="FFFFFF"/>
            <w:vAlign w:val="center"/>
          </w:tcPr>
          <w:p w14:paraId="7DD5530F">
            <w:pPr>
              <w:jc w:val="center"/>
              <w:rPr>
                <w:rFonts w:hint="eastAsia" w:ascii="宋体" w:hAnsi="宋体" w:eastAsia="宋体" w:cs="仿宋"/>
                <w:b/>
                <w:szCs w:val="21"/>
              </w:rPr>
            </w:pPr>
            <w:r>
              <w:rPr>
                <w:rFonts w:hint="eastAsia" w:ascii="宋体" w:hAnsi="宋体" w:eastAsia="宋体" w:cs="仿宋"/>
                <w:b/>
                <w:szCs w:val="21"/>
              </w:rPr>
              <w:t>备注</w:t>
            </w:r>
          </w:p>
        </w:tc>
      </w:tr>
      <w:tr w14:paraId="0EBE0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vAlign w:val="center"/>
          </w:tcPr>
          <w:p w14:paraId="68F77B9F">
            <w:pPr>
              <w:spacing w:line="480" w:lineRule="exact"/>
              <w:jc w:val="center"/>
              <w:rPr>
                <w:rFonts w:hint="eastAsia" w:ascii="宋体" w:hAnsi="宋体" w:eastAsia="宋体" w:cs="仿宋"/>
                <w:szCs w:val="21"/>
              </w:rPr>
            </w:pPr>
            <w:r>
              <w:rPr>
                <w:rFonts w:hint="eastAsia" w:ascii="宋体" w:hAnsi="宋体" w:eastAsia="宋体" w:cs="仿宋"/>
                <w:szCs w:val="21"/>
              </w:rPr>
              <w:t>操作设备时</w:t>
            </w:r>
          </w:p>
        </w:tc>
        <w:tc>
          <w:tcPr>
            <w:tcW w:w="5103" w:type="dxa"/>
            <w:vAlign w:val="center"/>
          </w:tcPr>
          <w:p w14:paraId="794E7ADE">
            <w:pPr>
              <w:jc w:val="center"/>
              <w:rPr>
                <w:rFonts w:hint="eastAsia" w:ascii="宋体" w:hAnsi="宋体" w:eastAsia="宋体" w:cs="仿宋"/>
                <w:szCs w:val="21"/>
              </w:rPr>
            </w:pPr>
            <w:r>
              <w:rPr>
                <w:rFonts w:ascii="宋体" w:hAnsi="宋体" w:eastAsia="宋体" w:cs="仿宋"/>
                <w:szCs w:val="21"/>
              </w:rPr>
              <w:drawing>
                <wp:inline distT="0" distB="0" distL="0" distR="0">
                  <wp:extent cx="525780" cy="701040"/>
                  <wp:effectExtent l="0" t="0" r="7620" b="3810"/>
                  <wp:docPr id="369067518" name="图片 2"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067518" name="图片 2" descr="图标&#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r>
              <w:rPr>
                <w:rFonts w:ascii="宋体" w:hAnsi="宋体" w:eastAsia="宋体" w:cs="仿宋"/>
                <w:szCs w:val="21"/>
              </w:rPr>
              <w:drawing>
                <wp:inline distT="0" distB="0" distL="0" distR="0">
                  <wp:extent cx="525780" cy="701040"/>
                  <wp:effectExtent l="0" t="0" r="7620" b="3810"/>
                  <wp:docPr id="692181244" name="图片 1" descr="http://t02.pic.sogou.com/1bd6e0d6103d23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181244" name="图片 1" descr="http://t02.pic.sogou.com/1bd6e0d6103d237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5780" cy="701040"/>
                          </a:xfrm>
                          <a:prstGeom prst="rect">
                            <a:avLst/>
                          </a:prstGeom>
                          <a:noFill/>
                          <a:ln>
                            <a:noFill/>
                          </a:ln>
                        </pic:spPr>
                      </pic:pic>
                    </a:graphicData>
                  </a:graphic>
                </wp:inline>
              </w:drawing>
            </w:r>
          </w:p>
        </w:tc>
        <w:tc>
          <w:tcPr>
            <w:tcW w:w="1751" w:type="dxa"/>
            <w:vAlign w:val="center"/>
          </w:tcPr>
          <w:p w14:paraId="52CC9D5E">
            <w:pPr>
              <w:spacing w:line="480" w:lineRule="exact"/>
              <w:jc w:val="center"/>
              <w:rPr>
                <w:rFonts w:hint="eastAsia" w:ascii="宋体" w:hAnsi="宋体" w:eastAsia="宋体" w:cs="仿宋"/>
                <w:szCs w:val="21"/>
              </w:rPr>
            </w:pPr>
          </w:p>
        </w:tc>
      </w:tr>
    </w:tbl>
    <w:p w14:paraId="28DEFF27">
      <w:pPr>
        <w:spacing w:line="360" w:lineRule="auto"/>
        <w:ind w:firstLine="482" w:firstLineChars="200"/>
        <w:rPr>
          <w:rFonts w:hint="eastAsia" w:ascii="宋体" w:hAnsi="宋体" w:eastAsia="宋体"/>
          <w:b/>
          <w:bCs/>
          <w:sz w:val="24"/>
          <w:szCs w:val="24"/>
        </w:rPr>
      </w:pPr>
    </w:p>
    <w:p w14:paraId="2D97EDB3">
      <w:pPr>
        <w:spacing w:line="360" w:lineRule="auto"/>
        <w:ind w:firstLine="482" w:firstLineChars="200"/>
        <w:outlineLvl w:val="1"/>
        <w:rPr>
          <w:rFonts w:hint="eastAsia" w:ascii="宋体" w:hAnsi="宋体" w:eastAsia="宋体"/>
          <w:b/>
          <w:bCs/>
          <w:sz w:val="24"/>
          <w:szCs w:val="24"/>
        </w:rPr>
      </w:pPr>
      <w:bookmarkStart w:id="71" w:name="_Toc13013"/>
      <w:r>
        <w:rPr>
          <w:rFonts w:ascii="宋体" w:hAnsi="宋体" w:eastAsia="宋体"/>
          <w:b/>
          <w:bCs/>
          <w:sz w:val="24"/>
          <w:szCs w:val="24"/>
        </w:rPr>
        <w:t>（二）有毒有害物品的管理和限制</w:t>
      </w:r>
      <w:bookmarkEnd w:id="71"/>
    </w:p>
    <w:p w14:paraId="22314C0D">
      <w:pPr>
        <w:spacing w:line="360" w:lineRule="auto"/>
        <w:ind w:firstLine="480" w:firstLineChars="200"/>
        <w:rPr>
          <w:rFonts w:hint="eastAsia" w:ascii="宋体" w:hAnsi="宋体" w:eastAsia="宋体"/>
          <w:sz w:val="24"/>
          <w:szCs w:val="24"/>
        </w:rPr>
      </w:pPr>
      <w:r>
        <w:rPr>
          <w:rFonts w:ascii="宋体" w:hAnsi="宋体" w:eastAsia="宋体"/>
          <w:sz w:val="24"/>
          <w:szCs w:val="24"/>
        </w:rPr>
        <w:t>选手禁止携带易燃易爆和有毒有害物品，见表5。</w:t>
      </w:r>
    </w:p>
    <w:p w14:paraId="4347F6BB">
      <w:pPr>
        <w:spacing w:line="360" w:lineRule="auto"/>
        <w:ind w:firstLine="420" w:firstLineChars="200"/>
        <w:jc w:val="center"/>
        <w:rPr>
          <w:rFonts w:hint="eastAsia" w:ascii="宋体" w:hAnsi="宋体" w:eastAsia="宋体"/>
          <w:szCs w:val="21"/>
        </w:rPr>
      </w:pPr>
      <w:r>
        <w:rPr>
          <w:rFonts w:hint="eastAsia" w:ascii="宋体" w:hAnsi="宋体" w:eastAsia="宋体"/>
          <w:szCs w:val="21"/>
        </w:rPr>
        <w:t>表5 选手禁带的物品</w:t>
      </w:r>
    </w:p>
    <w:tbl>
      <w:tblPr>
        <w:tblStyle w:val="9"/>
        <w:tblW w:w="8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1"/>
        <w:gridCol w:w="1472"/>
        <w:gridCol w:w="1473"/>
        <w:gridCol w:w="2467"/>
      </w:tblGrid>
      <w:tr w14:paraId="148C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1" w:type="dxa"/>
            <w:vAlign w:val="center"/>
          </w:tcPr>
          <w:p w14:paraId="434721E2">
            <w:pPr>
              <w:spacing w:line="480" w:lineRule="exact"/>
              <w:jc w:val="center"/>
              <w:rPr>
                <w:rFonts w:hint="eastAsia" w:ascii="宋体" w:hAnsi="宋体" w:eastAsia="宋体" w:cs="仿宋"/>
                <w:b/>
                <w:szCs w:val="21"/>
              </w:rPr>
            </w:pPr>
            <w:r>
              <w:rPr>
                <w:rFonts w:hint="eastAsia" w:ascii="宋体" w:hAnsi="宋体" w:eastAsia="宋体" w:cs="仿宋"/>
                <w:b/>
                <w:szCs w:val="21"/>
              </w:rPr>
              <w:t>有害物品</w:t>
            </w:r>
          </w:p>
        </w:tc>
        <w:tc>
          <w:tcPr>
            <w:tcW w:w="2945" w:type="dxa"/>
            <w:gridSpan w:val="2"/>
            <w:vAlign w:val="center"/>
          </w:tcPr>
          <w:p w14:paraId="1AEBBD2F">
            <w:pPr>
              <w:spacing w:line="480" w:lineRule="exact"/>
              <w:jc w:val="center"/>
              <w:rPr>
                <w:rFonts w:hint="eastAsia" w:ascii="宋体" w:hAnsi="宋体" w:eastAsia="宋体" w:cs="仿宋"/>
                <w:b/>
                <w:szCs w:val="21"/>
              </w:rPr>
            </w:pPr>
            <w:r>
              <w:rPr>
                <w:rFonts w:hint="eastAsia" w:ascii="宋体" w:hAnsi="宋体" w:eastAsia="宋体" w:cs="仿宋"/>
                <w:b/>
                <w:szCs w:val="21"/>
              </w:rPr>
              <w:t>图示</w:t>
            </w:r>
          </w:p>
        </w:tc>
        <w:tc>
          <w:tcPr>
            <w:tcW w:w="2467" w:type="dxa"/>
            <w:vAlign w:val="center"/>
          </w:tcPr>
          <w:p w14:paraId="60C584FF">
            <w:pPr>
              <w:spacing w:line="480" w:lineRule="exact"/>
              <w:jc w:val="center"/>
              <w:rPr>
                <w:rFonts w:hint="eastAsia" w:ascii="宋体" w:hAnsi="宋体" w:eastAsia="宋体" w:cs="仿宋"/>
                <w:b/>
                <w:szCs w:val="21"/>
              </w:rPr>
            </w:pPr>
            <w:r>
              <w:rPr>
                <w:rFonts w:hint="eastAsia" w:ascii="宋体" w:hAnsi="宋体" w:eastAsia="宋体" w:cs="仿宋"/>
                <w:b/>
                <w:szCs w:val="21"/>
              </w:rPr>
              <w:t>说明</w:t>
            </w:r>
          </w:p>
        </w:tc>
      </w:tr>
      <w:tr w14:paraId="3FFB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3011" w:type="dxa"/>
            <w:vAlign w:val="center"/>
          </w:tcPr>
          <w:p w14:paraId="5B91829C">
            <w:pPr>
              <w:spacing w:line="480" w:lineRule="exact"/>
              <w:jc w:val="center"/>
              <w:rPr>
                <w:rFonts w:hint="eastAsia" w:ascii="宋体" w:hAnsi="宋体" w:eastAsia="宋体" w:cs="仿宋"/>
                <w:szCs w:val="21"/>
              </w:rPr>
            </w:pPr>
            <w:r>
              <w:rPr>
                <w:rFonts w:hint="eastAsia" w:ascii="宋体" w:hAnsi="宋体" w:eastAsia="宋体" w:cs="仿宋"/>
                <w:szCs w:val="21"/>
              </w:rPr>
              <w:t>防锈清洗剂</w:t>
            </w:r>
          </w:p>
        </w:tc>
        <w:tc>
          <w:tcPr>
            <w:tcW w:w="2945" w:type="dxa"/>
            <w:gridSpan w:val="2"/>
            <w:vAlign w:val="center"/>
          </w:tcPr>
          <w:p w14:paraId="784C890A">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5408" behindDoc="0" locked="0" layoutInCell="1" allowOverlap="1">
                  <wp:simplePos x="0" y="0"/>
                  <wp:positionH relativeFrom="column">
                    <wp:posOffset>413385</wp:posOffset>
                  </wp:positionH>
                  <wp:positionV relativeFrom="paragraph">
                    <wp:posOffset>85090</wp:posOffset>
                  </wp:positionV>
                  <wp:extent cx="596265" cy="596265"/>
                  <wp:effectExtent l="0" t="0" r="0" b="0"/>
                  <wp:wrapSquare wrapText="bothSides"/>
                  <wp:docPr id="531308080" name="图片 14" descr="W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308080" name="图片 14" descr="W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6265" cy="596265"/>
                          </a:xfrm>
                          <a:prstGeom prst="rect">
                            <a:avLst/>
                          </a:prstGeom>
                          <a:noFill/>
                          <a:ln>
                            <a:noFill/>
                          </a:ln>
                        </pic:spPr>
                      </pic:pic>
                    </a:graphicData>
                  </a:graphic>
                </wp:anchor>
              </w:drawing>
            </w:r>
          </w:p>
        </w:tc>
        <w:tc>
          <w:tcPr>
            <w:tcW w:w="2467" w:type="dxa"/>
            <w:vAlign w:val="center"/>
          </w:tcPr>
          <w:p w14:paraId="2B3233D4">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71552" behindDoc="0" locked="0" layoutInCell="1" allowOverlap="1">
                  <wp:simplePos x="0" y="0"/>
                  <wp:positionH relativeFrom="column">
                    <wp:posOffset>1148715</wp:posOffset>
                  </wp:positionH>
                  <wp:positionV relativeFrom="paragraph">
                    <wp:posOffset>174625</wp:posOffset>
                  </wp:positionV>
                  <wp:extent cx="371475" cy="350520"/>
                  <wp:effectExtent l="0" t="0" r="9525" b="0"/>
                  <wp:wrapSquare wrapText="bothSides"/>
                  <wp:docPr id="1621193241" name="图片 13"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193241" name="图片 13" descr="徽标&#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a:ln>
                            <a:noFill/>
                          </a:ln>
                        </pic:spPr>
                      </pic:pic>
                    </a:graphicData>
                  </a:graphic>
                </wp:anchor>
              </w:drawing>
            </w:r>
            <w:r>
              <w:rPr>
                <w:rFonts w:hint="eastAsia" w:ascii="宋体" w:hAnsi="宋体" w:eastAsia="宋体" w:cs="仿宋"/>
                <w:szCs w:val="21"/>
              </w:rPr>
              <w:t>禁止携带</w:t>
            </w:r>
          </w:p>
        </w:tc>
      </w:tr>
      <w:tr w14:paraId="6371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3011" w:type="dxa"/>
            <w:vAlign w:val="center"/>
          </w:tcPr>
          <w:p w14:paraId="1E58B1B8">
            <w:pPr>
              <w:spacing w:line="480" w:lineRule="exact"/>
              <w:jc w:val="center"/>
              <w:rPr>
                <w:rFonts w:hint="eastAsia" w:ascii="宋体" w:hAnsi="宋体" w:eastAsia="宋体" w:cs="仿宋"/>
                <w:szCs w:val="21"/>
              </w:rPr>
            </w:pPr>
            <w:r>
              <w:rPr>
                <w:rFonts w:hint="eastAsia" w:ascii="宋体" w:hAnsi="宋体" w:eastAsia="宋体" w:cs="仿宋"/>
                <w:szCs w:val="21"/>
              </w:rPr>
              <w:t>酒精、汽油</w:t>
            </w:r>
          </w:p>
        </w:tc>
        <w:tc>
          <w:tcPr>
            <w:tcW w:w="1472" w:type="dxa"/>
            <w:vAlign w:val="center"/>
          </w:tcPr>
          <w:p w14:paraId="4BA6A5C0">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8480" behindDoc="0" locked="0" layoutInCell="1" allowOverlap="1">
                  <wp:simplePos x="0" y="0"/>
                  <wp:positionH relativeFrom="column">
                    <wp:posOffset>243840</wp:posOffset>
                  </wp:positionH>
                  <wp:positionV relativeFrom="paragraph">
                    <wp:posOffset>69850</wp:posOffset>
                  </wp:positionV>
                  <wp:extent cx="459740" cy="459740"/>
                  <wp:effectExtent l="0" t="0" r="0" b="0"/>
                  <wp:wrapNone/>
                  <wp:docPr id="1816879657" name="图片 12" descr="酒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879657" name="图片 12" descr="酒精"/>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9740" cy="459740"/>
                          </a:xfrm>
                          <a:prstGeom prst="rect">
                            <a:avLst/>
                          </a:prstGeom>
                          <a:noFill/>
                          <a:ln>
                            <a:noFill/>
                          </a:ln>
                        </pic:spPr>
                      </pic:pic>
                    </a:graphicData>
                  </a:graphic>
                </wp:anchor>
              </w:drawing>
            </w:r>
          </w:p>
        </w:tc>
        <w:tc>
          <w:tcPr>
            <w:tcW w:w="1473" w:type="dxa"/>
            <w:vAlign w:val="center"/>
          </w:tcPr>
          <w:p w14:paraId="5331A2A5">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9504" behindDoc="0" locked="0" layoutInCell="1" allowOverlap="1">
                  <wp:simplePos x="0" y="0"/>
                  <wp:positionH relativeFrom="column">
                    <wp:posOffset>123825</wp:posOffset>
                  </wp:positionH>
                  <wp:positionV relativeFrom="paragraph">
                    <wp:posOffset>83820</wp:posOffset>
                  </wp:positionV>
                  <wp:extent cx="499745" cy="446405"/>
                  <wp:effectExtent l="0" t="0" r="0" b="0"/>
                  <wp:wrapNone/>
                  <wp:docPr id="440561300" name="图片 11" descr="汽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561300" name="图片 11" descr="汽油"/>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99745" cy="446405"/>
                          </a:xfrm>
                          <a:prstGeom prst="rect">
                            <a:avLst/>
                          </a:prstGeom>
                          <a:noFill/>
                          <a:ln>
                            <a:noFill/>
                          </a:ln>
                        </pic:spPr>
                      </pic:pic>
                    </a:graphicData>
                  </a:graphic>
                </wp:anchor>
              </w:drawing>
            </w:r>
          </w:p>
        </w:tc>
        <w:tc>
          <w:tcPr>
            <w:tcW w:w="2467" w:type="dxa"/>
            <w:vAlign w:val="center"/>
          </w:tcPr>
          <w:p w14:paraId="3239835C">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70528" behindDoc="0" locked="0" layoutInCell="1" allowOverlap="1">
                  <wp:simplePos x="0" y="0"/>
                  <wp:positionH relativeFrom="column">
                    <wp:posOffset>1101725</wp:posOffset>
                  </wp:positionH>
                  <wp:positionV relativeFrom="paragraph">
                    <wp:posOffset>101600</wp:posOffset>
                  </wp:positionV>
                  <wp:extent cx="371475" cy="350520"/>
                  <wp:effectExtent l="0" t="0" r="9525" b="0"/>
                  <wp:wrapSquare wrapText="bothSides"/>
                  <wp:docPr id="143742063" name="图片 10"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2063" name="图片 10" descr="徽标&#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1475" cy="350520"/>
                          </a:xfrm>
                          <a:prstGeom prst="rect">
                            <a:avLst/>
                          </a:prstGeom>
                          <a:noFill/>
                          <a:ln>
                            <a:noFill/>
                          </a:ln>
                        </pic:spPr>
                      </pic:pic>
                    </a:graphicData>
                  </a:graphic>
                </wp:anchor>
              </w:drawing>
            </w:r>
            <w:r>
              <w:rPr>
                <w:rFonts w:hint="eastAsia" w:ascii="宋体" w:hAnsi="宋体" w:eastAsia="宋体" w:cs="仿宋"/>
                <w:szCs w:val="21"/>
              </w:rPr>
              <w:t>严禁携带</w:t>
            </w:r>
          </w:p>
        </w:tc>
      </w:tr>
      <w:tr w14:paraId="6220B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3011" w:type="dxa"/>
            <w:vAlign w:val="center"/>
          </w:tcPr>
          <w:p w14:paraId="0A67876B">
            <w:pPr>
              <w:spacing w:line="480" w:lineRule="exact"/>
              <w:jc w:val="center"/>
              <w:rPr>
                <w:rFonts w:hint="eastAsia" w:ascii="宋体" w:hAnsi="宋体" w:eastAsia="宋体" w:cs="仿宋"/>
                <w:szCs w:val="21"/>
              </w:rPr>
            </w:pPr>
            <w:r>
              <w:rPr>
                <w:rFonts w:hint="eastAsia" w:ascii="宋体" w:hAnsi="宋体" w:eastAsia="宋体" w:cs="仿宋"/>
                <w:szCs w:val="21"/>
              </w:rPr>
              <w:t>有毒有害物</w:t>
            </w:r>
          </w:p>
        </w:tc>
        <w:tc>
          <w:tcPr>
            <w:tcW w:w="2945" w:type="dxa"/>
            <w:gridSpan w:val="2"/>
            <w:vAlign w:val="center"/>
          </w:tcPr>
          <w:p w14:paraId="40C2DAE7">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6432" behindDoc="0" locked="0" layoutInCell="1" allowOverlap="1">
                  <wp:simplePos x="0" y="0"/>
                  <wp:positionH relativeFrom="column">
                    <wp:posOffset>429260</wp:posOffset>
                  </wp:positionH>
                  <wp:positionV relativeFrom="paragraph">
                    <wp:posOffset>93345</wp:posOffset>
                  </wp:positionV>
                  <wp:extent cx="775970" cy="397510"/>
                  <wp:effectExtent l="0" t="0" r="5080" b="2540"/>
                  <wp:wrapSquare wrapText="bothSides"/>
                  <wp:docPr id="1006801521" name="图片 9" descr="有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01521" name="图片 9" descr="有毒"/>
                          <pic:cNvPicPr>
                            <a:picLocks noChangeAspect="1" noChangeArrowheads="1"/>
                          </pic:cNvPicPr>
                        </pic:nvPicPr>
                        <pic:blipFill>
                          <a:blip r:embed="rId17">
                            <a:extLst>
                              <a:ext uri="{28A0092B-C50C-407E-A947-70E740481C1C}">
                                <a14:useLocalDpi xmlns:a14="http://schemas.microsoft.com/office/drawing/2010/main" val="0"/>
                              </a:ext>
                            </a:extLst>
                          </a:blip>
                          <a:srcRect b="14420"/>
                          <a:stretch>
                            <a:fillRect/>
                          </a:stretch>
                        </pic:blipFill>
                        <pic:spPr>
                          <a:xfrm>
                            <a:off x="0" y="0"/>
                            <a:ext cx="775970" cy="397510"/>
                          </a:xfrm>
                          <a:prstGeom prst="rect">
                            <a:avLst/>
                          </a:prstGeom>
                          <a:noFill/>
                          <a:ln>
                            <a:noFill/>
                          </a:ln>
                        </pic:spPr>
                      </pic:pic>
                    </a:graphicData>
                  </a:graphic>
                </wp:anchor>
              </w:drawing>
            </w:r>
          </w:p>
        </w:tc>
        <w:tc>
          <w:tcPr>
            <w:tcW w:w="2467" w:type="dxa"/>
            <w:vAlign w:val="center"/>
          </w:tcPr>
          <w:p w14:paraId="0E54B141">
            <w:pPr>
              <w:spacing w:line="480" w:lineRule="exact"/>
              <w:jc w:val="center"/>
              <w:rPr>
                <w:rFonts w:hint="eastAsia" w:ascii="宋体" w:hAnsi="宋体" w:eastAsia="宋体" w:cs="仿宋"/>
                <w:szCs w:val="21"/>
              </w:rPr>
            </w:pPr>
            <w:r>
              <w:rPr>
                <w:rFonts w:ascii="宋体" w:hAnsi="宋体" w:eastAsia="宋体"/>
                <w:szCs w:val="21"/>
              </w:rPr>
              <w:drawing>
                <wp:anchor distT="0" distB="0" distL="114300" distR="114300" simplePos="0" relativeHeight="251667456" behindDoc="0" locked="0" layoutInCell="1" allowOverlap="1">
                  <wp:simplePos x="0" y="0"/>
                  <wp:positionH relativeFrom="column">
                    <wp:posOffset>1141730</wp:posOffset>
                  </wp:positionH>
                  <wp:positionV relativeFrom="paragraph">
                    <wp:posOffset>121285</wp:posOffset>
                  </wp:positionV>
                  <wp:extent cx="372110" cy="351155"/>
                  <wp:effectExtent l="0" t="0" r="8890" b="0"/>
                  <wp:wrapSquare wrapText="bothSides"/>
                  <wp:docPr id="487098168" name="图片 8"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098168" name="图片 8" descr="徽标&#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2110" cy="351155"/>
                          </a:xfrm>
                          <a:prstGeom prst="rect">
                            <a:avLst/>
                          </a:prstGeom>
                          <a:noFill/>
                          <a:ln>
                            <a:noFill/>
                          </a:ln>
                        </pic:spPr>
                      </pic:pic>
                    </a:graphicData>
                  </a:graphic>
                </wp:anchor>
              </w:drawing>
            </w:r>
            <w:r>
              <w:rPr>
                <w:rFonts w:hint="eastAsia" w:ascii="宋体" w:hAnsi="宋体" w:eastAsia="宋体" w:cs="仿宋"/>
                <w:szCs w:val="21"/>
              </w:rPr>
              <w:t>严禁携带</w:t>
            </w:r>
          </w:p>
        </w:tc>
      </w:tr>
    </w:tbl>
    <w:p w14:paraId="4C794E2D">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竞赛期间产生的废料等必须分类收集和回收。</w:t>
      </w:r>
    </w:p>
    <w:p w14:paraId="0C6D23D8">
      <w:pPr>
        <w:spacing w:line="360" w:lineRule="auto"/>
        <w:ind w:firstLine="482" w:firstLineChars="200"/>
        <w:outlineLvl w:val="1"/>
        <w:rPr>
          <w:rFonts w:hint="eastAsia" w:ascii="宋体" w:hAnsi="宋体" w:eastAsia="宋体"/>
          <w:b/>
          <w:bCs/>
          <w:sz w:val="24"/>
          <w:szCs w:val="24"/>
        </w:rPr>
      </w:pPr>
      <w:bookmarkStart w:id="72" w:name="_Toc11174"/>
      <w:r>
        <w:rPr>
          <w:rFonts w:hint="eastAsia" w:ascii="宋体" w:hAnsi="宋体" w:eastAsia="宋体"/>
          <w:b/>
          <w:bCs/>
          <w:sz w:val="24"/>
          <w:szCs w:val="24"/>
        </w:rPr>
        <w:t>（三） 医疗设备和措施</w:t>
      </w:r>
      <w:bookmarkEnd w:id="72"/>
    </w:p>
    <w:p w14:paraId="2906118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赛场必须配备医护人员和必须的药品。</w:t>
      </w:r>
    </w:p>
    <w:p w14:paraId="6C6F7670">
      <w:pPr>
        <w:spacing w:line="360" w:lineRule="auto"/>
        <w:ind w:firstLine="482" w:firstLineChars="200"/>
        <w:outlineLvl w:val="0"/>
        <w:rPr>
          <w:rFonts w:hint="eastAsia" w:ascii="宋体" w:hAnsi="宋体" w:eastAsia="宋体"/>
          <w:b/>
          <w:bCs/>
          <w:sz w:val="24"/>
          <w:szCs w:val="24"/>
        </w:rPr>
      </w:pPr>
      <w:bookmarkStart w:id="73" w:name="_Toc24420"/>
      <w:r>
        <w:rPr>
          <w:rFonts w:hint="eastAsia" w:ascii="宋体" w:hAnsi="宋体" w:eastAsia="宋体"/>
          <w:b/>
          <w:bCs/>
          <w:sz w:val="24"/>
          <w:szCs w:val="24"/>
        </w:rPr>
        <w:t>十、竞赛须知</w:t>
      </w:r>
      <w:bookmarkEnd w:id="73"/>
    </w:p>
    <w:p w14:paraId="0B1F9C54">
      <w:pPr>
        <w:spacing w:line="360" w:lineRule="auto"/>
        <w:ind w:firstLine="482" w:firstLineChars="200"/>
        <w:outlineLvl w:val="1"/>
        <w:rPr>
          <w:rFonts w:hint="eastAsia" w:ascii="宋体" w:hAnsi="宋体" w:eastAsia="宋体"/>
          <w:b/>
          <w:bCs/>
          <w:sz w:val="24"/>
          <w:szCs w:val="24"/>
        </w:rPr>
      </w:pPr>
      <w:bookmarkStart w:id="74" w:name="_Toc5318"/>
      <w:r>
        <w:rPr>
          <w:rFonts w:hint="eastAsia" w:ascii="宋体" w:hAnsi="宋体" w:eastAsia="宋体"/>
          <w:b/>
          <w:bCs/>
          <w:sz w:val="24"/>
          <w:szCs w:val="24"/>
        </w:rPr>
        <w:t>（一）参赛队须知</w:t>
      </w:r>
      <w:bookmarkEnd w:id="74"/>
    </w:p>
    <w:p w14:paraId="119E453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1.本赛项为团体赛，每支参赛队由2名选手组成，其分工自行决定。</w:t>
      </w:r>
    </w:p>
    <w:p w14:paraId="1C935C2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参赛队员在报名获得审核确认后，原则上不再更换，如筹备过程中，队员因故不能参赛，须由参赛学校或单位于相应赛项开赛10个工作日之前出具书面说明，按相关规定补充人员并接受审核。竞赛开始后，参赛队不得更换参赛队员。</w:t>
      </w:r>
    </w:p>
    <w:p w14:paraId="766CAEC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3.参赛队按照大赛赛程安排，凭大赛组委会颁发的参赛证以及工作证、学生证、身份证等身份证明文件参加竞赛及相关活动。</w:t>
      </w:r>
    </w:p>
    <w:p w14:paraId="4D4E899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4.各参赛队按竞赛组委会统一安排参加竞赛前熟悉场地环境的活动，未按时参加视为自动放弃熟悉场地。</w:t>
      </w:r>
    </w:p>
    <w:p w14:paraId="5900344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5.各参赛队按组委会统一要求，准时参加赛前领队会。</w:t>
      </w:r>
    </w:p>
    <w:p w14:paraId="77E24EE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6.各参赛队在竞赛期间要注意饮食卫生，防止食物中毒。</w:t>
      </w:r>
    </w:p>
    <w:p w14:paraId="61DF611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7.各参赛队在竞赛期间，应保证所有人员的安全，防止交通事故和其它意外事故的发生，应为领队、教练（指导教师）和参赛选手购买人身意外保险。</w:t>
      </w:r>
    </w:p>
    <w:p w14:paraId="519BDFB5">
      <w:pPr>
        <w:spacing w:line="360" w:lineRule="auto"/>
        <w:ind w:firstLine="480" w:firstLineChars="200"/>
        <w:outlineLvl w:val="2"/>
        <w:rPr>
          <w:rFonts w:hint="eastAsia" w:ascii="宋体" w:hAnsi="宋体" w:eastAsia="宋体"/>
          <w:sz w:val="24"/>
          <w:szCs w:val="24"/>
        </w:rPr>
      </w:pPr>
      <w:bookmarkStart w:id="75" w:name="_Toc16699"/>
      <w:r>
        <w:rPr>
          <w:rFonts w:hint="eastAsia" w:ascii="宋体" w:hAnsi="宋体" w:eastAsia="宋体"/>
          <w:sz w:val="24"/>
          <w:szCs w:val="24"/>
        </w:rPr>
        <w:t>8.各参赛队要发扬良好道德风尚，听从指挥，服从裁判。</w:t>
      </w:r>
      <w:bookmarkEnd w:id="75"/>
    </w:p>
    <w:p w14:paraId="63E1F95F">
      <w:pPr>
        <w:spacing w:line="360" w:lineRule="auto"/>
        <w:ind w:firstLine="482" w:firstLineChars="200"/>
        <w:outlineLvl w:val="1"/>
        <w:rPr>
          <w:rFonts w:hint="eastAsia" w:ascii="宋体" w:hAnsi="宋体" w:eastAsia="宋体"/>
          <w:b/>
          <w:bCs/>
          <w:sz w:val="24"/>
          <w:szCs w:val="24"/>
        </w:rPr>
      </w:pPr>
      <w:bookmarkStart w:id="76" w:name="_Toc23233"/>
      <w:r>
        <w:rPr>
          <w:rFonts w:hint="eastAsia" w:ascii="宋体" w:hAnsi="宋体" w:eastAsia="宋体"/>
          <w:b/>
          <w:bCs/>
          <w:sz w:val="24"/>
          <w:szCs w:val="24"/>
        </w:rPr>
        <w:t>（二）教练（指导教师）须知</w:t>
      </w:r>
      <w:bookmarkEnd w:id="76"/>
    </w:p>
    <w:p w14:paraId="5D8676B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一支参赛队只能配备一名教练（指导教师），一名教练（指导教师）可指导多名选手。教练经报名、审核后确定，一经确定不得更换，如需更换，须由各省人社行政部门于相应赛项开赛10个工作日之前出具书面说明，按相关规定补充人员并接受审核；竞赛开始后，参赛队不得更换教练（指导教师）。如发现弄虚作假者，取消评定优秀教练（指导教师）资格。</w:t>
      </w:r>
    </w:p>
    <w:p w14:paraId="5EBF681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2.对申诉的仲裁结果，领队和教练（指导教师）应带头服从和执行，还应说服选手服从和执行。凡恶意申诉，一经查实，全国组委会将追查相关人员责任。</w:t>
      </w:r>
    </w:p>
    <w:p w14:paraId="5605DA3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3.教练（指导教师）应认真研究和掌握本赛项竞赛的技术规则和赛场要求，指导选手做好赛前的一切准备工作。</w:t>
      </w:r>
    </w:p>
    <w:p w14:paraId="3991CDB2">
      <w:pPr>
        <w:spacing w:line="360" w:lineRule="auto"/>
        <w:ind w:firstLine="480" w:firstLineChars="200"/>
        <w:outlineLvl w:val="2"/>
        <w:rPr>
          <w:rFonts w:hint="eastAsia" w:ascii="宋体" w:hAnsi="宋体" w:eastAsia="宋体"/>
          <w:sz w:val="24"/>
          <w:szCs w:val="24"/>
        </w:rPr>
      </w:pPr>
      <w:bookmarkStart w:id="77" w:name="_Toc25459"/>
      <w:r>
        <w:rPr>
          <w:rFonts w:hint="eastAsia" w:ascii="宋体" w:hAnsi="宋体" w:eastAsia="宋体"/>
          <w:sz w:val="24"/>
          <w:szCs w:val="24"/>
        </w:rPr>
        <w:t>4.领队和教练（指导教师）应在赛后做好技术总结和工作总结。</w:t>
      </w:r>
      <w:bookmarkEnd w:id="77"/>
    </w:p>
    <w:p w14:paraId="298CEB59">
      <w:pPr>
        <w:spacing w:line="360" w:lineRule="auto"/>
        <w:ind w:firstLine="482" w:firstLineChars="200"/>
        <w:outlineLvl w:val="1"/>
        <w:rPr>
          <w:rFonts w:hint="eastAsia" w:ascii="宋体" w:hAnsi="宋体" w:eastAsia="宋体"/>
          <w:b/>
          <w:bCs/>
          <w:sz w:val="24"/>
          <w:szCs w:val="24"/>
        </w:rPr>
      </w:pPr>
      <w:bookmarkStart w:id="78" w:name="_Toc29629"/>
      <w:r>
        <w:rPr>
          <w:rFonts w:hint="eastAsia" w:ascii="宋体" w:hAnsi="宋体" w:eastAsia="宋体"/>
          <w:b/>
          <w:bCs/>
          <w:sz w:val="24"/>
          <w:szCs w:val="24"/>
        </w:rPr>
        <w:t>（三）参赛选手须知</w:t>
      </w:r>
      <w:bookmarkEnd w:id="78"/>
    </w:p>
    <w:p w14:paraId="79ADBA9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1.参赛选手应严格遵守竞赛规则和竞赛纪律，服从裁判员和竞赛工作人员的统一指挥安排，自觉维护赛场秩序，不得因申诉处理意见不服而停止竞赛，否则以弃权处理。</w:t>
      </w:r>
    </w:p>
    <w:p w14:paraId="37C0ED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2.参赛选手在赛前熟悉和竞赛时间内，应该严格遵守竞赛设备守则和竞赛设备安全操作规程，杜绝出现安全事故。</w:t>
      </w:r>
    </w:p>
    <w:p w14:paraId="6720756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3.参赛选手不得将通讯工具、任何技术资料、工具书、自编电子或文字资料、笔记本电脑、通讯工具、摄像工具以及其他即插即用的硬件设备带入比赛现场，否则取消选手比赛资格。</w:t>
      </w:r>
    </w:p>
    <w:p w14:paraId="63456163">
      <w:pPr>
        <w:spacing w:line="360" w:lineRule="auto"/>
        <w:ind w:firstLine="480" w:firstLineChars="200"/>
        <w:outlineLvl w:val="2"/>
        <w:rPr>
          <w:rFonts w:hint="eastAsia" w:ascii="宋体" w:hAnsi="宋体" w:eastAsia="宋体"/>
          <w:sz w:val="24"/>
          <w:szCs w:val="24"/>
        </w:rPr>
      </w:pPr>
      <w:bookmarkStart w:id="79" w:name="_Toc1323"/>
      <w:r>
        <w:rPr>
          <w:rFonts w:hint="eastAsia" w:ascii="宋体" w:hAnsi="宋体" w:eastAsia="宋体"/>
          <w:sz w:val="24"/>
          <w:szCs w:val="24"/>
        </w:rPr>
        <w:t>4.参赛选手应严格按竞赛流程进行竞赛。</w:t>
      </w:r>
      <w:bookmarkEnd w:id="79"/>
    </w:p>
    <w:p w14:paraId="1A30622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5.参赛选手必须持本人身份证、并佩戴组委会签发的参赛证件，按竞赛规定的时间，到指定的场地参赛。</w:t>
      </w:r>
    </w:p>
    <w:p w14:paraId="2B649B9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6.实操考核时间60分钟，参赛选手按照裁判长指令开始和结束竞赛。</w:t>
      </w:r>
    </w:p>
    <w:p w14:paraId="674AC37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参赛选手须在赛前60分钟到达赛场进行检录、抽取赛位号，在赛前30分钟统一入场，进行赛前准备，等候比赛开始指令。正式竞赛开始尚未检录的选手，不得参加竞赛。已检录入场的参赛选手未经允许，不得擅自离开。</w:t>
      </w:r>
    </w:p>
    <w:p w14:paraId="26A0DE6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8.参赛选手按规定进入竞赛工位，在现场工作人员引导下，进行赛前准备，检查并确认竞赛设备、竞赛工位计算机、配套的工具、相关软件等，并签字确认。</w:t>
      </w:r>
    </w:p>
    <w:p w14:paraId="0480BCAF">
      <w:pPr>
        <w:spacing w:line="360" w:lineRule="auto"/>
        <w:ind w:firstLine="480" w:firstLineChars="200"/>
        <w:outlineLvl w:val="2"/>
        <w:rPr>
          <w:rFonts w:hint="eastAsia" w:ascii="宋体" w:hAnsi="宋体" w:eastAsia="宋体"/>
          <w:sz w:val="24"/>
          <w:szCs w:val="24"/>
        </w:rPr>
      </w:pPr>
      <w:bookmarkStart w:id="80" w:name="_Toc1457"/>
      <w:r>
        <w:rPr>
          <w:rFonts w:hint="eastAsia" w:ascii="宋体" w:hAnsi="宋体" w:eastAsia="宋体"/>
          <w:sz w:val="24"/>
          <w:szCs w:val="24"/>
        </w:rPr>
        <w:t>9.裁判长宣布比赛开始，参赛选手方可进行竞赛操作。</w:t>
      </w:r>
      <w:bookmarkEnd w:id="80"/>
    </w:p>
    <w:p w14:paraId="40CBFF0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10.参赛选手必须及时备份竞赛中自己的竞赛数据，防止意外断电及其它情况造成程序或资料的丢失。并将全部数据文件存储至计算机指定盘符下，不按要求存储数据导致数据丢失者，责任自负。</w:t>
      </w:r>
    </w:p>
    <w:p w14:paraId="33A7834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11.竞赛过程中，选手若需休息、饮水或去洗手间，一律计算在比赛时间内。食品和饮水由赛场统一提供。</w:t>
      </w:r>
    </w:p>
    <w:p w14:paraId="3CFF47A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竞赛过程中，参赛选手须严格遵守相关操作规程，确保人身及设备安全，并接受裁判员的监督和警示，若因选手个人因素造成人身安全事故和设备故障，不予延时，情节特别严重者，由大赛裁判组视具体情况作出处理决定（最高至终止比赛）并由裁判长上报竞监督仲裁组；若因非选手个人因素造成设备故障，由大赛裁判组视具体情况作出延时处理并由裁判长上报竞赛监督仲裁组。</w:t>
      </w:r>
    </w:p>
    <w:p w14:paraId="59DD0A4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13.参赛选手在竞赛过程中不得擅自离开赛场，如有特殊情况，需经裁判员同意后，特殊处理。</w:t>
      </w:r>
    </w:p>
    <w:p w14:paraId="155DC5F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14.参赛选手在比赛过程中，如遇问题，需举手向裁判员提问。选手之间不得发生任何交流，否则，按作弊处理。</w:t>
      </w:r>
    </w:p>
    <w:p w14:paraId="4A02976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15.参赛选手在操作技能竞赛过程中，视任务需求戴安全帽（长发不得外露）、穿工作服、防砸防刺穿劳保工作鞋以及佩戴护目镜。</w:t>
      </w:r>
    </w:p>
    <w:p w14:paraId="639D698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16.除特殊说明外，各项任务裁判只验收1次，请根据赛题说明，确认完成后再提请裁判验收。</w:t>
      </w:r>
    </w:p>
    <w:p w14:paraId="098E71E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17.裁判长在比赛结束前15分钟对选手做出提示。裁判长宣布比赛结束后，选手应立即停止竞赛操作，现场裁判员监督竞赛设备的停止，在规定时间内必须把竞赛作品、赛题、图纸、草稿纸等所有相关内容上交至现场裁判员，如选手未按规定执行，裁判有权终止比赛，要求选手至指定位置。</w:t>
      </w:r>
    </w:p>
    <w:p w14:paraId="61170D7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18.竞赛结束后，由现场裁判员和选手检查确认提交的内容，现场裁判员当选手面封装上交竞赛作品，选手在收件表上签字确认，现场裁判员签字确认。</w:t>
      </w:r>
    </w:p>
    <w:p w14:paraId="531D60D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19.比赛结束，选手应立即清理现场，包括竞赛设备及周边卫生并恢复竞赛设备原始状态等。经现场裁判员和现场工作人员确认后方可离开工位。经裁判长确认后，选手方可离开赛场。此项工作将在选手职业素养环节进行评判。</w:t>
      </w:r>
    </w:p>
    <w:p w14:paraId="0D93CA7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20.参赛选手在竞赛期间未经组委会的批准，不得接受其他单位和个人进行的与竞赛内容相关的采访；参赛选手不得私自公开比赛相关资料。</w:t>
      </w:r>
    </w:p>
    <w:p w14:paraId="79CB6FED">
      <w:pPr>
        <w:spacing w:line="360" w:lineRule="auto"/>
        <w:ind w:firstLine="482" w:firstLineChars="200"/>
        <w:outlineLvl w:val="1"/>
        <w:rPr>
          <w:rFonts w:hint="eastAsia" w:ascii="宋体" w:hAnsi="宋体" w:eastAsia="宋体"/>
          <w:b/>
          <w:bCs/>
          <w:sz w:val="24"/>
          <w:szCs w:val="24"/>
        </w:rPr>
      </w:pPr>
      <w:bookmarkStart w:id="81" w:name="_Toc12964"/>
      <w:r>
        <w:rPr>
          <w:rFonts w:hint="eastAsia" w:ascii="宋体" w:hAnsi="宋体" w:eastAsia="宋体"/>
          <w:b/>
          <w:bCs/>
          <w:sz w:val="24"/>
          <w:szCs w:val="24"/>
        </w:rPr>
        <w:t>（四）工作人员须知</w:t>
      </w:r>
      <w:bookmarkEnd w:id="81"/>
    </w:p>
    <w:p w14:paraId="5084E79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1.工作人员必须服从赛项组委会统一指挥，佩戴工作人员标识，认真履行职责，做好竞赛服务工作。</w:t>
      </w:r>
    </w:p>
    <w:p w14:paraId="267F65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2.工作人员按照分工准时上岗，不得擅自离岗，应认真履行各自的工作职责，保证竞赛工作的顺利进行。</w:t>
      </w:r>
    </w:p>
    <w:p w14:paraId="6180490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3.工作人员应在规定的区域内工作，未经许可，不得擅自进入竞赛场地。进场需经过裁判长同意，核准证件后入场。</w:t>
      </w:r>
    </w:p>
    <w:p w14:paraId="21A6A33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4.如遇突发事件须及时向裁判员报告，同时做好疏导工作避免重大事故发生。</w:t>
      </w:r>
    </w:p>
    <w:p w14:paraId="13C3455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竞赛期间，工作人员不得干涉工作职责之外事宜，不得利用工作之便，弄虚作假、徇私舞弊。如有上述现象或因工作不负责任造成竞赛程序无法继续进行的，由赛项组委会视情节轻重给予通报批评或停止工作，并通知其所在单位做出相应处理。</w:t>
      </w:r>
    </w:p>
    <w:p w14:paraId="1F865B4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6.各类赛务人员必须统一佩戴由大赛组委会签发的相关证件，着装整齐。</w:t>
      </w:r>
    </w:p>
    <w:p w14:paraId="5F863A7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7.除现场裁判员和参赛选手外，其他人员不得进入竞赛区域。赛场安全员、设备和软件技术支持人员、工作人员必须在指定区域等待，未经裁判长允许不得进入竞赛区域，候场选手不得进入赛场。</w:t>
      </w:r>
    </w:p>
    <w:p w14:paraId="3B7F1039">
      <w:pPr>
        <w:spacing w:line="360" w:lineRule="auto"/>
        <w:ind w:firstLine="482" w:firstLineChars="200"/>
        <w:outlineLvl w:val="1"/>
        <w:rPr>
          <w:rFonts w:hint="eastAsia" w:ascii="宋体" w:hAnsi="宋体" w:eastAsia="宋体"/>
          <w:b/>
          <w:bCs/>
          <w:sz w:val="24"/>
          <w:szCs w:val="24"/>
        </w:rPr>
      </w:pPr>
      <w:bookmarkStart w:id="82" w:name="_Toc31085"/>
      <w:r>
        <w:rPr>
          <w:rFonts w:hint="eastAsia" w:ascii="宋体" w:hAnsi="宋体" w:eastAsia="宋体"/>
          <w:b/>
          <w:bCs/>
          <w:sz w:val="24"/>
          <w:szCs w:val="24"/>
        </w:rPr>
        <w:t>（五）裁判员须知</w:t>
      </w:r>
      <w:bookmarkEnd w:id="82"/>
    </w:p>
    <w:p w14:paraId="15D99EF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1.裁判员须佩带裁判员标识上岗。执裁期间，统一着装，举止文明礼貌，接受参赛人员的监督。</w:t>
      </w:r>
    </w:p>
    <w:p w14:paraId="76403DE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2.严守竞赛纪律，执行竞赛规则，服从赛项组委会和裁判长的领导。按照分工开展工作，坚守工作岗位，不得擅自离岗。</w:t>
      </w:r>
    </w:p>
    <w:p w14:paraId="1993F32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3.裁判员的工作分为加密裁判、现场执裁和评判裁判等。</w:t>
      </w:r>
    </w:p>
    <w:p w14:paraId="5BE4F5F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4.裁判员在工作期间严禁使用各种器材进行摄像或照相。</w:t>
      </w:r>
    </w:p>
    <w:p w14:paraId="5DBBF85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5.现场执裁的裁判员负责检查选手携带的物品，违规物品一律清出赛场，比赛结束后裁判员要监督或命令选手停止竞赛操作。</w:t>
      </w:r>
    </w:p>
    <w:p w14:paraId="7C1C57DD">
      <w:pPr>
        <w:spacing w:line="360" w:lineRule="auto"/>
        <w:ind w:firstLine="480" w:firstLineChars="200"/>
        <w:outlineLvl w:val="2"/>
        <w:rPr>
          <w:rFonts w:hint="eastAsia" w:ascii="宋体" w:hAnsi="宋体" w:eastAsia="宋体"/>
          <w:sz w:val="24"/>
          <w:szCs w:val="24"/>
        </w:rPr>
      </w:pPr>
      <w:bookmarkStart w:id="83" w:name="_Toc28825"/>
      <w:r>
        <w:rPr>
          <w:rFonts w:hint="eastAsia" w:ascii="宋体" w:hAnsi="宋体" w:eastAsia="宋体"/>
          <w:sz w:val="24"/>
          <w:szCs w:val="24"/>
        </w:rPr>
        <w:t>6.裁判员不得影响选手正常竞赛。</w:t>
      </w:r>
      <w:bookmarkEnd w:id="83"/>
    </w:p>
    <w:p w14:paraId="60F86D2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7.严格执行赛场纪律，不得向参赛选手暗示或解答与竞赛有关的内容。对裁判工作中有争议的技术问题、突发事件要及时处理、妥善解决，并及时向裁判长汇报。</w:t>
      </w:r>
    </w:p>
    <w:p w14:paraId="473A94A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8.及时制止选手的违纪行为，提醒选手注意操作安全，对选手违规操作或有可能引发人身伤害、设备损坏等行为，应立即制止并向现场负责人报告。</w:t>
      </w:r>
    </w:p>
    <w:p w14:paraId="2477FEB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9.严格执行竞赛项目评分标准，做到公平、公正、真实、准确，杜绝随意打分；严禁利用工作之便，弄虚作假、徇私舞弊。</w:t>
      </w:r>
    </w:p>
    <w:p w14:paraId="47C82CD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10.严格遵守保密纪律。裁判员不得私自与参赛选手或代表队联系，不得透露竞赛的有关情况。</w:t>
      </w:r>
    </w:p>
    <w:p w14:paraId="656D58C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11.裁判员必须参加赛前培训，否则取消竞赛裁判资格。</w:t>
      </w:r>
    </w:p>
    <w:p w14:paraId="2EF46D6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12.竞赛过程中如出现问题或异议，服从裁判长的裁决。</w:t>
      </w:r>
    </w:p>
    <w:p w14:paraId="13E180F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13.竞赛期间，因裁判人员工作不负责任，造成竞赛程序无法继续进行或评判结果失实情况，由赛项组委会视情节轻重，给予通报批评或停止裁判资格，并通知其所在单位做出相应处理。</w:t>
      </w:r>
    </w:p>
    <w:p w14:paraId="4D1D8D73">
      <w:pPr>
        <w:spacing w:line="360" w:lineRule="auto"/>
        <w:ind w:firstLine="482" w:firstLineChars="200"/>
        <w:outlineLvl w:val="0"/>
        <w:rPr>
          <w:rFonts w:hint="eastAsia" w:ascii="宋体" w:hAnsi="宋体" w:eastAsia="宋体"/>
          <w:b/>
          <w:bCs/>
          <w:sz w:val="24"/>
          <w:szCs w:val="24"/>
        </w:rPr>
      </w:pPr>
      <w:bookmarkStart w:id="84" w:name="_Toc19242"/>
      <w:r>
        <w:rPr>
          <w:rFonts w:hint="eastAsia" w:ascii="宋体" w:hAnsi="宋体" w:eastAsia="宋体"/>
          <w:b/>
          <w:bCs/>
          <w:sz w:val="24"/>
          <w:szCs w:val="24"/>
        </w:rPr>
        <w:t>十一、申诉与仲裁</w:t>
      </w:r>
      <w:bookmarkEnd w:id="84"/>
    </w:p>
    <w:p w14:paraId="383246C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赛项在竞赛过程中若出现有失公正或有关人员违规等现象，各代表队领队可在竞赛结束后2小时之内向监督仲裁组提出书面申诉。大赛组委会选派人员参加监督仲裁工作，监督仲裁工作组在接到申诉后的2小时内组织复议，并及时反馈仲裁结果，仲裁结果为最终结果。</w:t>
      </w:r>
    </w:p>
    <w:p w14:paraId="48B75EB0">
      <w:pPr>
        <w:spacing w:line="360" w:lineRule="auto"/>
        <w:ind w:firstLine="482" w:firstLineChars="200"/>
        <w:outlineLvl w:val="0"/>
        <w:rPr>
          <w:rFonts w:hint="eastAsia" w:ascii="宋体" w:hAnsi="宋体" w:eastAsia="宋体"/>
          <w:b/>
          <w:bCs/>
          <w:sz w:val="24"/>
          <w:szCs w:val="24"/>
        </w:rPr>
      </w:pPr>
      <w:bookmarkStart w:id="85" w:name="_Toc21288"/>
      <w:r>
        <w:rPr>
          <w:rFonts w:hint="eastAsia" w:ascii="宋体" w:hAnsi="宋体" w:eastAsia="宋体"/>
          <w:b/>
          <w:bCs/>
          <w:sz w:val="24"/>
          <w:szCs w:val="24"/>
        </w:rPr>
        <w:t>十二、开放现场的要求</w:t>
      </w:r>
      <w:bookmarkEnd w:id="85"/>
    </w:p>
    <w:p w14:paraId="3DB86B8A">
      <w:pPr>
        <w:spacing w:line="360" w:lineRule="auto"/>
        <w:ind w:firstLine="482" w:firstLineChars="200"/>
        <w:outlineLvl w:val="1"/>
        <w:rPr>
          <w:rFonts w:hint="eastAsia" w:ascii="宋体" w:hAnsi="宋体" w:eastAsia="宋体"/>
          <w:b/>
          <w:bCs/>
          <w:sz w:val="24"/>
          <w:szCs w:val="24"/>
        </w:rPr>
      </w:pPr>
      <w:bookmarkStart w:id="86" w:name="_Toc11341"/>
      <w:r>
        <w:rPr>
          <w:rFonts w:hint="eastAsia" w:ascii="宋体" w:hAnsi="宋体" w:eastAsia="宋体"/>
          <w:b/>
          <w:bCs/>
          <w:sz w:val="24"/>
          <w:szCs w:val="24"/>
        </w:rPr>
        <w:t>（一）对于公众开放的要求</w:t>
      </w:r>
      <w:bookmarkEnd w:id="86"/>
    </w:p>
    <w:p w14:paraId="63F59BF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赛场开放，公众可在赛场开放区域自由观摩，但不能妨碍选手比赛，不得进入竞赛区域。</w:t>
      </w:r>
    </w:p>
    <w:p w14:paraId="606CC252">
      <w:pPr>
        <w:spacing w:line="360" w:lineRule="auto"/>
        <w:ind w:firstLine="482" w:firstLineChars="200"/>
        <w:outlineLvl w:val="1"/>
        <w:rPr>
          <w:rFonts w:hint="eastAsia" w:ascii="宋体" w:hAnsi="宋体" w:eastAsia="宋体"/>
          <w:b/>
          <w:bCs/>
          <w:sz w:val="24"/>
          <w:szCs w:val="24"/>
        </w:rPr>
      </w:pPr>
      <w:bookmarkStart w:id="87" w:name="_Toc25841"/>
      <w:r>
        <w:rPr>
          <w:rFonts w:hint="eastAsia" w:ascii="宋体" w:hAnsi="宋体" w:eastAsia="宋体"/>
          <w:b/>
          <w:bCs/>
          <w:sz w:val="24"/>
          <w:szCs w:val="24"/>
        </w:rPr>
        <w:t>（二）关于赞助商和宣传的要求</w:t>
      </w:r>
      <w:bookmarkEnd w:id="87"/>
    </w:p>
    <w:p w14:paraId="52C2EAE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经大赛组委会允许的赞助商和负责宣传的媒体记者，按竞赛规则的要求进入赛场相关区域。上述相关人员不得妨碍、干扰选手竞赛，不得有任何影响竞赛公平、公正的行为。</w:t>
      </w:r>
    </w:p>
    <w:p w14:paraId="1ABB7ECF">
      <w:pPr>
        <w:spacing w:line="360" w:lineRule="auto"/>
        <w:ind w:firstLine="482" w:firstLineChars="200"/>
        <w:outlineLvl w:val="0"/>
        <w:rPr>
          <w:rFonts w:hint="eastAsia" w:ascii="宋体" w:hAnsi="宋体" w:eastAsia="宋体"/>
          <w:b/>
          <w:bCs/>
          <w:sz w:val="24"/>
          <w:szCs w:val="24"/>
        </w:rPr>
      </w:pPr>
      <w:bookmarkStart w:id="88" w:name="_Toc26747"/>
      <w:r>
        <w:rPr>
          <w:rFonts w:hint="eastAsia" w:ascii="宋体" w:hAnsi="宋体" w:eastAsia="宋体"/>
          <w:b/>
          <w:bCs/>
          <w:sz w:val="24"/>
          <w:szCs w:val="24"/>
        </w:rPr>
        <w:t>十三、绿色环保</w:t>
      </w:r>
      <w:bookmarkEnd w:id="88"/>
    </w:p>
    <w:p w14:paraId="25FC9694">
      <w:pPr>
        <w:spacing w:line="360" w:lineRule="auto"/>
        <w:ind w:firstLine="482" w:firstLineChars="200"/>
        <w:outlineLvl w:val="1"/>
        <w:rPr>
          <w:rFonts w:hint="eastAsia" w:ascii="宋体" w:hAnsi="宋体" w:eastAsia="宋体"/>
          <w:b/>
          <w:bCs/>
          <w:sz w:val="24"/>
          <w:szCs w:val="24"/>
        </w:rPr>
      </w:pPr>
      <w:bookmarkStart w:id="89" w:name="_Toc10341"/>
      <w:r>
        <w:rPr>
          <w:rFonts w:hint="eastAsia" w:ascii="宋体" w:hAnsi="宋体" w:eastAsia="宋体"/>
          <w:b/>
          <w:bCs/>
          <w:sz w:val="24"/>
          <w:szCs w:val="24"/>
        </w:rPr>
        <w:t>（一）环境保护</w:t>
      </w:r>
      <w:bookmarkEnd w:id="89"/>
    </w:p>
    <w:p w14:paraId="66297B4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大赛应注重环境保护，不允许破坏环境。</w:t>
      </w:r>
    </w:p>
    <w:p w14:paraId="606AAED3">
      <w:pPr>
        <w:spacing w:line="360" w:lineRule="auto"/>
        <w:ind w:firstLine="482" w:firstLineChars="200"/>
        <w:outlineLvl w:val="1"/>
        <w:rPr>
          <w:rFonts w:hint="eastAsia" w:ascii="宋体" w:hAnsi="宋体" w:eastAsia="宋体"/>
          <w:b/>
          <w:bCs/>
          <w:sz w:val="24"/>
          <w:szCs w:val="24"/>
        </w:rPr>
      </w:pPr>
      <w:bookmarkStart w:id="90" w:name="_Toc20543"/>
      <w:r>
        <w:rPr>
          <w:rFonts w:hint="eastAsia" w:ascii="宋体" w:hAnsi="宋体" w:eastAsia="宋体"/>
          <w:b/>
          <w:bCs/>
          <w:sz w:val="24"/>
          <w:szCs w:val="24"/>
        </w:rPr>
        <w:t>（二）循环利用</w:t>
      </w:r>
      <w:bookmarkEnd w:id="90"/>
    </w:p>
    <w:p w14:paraId="6F3B734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大赛期间产生的废料必须分类收集和回收。</w:t>
      </w:r>
    </w:p>
    <w:p w14:paraId="08FA8FEB">
      <w:pPr>
        <w:spacing w:line="360" w:lineRule="auto"/>
        <w:ind w:firstLine="480" w:firstLineChars="200"/>
        <w:rPr>
          <w:rFonts w:hint="eastAsia" w:ascii="宋体" w:hAnsi="宋体" w:eastAsia="宋体"/>
          <w:sz w:val="24"/>
          <w:szCs w:val="24"/>
        </w:rPr>
      </w:pPr>
    </w:p>
    <w:p w14:paraId="1DC91918">
      <w:pPr>
        <w:spacing w:line="360" w:lineRule="auto"/>
        <w:ind w:firstLine="480" w:firstLineChars="200"/>
        <w:rPr>
          <w:rFonts w:hint="eastAsia" w:ascii="宋体" w:hAnsi="宋体" w:eastAsia="宋体"/>
          <w:sz w:val="24"/>
          <w:szCs w:val="24"/>
        </w:rPr>
      </w:pPr>
    </w:p>
    <w:p w14:paraId="5DEC1DF6">
      <w:pPr>
        <w:spacing w:line="360" w:lineRule="auto"/>
        <w:ind w:firstLine="480" w:firstLineChars="200"/>
        <w:rPr>
          <w:rFonts w:hint="eastAsia" w:ascii="宋体" w:hAnsi="宋体" w:eastAsia="宋体"/>
          <w:sz w:val="24"/>
          <w:szCs w:val="24"/>
        </w:rPr>
      </w:pPr>
    </w:p>
    <w:p w14:paraId="13C038E6">
      <w:pPr>
        <w:widowControl/>
        <w:jc w:val="left"/>
        <w:rPr>
          <w:rFonts w:hint="eastAsia" w:ascii="宋体" w:hAnsi="宋体" w:eastAsia="宋体"/>
          <w:sz w:val="24"/>
          <w:szCs w:val="24"/>
        </w:rPr>
      </w:pPr>
      <w:r>
        <w:rPr>
          <w:rFonts w:hint="eastAsia" w:ascii="宋体" w:hAnsi="宋体" w:eastAsia="宋体"/>
          <w:sz w:val="24"/>
          <w:szCs w:val="24"/>
        </w:rPr>
        <w:br w:type="page"/>
      </w:r>
    </w:p>
    <w:p w14:paraId="3B7B1E22">
      <w:pPr>
        <w:tabs>
          <w:tab w:val="left" w:pos="4680"/>
        </w:tabs>
        <w:spacing w:line="560" w:lineRule="exact"/>
        <w:jc w:val="center"/>
        <w:rPr>
          <w:rFonts w:hint="eastAsia" w:ascii="方正小标宋_GBK" w:hAnsi="方正小标宋_GBK" w:eastAsia="方正小标宋_GBK" w:cs="方正小标宋_GBK"/>
          <w:bCs/>
          <w:sz w:val="36"/>
          <w:szCs w:val="36"/>
        </w:rPr>
      </w:pPr>
      <w:r>
        <w:rPr>
          <w:rFonts w:hint="eastAsia" w:ascii="方正小标宋_GBK" w:hAnsi="方正小标宋_GBK" w:eastAsia="方正小标宋_GBK" w:cs="方正小标宋_GBK"/>
          <w:bCs/>
          <w:sz w:val="36"/>
          <w:szCs w:val="36"/>
        </w:rPr>
        <w:t>汽车零部件装调工（汽车电动化技术方向）赛项</w:t>
      </w:r>
    </w:p>
    <w:p w14:paraId="7D3FD21E">
      <w:pPr>
        <w:tabs>
          <w:tab w:val="left" w:pos="4680"/>
        </w:tabs>
        <w:spacing w:line="560" w:lineRule="exact"/>
        <w:jc w:val="center"/>
        <w:rPr>
          <w:rFonts w:hint="eastAsia" w:ascii="方正小标宋_GBK" w:hAnsi="方正小标宋_GBK" w:eastAsia="方正小标宋_GBK" w:cs="方正小标宋_GBK"/>
          <w:bCs/>
          <w:sz w:val="36"/>
          <w:szCs w:val="36"/>
          <w:lang w:bidi="en-US"/>
        </w:rPr>
      </w:pPr>
      <w:r>
        <w:rPr>
          <w:rFonts w:hint="eastAsia" w:ascii="方正小标宋_GBK" w:hAnsi="方正小标宋_GBK" w:eastAsia="方正小标宋_GBK" w:cs="方正小标宋_GBK"/>
          <w:bCs/>
          <w:sz w:val="36"/>
          <w:szCs w:val="36"/>
          <w:lang w:bidi="en-US"/>
        </w:rPr>
        <w:t xml:space="preserve"> (任务 1:</w:t>
      </w:r>
      <w:r>
        <w:rPr>
          <w:rFonts w:hint="eastAsia"/>
        </w:rPr>
        <w:t xml:space="preserve"> </w:t>
      </w:r>
      <w:r>
        <w:rPr>
          <w:rFonts w:hint="eastAsia" w:ascii="方正小标宋_GBK" w:hAnsi="方正小标宋_GBK" w:eastAsia="方正小标宋_GBK" w:cs="方正小标宋_GBK"/>
          <w:bCs/>
          <w:sz w:val="36"/>
          <w:szCs w:val="36"/>
        </w:rPr>
        <w:t>动力蓄电池系统安装与调试</w:t>
      </w:r>
      <w:r>
        <w:rPr>
          <w:rFonts w:hint="eastAsia" w:ascii="方正小标宋_GBK" w:hAnsi="方正小标宋_GBK" w:eastAsia="方正小标宋_GBK" w:cs="方正小标宋_GBK"/>
          <w:bCs/>
          <w:sz w:val="36"/>
          <w:szCs w:val="36"/>
          <w:lang w:bidi="en-US"/>
        </w:rPr>
        <w:t>)</w:t>
      </w:r>
    </w:p>
    <w:p w14:paraId="146CCBF3">
      <w:pPr>
        <w:tabs>
          <w:tab w:val="left" w:pos="4680"/>
        </w:tabs>
        <w:spacing w:line="560" w:lineRule="exact"/>
        <w:jc w:val="center"/>
        <w:outlineLvl w:val="2"/>
        <w:rPr>
          <w:rFonts w:hint="eastAsia" w:ascii="方正小标宋_GBK" w:hAnsi="方正小标宋_GBK" w:eastAsia="方正小标宋_GBK" w:cs="方正小标宋_GBK"/>
          <w:bCs/>
          <w:sz w:val="36"/>
          <w:szCs w:val="36"/>
          <w:lang w:bidi="en-US"/>
        </w:rPr>
      </w:pPr>
      <w:bookmarkStart w:id="91" w:name="_Toc3162"/>
      <w:r>
        <w:rPr>
          <w:rFonts w:hint="eastAsia" w:ascii="方正小标宋_GBK" w:hAnsi="方正小标宋_GBK" w:eastAsia="方正小标宋_GBK" w:cs="方正小标宋_GBK"/>
          <w:bCs/>
          <w:sz w:val="36"/>
          <w:szCs w:val="36"/>
          <w:lang w:bidi="en-US"/>
        </w:rPr>
        <w:t>选手作业单</w:t>
      </w:r>
      <w:bookmarkEnd w:id="91"/>
    </w:p>
    <w:p w14:paraId="2CD8F747">
      <w:pPr>
        <w:pStyle w:val="6"/>
        <w:rPr>
          <w:rFonts w:eastAsiaTheme="minorEastAsia"/>
          <w:lang w:eastAsia="zh-CN" w:bidi="en-US"/>
        </w:rPr>
      </w:pPr>
    </w:p>
    <w:tbl>
      <w:tblPr>
        <w:tblStyle w:val="16"/>
        <w:tblW w:w="851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2"/>
        <w:gridCol w:w="1559"/>
        <w:gridCol w:w="3082"/>
        <w:gridCol w:w="1989"/>
      </w:tblGrid>
      <w:tr w14:paraId="4DD49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1882" w:type="dxa"/>
          </w:tcPr>
          <w:p w14:paraId="1A933C02">
            <w:pPr>
              <w:pStyle w:val="20"/>
              <w:spacing w:before="91" w:line="220" w:lineRule="auto"/>
              <w:ind w:left="489"/>
              <w:rPr>
                <w:rFonts w:hint="eastAsia" w:ascii="仿宋_GB2312" w:eastAsia="仿宋_GB2312" w:cs="仿宋_GB2312"/>
                <w:bCs/>
              </w:rPr>
            </w:pPr>
            <w:r>
              <w:rPr>
                <w:rFonts w:hint="eastAsia" w:ascii="仿宋_GB2312" w:eastAsia="仿宋_GB2312" w:cs="仿宋_GB2312"/>
                <w:bCs/>
                <w:spacing w:val="-2"/>
                <w:lang w:eastAsia="zh-CN"/>
              </w:rPr>
              <w:t>场次</w:t>
            </w:r>
          </w:p>
        </w:tc>
        <w:tc>
          <w:tcPr>
            <w:tcW w:w="1559" w:type="dxa"/>
          </w:tcPr>
          <w:p w14:paraId="1D71CAB5">
            <w:pPr>
              <w:pStyle w:val="20"/>
              <w:spacing w:before="91" w:line="222" w:lineRule="auto"/>
              <w:ind w:left="429"/>
              <w:rPr>
                <w:rFonts w:hint="eastAsia" w:ascii="仿宋_GB2312" w:eastAsia="仿宋_GB2312" w:cs="仿宋_GB2312"/>
                <w:bCs/>
              </w:rPr>
            </w:pPr>
            <w:r>
              <w:rPr>
                <w:rFonts w:hint="eastAsia" w:ascii="仿宋_GB2312" w:eastAsia="仿宋_GB2312" w:cs="仿宋_GB2312"/>
                <w:bCs/>
                <w:spacing w:val="-5"/>
              </w:rPr>
              <w:t>工位号</w:t>
            </w:r>
          </w:p>
        </w:tc>
        <w:tc>
          <w:tcPr>
            <w:tcW w:w="3082" w:type="dxa"/>
          </w:tcPr>
          <w:p w14:paraId="317A3B26">
            <w:pPr>
              <w:pStyle w:val="20"/>
              <w:spacing w:before="91" w:line="220" w:lineRule="auto"/>
              <w:ind w:left="1071"/>
              <w:rPr>
                <w:rFonts w:hint="eastAsia" w:ascii="仿宋_GB2312" w:eastAsia="仿宋_GB2312" w:cs="仿宋_GB2312"/>
                <w:bCs/>
              </w:rPr>
            </w:pPr>
            <w:r>
              <w:rPr>
                <w:rFonts w:hint="eastAsia" w:ascii="仿宋_GB2312" w:eastAsia="仿宋_GB2312" w:cs="仿宋_GB2312"/>
                <w:bCs/>
                <w:spacing w:val="-4"/>
              </w:rPr>
              <w:t>竞赛日期</w:t>
            </w:r>
          </w:p>
        </w:tc>
        <w:tc>
          <w:tcPr>
            <w:tcW w:w="1989" w:type="dxa"/>
          </w:tcPr>
          <w:p w14:paraId="393BFFE4">
            <w:pPr>
              <w:pStyle w:val="20"/>
              <w:spacing w:before="91" w:line="220" w:lineRule="auto"/>
              <w:ind w:left="524"/>
              <w:rPr>
                <w:rFonts w:hint="eastAsia" w:ascii="仿宋_GB2312" w:eastAsia="仿宋_GB2312" w:cs="仿宋_GB2312"/>
                <w:bCs/>
              </w:rPr>
            </w:pPr>
            <w:r>
              <w:rPr>
                <w:rFonts w:hint="eastAsia" w:ascii="仿宋_GB2312" w:eastAsia="仿宋_GB2312" w:cs="仿宋_GB2312"/>
                <w:bCs/>
                <w:spacing w:val="-4"/>
              </w:rPr>
              <w:t>竞赛用时</w:t>
            </w:r>
          </w:p>
        </w:tc>
      </w:tr>
      <w:tr w14:paraId="3646F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1882" w:type="dxa"/>
          </w:tcPr>
          <w:p w14:paraId="6F541DC5">
            <w:pPr>
              <w:rPr>
                <w:rFonts w:hint="eastAsia" w:ascii="仿宋_GB2312" w:hAnsi="宋体" w:eastAsia="仿宋_GB2312" w:cs="仿宋_GB2312"/>
                <w:kern w:val="0"/>
                <w:sz w:val="24"/>
                <w:szCs w:val="24"/>
              </w:rPr>
            </w:pPr>
          </w:p>
        </w:tc>
        <w:tc>
          <w:tcPr>
            <w:tcW w:w="1559" w:type="dxa"/>
          </w:tcPr>
          <w:p w14:paraId="0906F705">
            <w:pPr>
              <w:rPr>
                <w:rFonts w:hint="eastAsia" w:ascii="仿宋_GB2312" w:hAnsi="宋体" w:eastAsia="仿宋_GB2312" w:cs="仿宋_GB2312"/>
                <w:kern w:val="0"/>
                <w:sz w:val="24"/>
                <w:szCs w:val="24"/>
              </w:rPr>
            </w:pPr>
          </w:p>
        </w:tc>
        <w:tc>
          <w:tcPr>
            <w:tcW w:w="3082" w:type="dxa"/>
          </w:tcPr>
          <w:p w14:paraId="6B3F3662">
            <w:pPr>
              <w:rPr>
                <w:rFonts w:hint="eastAsia" w:ascii="仿宋_GB2312" w:hAnsi="宋体" w:eastAsia="仿宋_GB2312" w:cs="仿宋_GB2312"/>
                <w:kern w:val="0"/>
                <w:sz w:val="24"/>
                <w:szCs w:val="24"/>
              </w:rPr>
            </w:pPr>
          </w:p>
        </w:tc>
        <w:tc>
          <w:tcPr>
            <w:tcW w:w="1989" w:type="dxa"/>
          </w:tcPr>
          <w:p w14:paraId="731636F3">
            <w:pPr>
              <w:pStyle w:val="20"/>
              <w:spacing w:before="90" w:line="221" w:lineRule="auto"/>
              <w:ind w:left="989"/>
              <w:rPr>
                <w:rFonts w:hint="eastAsia" w:ascii="仿宋_GB2312" w:eastAsia="仿宋_GB2312" w:cs="仿宋_GB2312"/>
              </w:rPr>
            </w:pPr>
          </w:p>
        </w:tc>
      </w:tr>
    </w:tbl>
    <w:p w14:paraId="5A9C50C7">
      <w:pPr>
        <w:spacing w:before="80"/>
        <w:rPr>
          <w:rFonts w:hint="eastAsia" w:ascii="仿宋_GB2312" w:hAnsi="宋体" w:eastAsia="仿宋_GB2312"/>
          <w:sz w:val="24"/>
          <w:szCs w:val="24"/>
        </w:rPr>
      </w:pPr>
    </w:p>
    <w:tbl>
      <w:tblPr>
        <w:tblStyle w:val="16"/>
        <w:tblW w:w="8502"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16"/>
        <w:gridCol w:w="4386"/>
      </w:tblGrid>
      <w:tr w14:paraId="0ED628A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76" w:hRule="atLeast"/>
          <w:jc w:val="center"/>
        </w:trPr>
        <w:tc>
          <w:tcPr>
            <w:tcW w:w="8502" w:type="dxa"/>
            <w:gridSpan w:val="2"/>
          </w:tcPr>
          <w:p w14:paraId="39D3D66F">
            <w:pPr>
              <w:pStyle w:val="20"/>
              <w:spacing w:before="137" w:line="220" w:lineRule="auto"/>
              <w:ind w:left="3203"/>
              <w:rPr>
                <w:rFonts w:hint="eastAsia" w:ascii="仿宋_GB2312" w:eastAsia="仿宋_GB2312" w:cs="仿宋"/>
              </w:rPr>
            </w:pPr>
            <w:r>
              <w:rPr>
                <w:rFonts w:hint="eastAsia" w:ascii="仿宋_GB2312" w:eastAsia="仿宋_GB2312" w:cs="仿宋"/>
                <w:spacing w:val="-2"/>
              </w:rPr>
              <w:t>选手操作任务说明</w:t>
            </w:r>
          </w:p>
        </w:tc>
      </w:tr>
      <w:tr w14:paraId="0FF26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8502" w:type="dxa"/>
            <w:gridSpan w:val="2"/>
          </w:tcPr>
          <w:p w14:paraId="48E18D31">
            <w:pPr>
              <w:pStyle w:val="20"/>
              <w:tabs>
                <w:tab w:val="left" w:pos="4056"/>
              </w:tabs>
              <w:spacing w:before="166" w:line="221" w:lineRule="auto"/>
              <w:jc w:val="center"/>
              <w:rPr>
                <w:rFonts w:hint="eastAsia" w:ascii="仿宋_GB2312" w:eastAsia="仿宋_GB2312" w:cs="仿宋"/>
                <w:lang w:eastAsia="zh-CN"/>
              </w:rPr>
            </w:pPr>
            <w:r>
              <w:rPr>
                <w:rFonts w:hint="eastAsia" w:ascii="仿宋_GB2312" w:eastAsia="仿宋_GB2312"/>
                <w:lang w:eastAsia="zh-CN"/>
              </w:rPr>
              <w:br w:type="page"/>
            </w:r>
            <w:r>
              <w:rPr>
                <w:rFonts w:hint="eastAsia" w:ascii="仿宋_GB2312" w:eastAsia="仿宋_GB2312" w:cs="仿宋"/>
                <w:lang w:eastAsia="zh-CN"/>
              </w:rPr>
              <w:t>时间分配</w:t>
            </w:r>
          </w:p>
        </w:tc>
      </w:tr>
      <w:tr w14:paraId="71797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116" w:type="dxa"/>
          </w:tcPr>
          <w:p w14:paraId="62A9DEF9">
            <w:pPr>
              <w:pStyle w:val="20"/>
              <w:spacing w:before="166" w:line="220" w:lineRule="auto"/>
              <w:ind w:left="317"/>
              <w:rPr>
                <w:rFonts w:hint="eastAsia" w:ascii="仿宋_GB2312" w:eastAsia="仿宋_GB2312" w:cs="仿宋"/>
                <w:lang w:eastAsia="zh-CN"/>
              </w:rPr>
            </w:pPr>
            <w:r>
              <w:rPr>
                <w:rFonts w:hint="eastAsia" w:ascii="仿宋_GB2312" w:eastAsia="仿宋_GB2312" w:cs="仿宋"/>
                <w:spacing w:val="-1"/>
                <w:lang w:eastAsia="zh-CN"/>
              </w:rPr>
              <w:t>检查工具和仪表完整性</w:t>
            </w:r>
          </w:p>
        </w:tc>
        <w:tc>
          <w:tcPr>
            <w:tcW w:w="4386" w:type="dxa"/>
          </w:tcPr>
          <w:p w14:paraId="29DBD4A5">
            <w:pPr>
              <w:pStyle w:val="20"/>
              <w:spacing w:before="166" w:line="221" w:lineRule="auto"/>
              <w:ind w:left="333"/>
              <w:rPr>
                <w:rFonts w:hint="eastAsia" w:ascii="仿宋_GB2312" w:eastAsia="仿宋_GB2312" w:cs="仿宋"/>
                <w:lang w:eastAsia="zh-CN"/>
              </w:rPr>
            </w:pPr>
            <w:r>
              <w:rPr>
                <w:rFonts w:hint="eastAsia" w:ascii="仿宋_GB2312" w:eastAsia="仿宋_GB2312" w:cs="仿宋"/>
                <w:spacing w:val="-11"/>
              </w:rPr>
              <w:t>1 分钟</w:t>
            </w:r>
          </w:p>
        </w:tc>
      </w:tr>
      <w:tr w14:paraId="0D8B9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116" w:type="dxa"/>
          </w:tcPr>
          <w:p w14:paraId="5CDB3234">
            <w:pPr>
              <w:pStyle w:val="20"/>
              <w:spacing w:before="165" w:line="220" w:lineRule="auto"/>
              <w:ind w:left="343"/>
              <w:rPr>
                <w:rFonts w:hint="eastAsia" w:ascii="仿宋_GB2312" w:eastAsia="仿宋_GB2312" w:cs="仿宋"/>
              </w:rPr>
            </w:pPr>
            <w:r>
              <w:rPr>
                <w:rFonts w:hint="eastAsia" w:ascii="仿宋_GB2312" w:eastAsia="仿宋_GB2312" w:cs="仿宋"/>
                <w:spacing w:val="-6"/>
              </w:rPr>
              <w:t>比赛操作时间</w:t>
            </w:r>
          </w:p>
        </w:tc>
        <w:tc>
          <w:tcPr>
            <w:tcW w:w="4386" w:type="dxa"/>
          </w:tcPr>
          <w:p w14:paraId="6021D8EB">
            <w:pPr>
              <w:pStyle w:val="20"/>
              <w:spacing w:before="165" w:line="221" w:lineRule="auto"/>
              <w:ind w:left="315"/>
              <w:rPr>
                <w:rFonts w:hint="eastAsia" w:ascii="仿宋_GB2312" w:eastAsia="仿宋_GB2312" w:cs="仿宋"/>
              </w:rPr>
            </w:pPr>
            <w:r>
              <w:rPr>
                <w:rFonts w:hint="eastAsia" w:ascii="仿宋_GB2312" w:eastAsia="仿宋_GB2312" w:cs="仿宋"/>
                <w:spacing w:val="-5"/>
                <w:lang w:eastAsia="zh-CN"/>
              </w:rPr>
              <w:t>3</w:t>
            </w:r>
            <w:r>
              <w:rPr>
                <w:rFonts w:hint="eastAsia" w:ascii="仿宋_GB2312" w:eastAsia="仿宋_GB2312" w:cs="仿宋"/>
                <w:spacing w:val="-5"/>
              </w:rPr>
              <w:t>0 分钟</w:t>
            </w:r>
          </w:p>
        </w:tc>
      </w:tr>
    </w:tbl>
    <w:p w14:paraId="3FED2DD4">
      <w:pPr>
        <w:rPr>
          <w:rFonts w:hint="eastAsia" w:ascii="仿宋_GB2312" w:eastAsia="仿宋_GB2312"/>
          <w:sz w:val="24"/>
        </w:rPr>
      </w:pPr>
    </w:p>
    <w:p w14:paraId="0903F8D5">
      <w:pPr>
        <w:rPr>
          <w:rFonts w:hint="eastAsia" w:ascii="仿宋_GB2312" w:eastAsia="仿宋_GB2312"/>
          <w:sz w:val="24"/>
        </w:rPr>
      </w:pPr>
    </w:p>
    <w:tbl>
      <w:tblPr>
        <w:tblStyle w:val="9"/>
        <w:tblW w:w="850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804"/>
        <w:gridCol w:w="993"/>
      </w:tblGrid>
      <w:tr w14:paraId="24E7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06" w:type="dxa"/>
            <w:gridSpan w:val="3"/>
            <w:vAlign w:val="center"/>
          </w:tcPr>
          <w:p w14:paraId="786DBC8C">
            <w:pPr>
              <w:pStyle w:val="4"/>
              <w:spacing w:before="0" w:after="0"/>
              <w:jc w:val="center"/>
              <w:rPr>
                <w:rFonts w:ascii="仿宋_GB2312" w:eastAsia="仿宋_GB2312"/>
                <w:sz w:val="24"/>
                <w:lang w:eastAsia="zh-CN"/>
              </w:rPr>
            </w:pPr>
            <w:r>
              <w:rPr>
                <w:rFonts w:hint="eastAsia" w:ascii="仿宋_GB2312" w:eastAsia="仿宋_GB2312"/>
                <w:sz w:val="24"/>
                <w:lang w:eastAsia="zh-CN"/>
              </w:rPr>
              <w:t>任务1 各项操作内容及分数分布（满分100，占总分50%）</w:t>
            </w:r>
          </w:p>
        </w:tc>
      </w:tr>
      <w:tr w14:paraId="3BA5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13" w:type="dxa"/>
            <w:gridSpan w:val="2"/>
            <w:vAlign w:val="center"/>
          </w:tcPr>
          <w:p w14:paraId="55453DAA">
            <w:pPr>
              <w:pStyle w:val="3"/>
              <w:jc w:val="center"/>
              <w:rPr>
                <w:rFonts w:ascii="仿宋_GB2312" w:eastAsia="仿宋_GB2312"/>
                <w:b w:val="0"/>
                <w:i w:val="0"/>
                <w:szCs w:val="24"/>
                <w:lang w:eastAsia="zh-CN"/>
              </w:rPr>
            </w:pPr>
            <w:r>
              <w:rPr>
                <w:rFonts w:hint="eastAsia" w:ascii="仿宋_GB2312" w:hAnsi="宋体" w:eastAsia="仿宋_GB2312"/>
                <w:b w:val="0"/>
                <w:i w:val="0"/>
                <w:szCs w:val="24"/>
                <w:lang w:eastAsia="zh-CN"/>
              </w:rPr>
              <w:t>工作内容</w:t>
            </w:r>
          </w:p>
        </w:tc>
        <w:tc>
          <w:tcPr>
            <w:tcW w:w="993" w:type="dxa"/>
            <w:vAlign w:val="center"/>
          </w:tcPr>
          <w:p w14:paraId="5C5B7507">
            <w:pPr>
              <w:jc w:val="center"/>
              <w:rPr>
                <w:rFonts w:hint="eastAsia" w:ascii="仿宋_GB2312" w:eastAsia="仿宋_GB2312"/>
                <w:b/>
                <w:sz w:val="24"/>
              </w:rPr>
            </w:pPr>
            <w:r>
              <w:rPr>
                <w:rFonts w:hint="eastAsia" w:ascii="仿宋_GB2312" w:hAnsi="宋体" w:eastAsia="仿宋_GB2312"/>
                <w:b/>
                <w:sz w:val="24"/>
              </w:rPr>
              <w:t>最高分</w:t>
            </w:r>
          </w:p>
        </w:tc>
      </w:tr>
      <w:tr w14:paraId="0634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56058F0B">
            <w:pPr>
              <w:jc w:val="center"/>
              <w:rPr>
                <w:rFonts w:hint="eastAsia" w:ascii="仿宋_GB2312" w:eastAsia="仿宋_GB2312"/>
                <w:sz w:val="22"/>
              </w:rPr>
            </w:pPr>
            <w:r>
              <w:rPr>
                <w:rFonts w:hint="eastAsia" w:ascii="仿宋_GB2312" w:eastAsia="仿宋_GB2312"/>
                <w:sz w:val="22"/>
              </w:rPr>
              <w:t>1</w:t>
            </w:r>
          </w:p>
        </w:tc>
        <w:tc>
          <w:tcPr>
            <w:tcW w:w="6804" w:type="dxa"/>
            <w:vAlign w:val="center"/>
          </w:tcPr>
          <w:p w14:paraId="2E4D8E1C">
            <w:pPr>
              <w:ind w:left="105" w:leftChars="50" w:right="105" w:rightChars="50"/>
              <w:rPr>
                <w:rFonts w:ascii="仿宋_GB2312" w:hAnsi="Times New Roman" w:eastAsia="仿宋_GB2312"/>
                <w:sz w:val="24"/>
              </w:rPr>
            </w:pPr>
            <w:r>
              <w:rPr>
                <w:rFonts w:hint="eastAsia" w:ascii="仿宋_GB2312" w:hAnsi="Times New Roman" w:eastAsia="仿宋_GB2312"/>
                <w:sz w:val="24"/>
              </w:rPr>
              <w:t>检查工位内防护用品，工具和仪表，场地隔离，技术平台复位、职业健康和素养。</w:t>
            </w:r>
          </w:p>
        </w:tc>
        <w:tc>
          <w:tcPr>
            <w:tcW w:w="993" w:type="dxa"/>
            <w:vAlign w:val="center"/>
          </w:tcPr>
          <w:p w14:paraId="70519E56">
            <w:pPr>
              <w:ind w:left="-108" w:right="-108"/>
              <w:jc w:val="center"/>
              <w:rPr>
                <w:rFonts w:hint="eastAsia" w:ascii="仿宋_GB2312" w:eastAsia="仿宋_GB2312"/>
                <w:sz w:val="24"/>
              </w:rPr>
            </w:pPr>
            <w:r>
              <w:rPr>
                <w:rFonts w:hint="eastAsia" w:ascii="仿宋_GB2312" w:eastAsia="仿宋_GB2312"/>
                <w:sz w:val="24"/>
              </w:rPr>
              <w:t>20分</w:t>
            </w:r>
          </w:p>
        </w:tc>
      </w:tr>
      <w:tr w14:paraId="54AC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1E4BB3AA">
            <w:pPr>
              <w:jc w:val="center"/>
              <w:rPr>
                <w:rFonts w:hint="eastAsia" w:ascii="仿宋_GB2312" w:eastAsia="仿宋_GB2312"/>
                <w:sz w:val="22"/>
              </w:rPr>
            </w:pPr>
            <w:r>
              <w:rPr>
                <w:rFonts w:hint="eastAsia" w:ascii="仿宋_GB2312" w:eastAsia="仿宋_GB2312"/>
                <w:sz w:val="22"/>
              </w:rPr>
              <w:t>2</w:t>
            </w:r>
          </w:p>
        </w:tc>
        <w:tc>
          <w:tcPr>
            <w:tcW w:w="6804" w:type="dxa"/>
            <w:vAlign w:val="center"/>
          </w:tcPr>
          <w:p w14:paraId="59384398">
            <w:pPr>
              <w:ind w:left="105" w:leftChars="50" w:right="105" w:rightChars="50"/>
              <w:rPr>
                <w:rFonts w:ascii="仿宋_GB2312" w:hAnsi="Times New Roman" w:eastAsia="仿宋_GB2312"/>
                <w:sz w:val="24"/>
              </w:rPr>
            </w:pPr>
            <w:r>
              <w:rPr>
                <w:rFonts w:hint="eastAsia" w:ascii="仿宋_GB2312" w:hAnsi="Times New Roman" w:eastAsia="仿宋_GB2312"/>
                <w:sz w:val="24"/>
              </w:rPr>
              <w:t>记录电池包铭牌信息，应用工位提供的上位机软件，进行电池包充电和放电功能操作。</w:t>
            </w:r>
          </w:p>
        </w:tc>
        <w:tc>
          <w:tcPr>
            <w:tcW w:w="993" w:type="dxa"/>
            <w:vAlign w:val="center"/>
          </w:tcPr>
          <w:p w14:paraId="5E85F8F5">
            <w:pPr>
              <w:ind w:left="-108" w:right="-108"/>
              <w:jc w:val="center"/>
              <w:rPr>
                <w:rFonts w:hint="eastAsia" w:ascii="仿宋_GB2312" w:eastAsia="仿宋_GB2312"/>
                <w:sz w:val="24"/>
              </w:rPr>
            </w:pPr>
            <w:r>
              <w:rPr>
                <w:rFonts w:hint="eastAsia" w:ascii="仿宋_GB2312" w:eastAsia="仿宋_GB2312"/>
                <w:sz w:val="24"/>
              </w:rPr>
              <w:t>6分</w:t>
            </w:r>
          </w:p>
        </w:tc>
      </w:tr>
      <w:tr w14:paraId="0F8A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7EA55A56">
            <w:pPr>
              <w:jc w:val="center"/>
              <w:rPr>
                <w:rFonts w:hint="eastAsia" w:ascii="仿宋_GB2312" w:eastAsia="仿宋_GB2312"/>
                <w:sz w:val="22"/>
              </w:rPr>
            </w:pPr>
            <w:r>
              <w:rPr>
                <w:rFonts w:hint="eastAsia" w:ascii="仿宋_GB2312" w:hAnsi="等线" w:eastAsia="仿宋_GB2312"/>
                <w:sz w:val="22"/>
              </w:rPr>
              <w:t>3</w:t>
            </w:r>
          </w:p>
        </w:tc>
        <w:tc>
          <w:tcPr>
            <w:tcW w:w="6804" w:type="dxa"/>
            <w:vAlign w:val="center"/>
          </w:tcPr>
          <w:p w14:paraId="28878E54">
            <w:pPr>
              <w:ind w:left="105" w:leftChars="50" w:right="105" w:rightChars="50"/>
              <w:rPr>
                <w:rFonts w:ascii="仿宋_GB2312" w:hAnsi="Times New Roman" w:eastAsia="仿宋_GB2312"/>
                <w:sz w:val="24"/>
              </w:rPr>
            </w:pPr>
            <w:r>
              <w:rPr>
                <w:rFonts w:hint="eastAsia" w:ascii="仿宋_GB2312" w:hAnsi="Times New Roman" w:eastAsia="仿宋_GB2312"/>
                <w:sz w:val="24"/>
              </w:rPr>
              <w:t>应用工位提供的工具设备和电气原理图，检测电池包内部组件、电池模组、连接线束等，找到故障部件或故障点，进行更换或维修。</w:t>
            </w:r>
          </w:p>
        </w:tc>
        <w:tc>
          <w:tcPr>
            <w:tcW w:w="993" w:type="dxa"/>
            <w:vAlign w:val="center"/>
          </w:tcPr>
          <w:p w14:paraId="736BF45E">
            <w:pPr>
              <w:ind w:left="-108" w:right="-108"/>
              <w:jc w:val="center"/>
              <w:rPr>
                <w:rFonts w:hint="eastAsia" w:ascii="仿宋_GB2312" w:eastAsia="仿宋_GB2312"/>
                <w:sz w:val="24"/>
              </w:rPr>
            </w:pPr>
            <w:r>
              <w:rPr>
                <w:rFonts w:hint="eastAsia" w:ascii="仿宋_GB2312" w:eastAsia="仿宋_GB2312"/>
                <w:sz w:val="24"/>
              </w:rPr>
              <w:t>6</w:t>
            </w:r>
            <w:r>
              <w:rPr>
                <w:rFonts w:ascii="仿宋_GB2312" w:eastAsia="仿宋_GB2312"/>
                <w:sz w:val="24"/>
              </w:rPr>
              <w:t>0</w:t>
            </w:r>
            <w:r>
              <w:rPr>
                <w:rFonts w:hint="eastAsia" w:ascii="仿宋_GB2312" w:eastAsia="仿宋_GB2312"/>
                <w:sz w:val="24"/>
              </w:rPr>
              <w:t>分</w:t>
            </w:r>
          </w:p>
        </w:tc>
      </w:tr>
      <w:tr w14:paraId="209C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593873B6">
            <w:pPr>
              <w:jc w:val="center"/>
              <w:rPr>
                <w:rFonts w:hint="eastAsia" w:ascii="仿宋_GB2312" w:hAnsi="等线" w:eastAsia="仿宋_GB2312"/>
                <w:sz w:val="22"/>
              </w:rPr>
            </w:pPr>
            <w:r>
              <w:rPr>
                <w:rFonts w:hint="eastAsia" w:ascii="仿宋_GB2312" w:hAnsi="等线" w:eastAsia="仿宋_GB2312"/>
                <w:sz w:val="22"/>
              </w:rPr>
              <w:t>4</w:t>
            </w:r>
          </w:p>
        </w:tc>
        <w:tc>
          <w:tcPr>
            <w:tcW w:w="6804" w:type="dxa"/>
            <w:vAlign w:val="center"/>
          </w:tcPr>
          <w:p w14:paraId="65BC0274">
            <w:pPr>
              <w:ind w:left="105" w:leftChars="50" w:right="105" w:rightChars="50"/>
              <w:rPr>
                <w:rFonts w:ascii="仿宋_GB2312" w:hAnsi="Times New Roman" w:eastAsia="仿宋_GB2312"/>
                <w:sz w:val="24"/>
              </w:rPr>
            </w:pPr>
            <w:r>
              <w:rPr>
                <w:rFonts w:hint="eastAsia" w:ascii="仿宋_GB2312" w:hAnsi="Times New Roman" w:eastAsia="仿宋_GB2312"/>
                <w:sz w:val="24"/>
              </w:rPr>
              <w:t>应用工位提供的专用工具，检测动力电池包绝缘性。</w:t>
            </w:r>
          </w:p>
        </w:tc>
        <w:tc>
          <w:tcPr>
            <w:tcW w:w="993" w:type="dxa"/>
            <w:vAlign w:val="center"/>
          </w:tcPr>
          <w:p w14:paraId="78B70736">
            <w:pPr>
              <w:ind w:left="-108" w:right="-108"/>
              <w:jc w:val="center"/>
              <w:rPr>
                <w:rFonts w:hint="eastAsia" w:ascii="仿宋_GB2312" w:eastAsia="仿宋_GB2312"/>
                <w:sz w:val="24"/>
              </w:rPr>
            </w:pPr>
            <w:r>
              <w:rPr>
                <w:rFonts w:hint="eastAsia" w:ascii="仿宋_GB2312" w:eastAsia="仿宋_GB2312"/>
                <w:sz w:val="24"/>
              </w:rPr>
              <w:t>10分</w:t>
            </w:r>
          </w:p>
        </w:tc>
      </w:tr>
      <w:tr w14:paraId="3383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09" w:type="dxa"/>
            <w:vAlign w:val="center"/>
          </w:tcPr>
          <w:p w14:paraId="4259839D">
            <w:pPr>
              <w:jc w:val="center"/>
              <w:rPr>
                <w:rFonts w:hint="eastAsia" w:ascii="仿宋_GB2312" w:eastAsia="仿宋_GB2312"/>
                <w:sz w:val="22"/>
              </w:rPr>
            </w:pPr>
            <w:r>
              <w:rPr>
                <w:rFonts w:hint="eastAsia" w:ascii="仿宋_GB2312" w:hAnsi="等线" w:eastAsia="仿宋_GB2312"/>
                <w:sz w:val="22"/>
              </w:rPr>
              <w:t>5</w:t>
            </w:r>
          </w:p>
        </w:tc>
        <w:tc>
          <w:tcPr>
            <w:tcW w:w="6804" w:type="dxa"/>
            <w:vAlign w:val="center"/>
          </w:tcPr>
          <w:p w14:paraId="7F1B013D">
            <w:pPr>
              <w:ind w:left="105" w:leftChars="50" w:right="105" w:rightChars="50"/>
              <w:rPr>
                <w:rFonts w:ascii="仿宋_GB2312" w:hAnsi="Times New Roman" w:eastAsia="仿宋_GB2312"/>
                <w:sz w:val="24"/>
              </w:rPr>
            </w:pPr>
            <w:r>
              <w:rPr>
                <w:rFonts w:hint="eastAsia" w:ascii="仿宋_GB2312" w:hAnsi="Times New Roman" w:eastAsia="仿宋_GB2312"/>
                <w:sz w:val="24"/>
              </w:rPr>
              <w:t>应用工位提供的上位机软件，验证动力电池包的放电功能和充电功能。</w:t>
            </w:r>
          </w:p>
        </w:tc>
        <w:tc>
          <w:tcPr>
            <w:tcW w:w="993" w:type="dxa"/>
            <w:vAlign w:val="center"/>
          </w:tcPr>
          <w:p w14:paraId="4A0B6DE1">
            <w:pPr>
              <w:ind w:left="-108" w:right="-108"/>
              <w:jc w:val="center"/>
              <w:rPr>
                <w:rFonts w:hint="eastAsia" w:ascii="仿宋_GB2312" w:eastAsia="仿宋_GB2312"/>
                <w:sz w:val="24"/>
              </w:rPr>
            </w:pPr>
            <w:r>
              <w:rPr>
                <w:rFonts w:hint="eastAsia" w:ascii="仿宋_GB2312" w:eastAsia="仿宋_GB2312"/>
                <w:sz w:val="24"/>
              </w:rPr>
              <w:t>4分</w:t>
            </w:r>
          </w:p>
        </w:tc>
      </w:tr>
    </w:tbl>
    <w:p w14:paraId="4D411C31">
      <w:pPr>
        <w:rPr>
          <w:rFonts w:hint="eastAsia" w:ascii="仿宋_GB2312" w:eastAsia="仿宋_GB2312"/>
          <w:sz w:val="24"/>
        </w:rPr>
      </w:pPr>
      <w:r>
        <w:rPr>
          <w:rFonts w:hint="eastAsia" w:ascii="仿宋_GB2312" w:eastAsia="仿宋_GB2312"/>
          <w:sz w:val="24"/>
        </w:rPr>
        <w:br w:type="page"/>
      </w:r>
    </w:p>
    <w:tbl>
      <w:tblPr>
        <w:tblStyle w:val="9"/>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65FD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64" w:type="dxa"/>
            <w:vAlign w:val="center"/>
          </w:tcPr>
          <w:p w14:paraId="0ED6EAE4">
            <w:pPr>
              <w:pStyle w:val="3"/>
              <w:spacing w:before="0" w:after="0"/>
              <w:jc w:val="center"/>
              <w:rPr>
                <w:rFonts w:ascii="仿宋_GB2312" w:eastAsia="仿宋_GB2312"/>
                <w:i w:val="0"/>
                <w:sz w:val="32"/>
                <w:szCs w:val="32"/>
              </w:rPr>
            </w:pPr>
            <w:r>
              <w:rPr>
                <w:rFonts w:hint="eastAsia" w:ascii="仿宋_GB2312" w:eastAsia="仿宋_GB2312"/>
                <w:b w:val="0"/>
                <w:i w:val="0"/>
                <w:sz w:val="32"/>
                <w:szCs w:val="32"/>
                <w:lang w:eastAsia="zh-CN"/>
              </w:rPr>
              <w:t>检测报告单</w:t>
            </w:r>
          </w:p>
        </w:tc>
      </w:tr>
    </w:tbl>
    <w:p w14:paraId="4C769D2F">
      <w:pPr>
        <w:pStyle w:val="21"/>
        <w:numPr>
          <w:ilvl w:val="0"/>
          <w:numId w:val="1"/>
        </w:numPr>
        <w:spacing w:before="468" w:beforeLines="150"/>
        <w:ind w:firstLineChars="0"/>
        <w:rPr>
          <w:rFonts w:hint="eastAsia" w:ascii="仿宋_GB2312" w:hAnsi="宋体" w:eastAsia="仿宋_GB2312"/>
          <w:b/>
          <w:color w:val="000000" w:themeColor="text1"/>
          <w:sz w:val="24"/>
          <w:lang w:eastAsia="zh-CN"/>
          <w14:textFill>
            <w14:solidFill>
              <w14:schemeClr w14:val="tx1"/>
            </w14:solidFill>
          </w14:textFill>
        </w:rPr>
      </w:pPr>
      <w:r>
        <w:rPr>
          <w:rFonts w:hint="eastAsia" w:ascii="仿宋_GB2312" w:hAnsi="宋体" w:eastAsia="仿宋_GB2312"/>
          <w:b/>
          <w:color w:val="000000" w:themeColor="text1"/>
          <w:sz w:val="24"/>
          <w:lang w:eastAsia="zh-CN"/>
          <w14:textFill>
            <w14:solidFill>
              <w14:schemeClr w14:val="tx1"/>
            </w14:solidFill>
          </w14:textFill>
        </w:rPr>
        <w:t xml:space="preserve">电池包铭牌数据记录  </w:t>
      </w:r>
    </w:p>
    <w:tbl>
      <w:tblPr>
        <w:tblStyle w:val="10"/>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9"/>
        <w:gridCol w:w="2258"/>
        <w:gridCol w:w="2259"/>
        <w:gridCol w:w="1884"/>
      </w:tblGrid>
      <w:tr w14:paraId="7561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979" w:type="dxa"/>
            <w:vAlign w:val="center"/>
          </w:tcPr>
          <w:p w14:paraId="7D78E166">
            <w:pPr>
              <w:jc w:val="center"/>
              <w:rPr>
                <w:rFonts w:hint="eastAsia" w:ascii="仿宋_GB2312" w:hAnsi="等线" w:eastAsia="仿宋_GB2312" w:cs="Times New Roman"/>
                <w:b/>
                <w:color w:val="000000" w:themeColor="text1"/>
                <w:sz w:val="24"/>
                <w14:textFill>
                  <w14:solidFill>
                    <w14:schemeClr w14:val="tx1"/>
                  </w14:solidFill>
                </w14:textFill>
              </w:rPr>
            </w:pPr>
            <w:r>
              <w:rPr>
                <w:rFonts w:hint="eastAsia" w:ascii="仿宋_GB2312" w:hAnsi="宋体" w:eastAsia="仿宋_GB2312" w:cs="Times New Roman"/>
                <w:b/>
                <w:color w:val="000000" w:themeColor="text1"/>
                <w:sz w:val="24"/>
                <w14:textFill>
                  <w14:solidFill>
                    <w14:schemeClr w14:val="tx1"/>
                  </w14:solidFill>
                </w14:textFill>
              </w:rPr>
              <w:t>名称</w:t>
            </w:r>
          </w:p>
        </w:tc>
        <w:tc>
          <w:tcPr>
            <w:tcW w:w="2258" w:type="dxa"/>
            <w:vAlign w:val="center"/>
          </w:tcPr>
          <w:p w14:paraId="216BF147">
            <w:pPr>
              <w:jc w:val="center"/>
              <w:rPr>
                <w:rFonts w:hint="eastAsia" w:ascii="仿宋_GB2312" w:hAnsi="等线" w:eastAsia="仿宋_GB2312" w:cs="Times New Roman"/>
                <w:b/>
                <w:color w:val="000000" w:themeColor="text1"/>
                <w:sz w:val="24"/>
                <w14:textFill>
                  <w14:solidFill>
                    <w14:schemeClr w14:val="tx1"/>
                  </w14:solidFill>
                </w14:textFill>
              </w:rPr>
            </w:pPr>
            <w:r>
              <w:rPr>
                <w:rFonts w:hint="eastAsia" w:ascii="仿宋_GB2312" w:hAnsi="宋体" w:eastAsia="仿宋_GB2312" w:cs="Times New Roman"/>
                <w:b/>
                <w:color w:val="000000" w:themeColor="text1"/>
                <w:sz w:val="24"/>
                <w14:textFill>
                  <w14:solidFill>
                    <w14:schemeClr w14:val="tx1"/>
                  </w14:solidFill>
                </w14:textFill>
              </w:rPr>
              <w:t>数据信息</w:t>
            </w:r>
          </w:p>
        </w:tc>
        <w:tc>
          <w:tcPr>
            <w:tcW w:w="2259" w:type="dxa"/>
            <w:vAlign w:val="center"/>
          </w:tcPr>
          <w:p w14:paraId="451407EF">
            <w:pPr>
              <w:jc w:val="center"/>
              <w:rPr>
                <w:rFonts w:hint="eastAsia" w:ascii="仿宋_GB2312" w:hAnsi="等线" w:eastAsia="仿宋_GB2312" w:cs="Times New Roman"/>
                <w:b/>
                <w:color w:val="000000" w:themeColor="text1"/>
                <w:sz w:val="24"/>
                <w14:textFill>
                  <w14:solidFill>
                    <w14:schemeClr w14:val="tx1"/>
                  </w14:solidFill>
                </w14:textFill>
              </w:rPr>
            </w:pPr>
            <w:r>
              <w:rPr>
                <w:rFonts w:hint="eastAsia" w:ascii="仿宋_GB2312" w:hAnsi="宋体" w:eastAsia="仿宋_GB2312" w:cs="Times New Roman"/>
                <w:b/>
                <w:color w:val="000000" w:themeColor="text1"/>
                <w:sz w:val="24"/>
                <w14:textFill>
                  <w14:solidFill>
                    <w14:schemeClr w14:val="tx1"/>
                  </w14:solidFill>
                </w14:textFill>
              </w:rPr>
              <w:t>名称</w:t>
            </w:r>
          </w:p>
        </w:tc>
        <w:tc>
          <w:tcPr>
            <w:tcW w:w="1884" w:type="dxa"/>
            <w:vAlign w:val="center"/>
          </w:tcPr>
          <w:p w14:paraId="2C813F2E">
            <w:pPr>
              <w:jc w:val="center"/>
              <w:rPr>
                <w:rFonts w:hint="eastAsia" w:ascii="仿宋_GB2312" w:hAnsi="等线" w:eastAsia="仿宋_GB2312" w:cs="Times New Roman"/>
                <w:b/>
                <w:color w:val="000000" w:themeColor="text1"/>
                <w:sz w:val="24"/>
                <w14:textFill>
                  <w14:solidFill>
                    <w14:schemeClr w14:val="tx1"/>
                  </w14:solidFill>
                </w14:textFill>
              </w:rPr>
            </w:pPr>
            <w:r>
              <w:rPr>
                <w:rFonts w:hint="eastAsia" w:ascii="仿宋_GB2312" w:hAnsi="宋体" w:eastAsia="仿宋_GB2312" w:cs="Times New Roman"/>
                <w:b/>
                <w:color w:val="000000" w:themeColor="text1"/>
                <w:sz w:val="24"/>
                <w14:textFill>
                  <w14:solidFill>
                    <w14:schemeClr w14:val="tx1"/>
                  </w14:solidFill>
                </w14:textFill>
              </w:rPr>
              <w:t>数据信息</w:t>
            </w:r>
          </w:p>
        </w:tc>
      </w:tr>
      <w:tr w14:paraId="68AE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979" w:type="dxa"/>
            <w:vAlign w:val="center"/>
          </w:tcPr>
          <w:p w14:paraId="3CAAB977">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产品型号</w:t>
            </w:r>
          </w:p>
        </w:tc>
        <w:tc>
          <w:tcPr>
            <w:tcW w:w="2258" w:type="dxa"/>
            <w:vAlign w:val="center"/>
          </w:tcPr>
          <w:p w14:paraId="7C99E1AB">
            <w:pPr>
              <w:jc w:val="center"/>
              <w:rPr>
                <w:rFonts w:hint="eastAsia" w:ascii="仿宋_GB2312" w:hAnsi="等线" w:eastAsia="仿宋_GB2312" w:cs="Times New Roman"/>
                <w:bCs/>
                <w:color w:val="000000" w:themeColor="text1"/>
                <w:sz w:val="24"/>
                <w14:textFill>
                  <w14:solidFill>
                    <w14:schemeClr w14:val="tx1"/>
                  </w14:solidFill>
                </w14:textFill>
              </w:rPr>
            </w:pPr>
          </w:p>
        </w:tc>
        <w:tc>
          <w:tcPr>
            <w:tcW w:w="2259" w:type="dxa"/>
            <w:vAlign w:val="center"/>
          </w:tcPr>
          <w:p w14:paraId="36735C5A">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额定电压</w:t>
            </w:r>
          </w:p>
        </w:tc>
        <w:tc>
          <w:tcPr>
            <w:tcW w:w="1884" w:type="dxa"/>
            <w:vAlign w:val="center"/>
          </w:tcPr>
          <w:p w14:paraId="02AAACA9">
            <w:pPr>
              <w:jc w:val="center"/>
              <w:rPr>
                <w:rFonts w:hint="eastAsia" w:ascii="仿宋_GB2312" w:hAnsi="等线" w:eastAsia="仿宋_GB2312" w:cs="Times New Roman"/>
                <w:bCs/>
                <w:color w:val="000000" w:themeColor="text1"/>
                <w:sz w:val="24"/>
                <w14:textFill>
                  <w14:solidFill>
                    <w14:schemeClr w14:val="tx1"/>
                  </w14:solidFill>
                </w14:textFill>
              </w:rPr>
            </w:pPr>
          </w:p>
        </w:tc>
      </w:tr>
      <w:tr w14:paraId="7A95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979" w:type="dxa"/>
            <w:vAlign w:val="center"/>
          </w:tcPr>
          <w:p w14:paraId="086CA75F">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额定容量</w:t>
            </w:r>
          </w:p>
        </w:tc>
        <w:tc>
          <w:tcPr>
            <w:tcW w:w="2258" w:type="dxa"/>
            <w:vAlign w:val="center"/>
          </w:tcPr>
          <w:p w14:paraId="4B5DAC12">
            <w:pPr>
              <w:jc w:val="center"/>
              <w:rPr>
                <w:rFonts w:hint="eastAsia" w:ascii="仿宋_GB2312" w:hAnsi="等线" w:eastAsia="仿宋_GB2312" w:cs="Times New Roman"/>
                <w:bCs/>
                <w:color w:val="000000" w:themeColor="text1"/>
                <w:sz w:val="24"/>
                <w14:textFill>
                  <w14:solidFill>
                    <w14:schemeClr w14:val="tx1"/>
                  </w14:solidFill>
                </w14:textFill>
              </w:rPr>
            </w:pPr>
          </w:p>
        </w:tc>
        <w:tc>
          <w:tcPr>
            <w:tcW w:w="2259" w:type="dxa"/>
            <w:vAlign w:val="center"/>
          </w:tcPr>
          <w:p w14:paraId="639F1018">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额定能量</w:t>
            </w:r>
          </w:p>
        </w:tc>
        <w:tc>
          <w:tcPr>
            <w:tcW w:w="1884" w:type="dxa"/>
            <w:vAlign w:val="center"/>
          </w:tcPr>
          <w:p w14:paraId="68395596">
            <w:pPr>
              <w:jc w:val="center"/>
              <w:rPr>
                <w:rFonts w:hint="eastAsia" w:ascii="仿宋_GB2312" w:hAnsi="等线" w:eastAsia="仿宋_GB2312" w:cs="Times New Roman"/>
                <w:bCs/>
                <w:color w:val="000000" w:themeColor="text1"/>
                <w:sz w:val="24"/>
                <w14:textFill>
                  <w14:solidFill>
                    <w14:schemeClr w14:val="tx1"/>
                  </w14:solidFill>
                </w14:textFill>
              </w:rPr>
            </w:pPr>
          </w:p>
        </w:tc>
      </w:tr>
      <w:tr w14:paraId="55D3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979" w:type="dxa"/>
            <w:vAlign w:val="center"/>
          </w:tcPr>
          <w:p w14:paraId="4E7B7261">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执行标准号</w:t>
            </w:r>
          </w:p>
        </w:tc>
        <w:tc>
          <w:tcPr>
            <w:tcW w:w="6401" w:type="dxa"/>
            <w:gridSpan w:val="3"/>
            <w:vAlign w:val="center"/>
          </w:tcPr>
          <w:p w14:paraId="70DFD3F8">
            <w:pPr>
              <w:rPr>
                <w:rFonts w:hint="eastAsia" w:ascii="仿宋_GB2312" w:hAnsi="等线" w:eastAsia="仿宋_GB2312" w:cs="Times New Roman"/>
                <w:bCs/>
                <w:color w:val="000000" w:themeColor="text1"/>
                <w:sz w:val="24"/>
                <w14:textFill>
                  <w14:solidFill>
                    <w14:schemeClr w14:val="tx1"/>
                  </w14:solidFill>
                </w14:textFill>
              </w:rPr>
            </w:pPr>
          </w:p>
        </w:tc>
      </w:tr>
      <w:tr w14:paraId="09B2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380" w:type="dxa"/>
            <w:gridSpan w:val="4"/>
            <w:vAlign w:val="center"/>
          </w:tcPr>
          <w:p w14:paraId="372E63AB">
            <w:pP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color w:val="000000" w:themeColor="text1"/>
                <w:sz w:val="24"/>
                <w14:textFill>
                  <w14:solidFill>
                    <w14:schemeClr w14:val="tx1"/>
                  </w14:solidFill>
                </w14:textFill>
              </w:rPr>
              <w:t>※根据电池包铭牌信息进行记录。</w:t>
            </w:r>
          </w:p>
        </w:tc>
      </w:tr>
    </w:tbl>
    <w:p w14:paraId="1D6801C2">
      <w:pPr>
        <w:pStyle w:val="21"/>
        <w:numPr>
          <w:ilvl w:val="0"/>
          <w:numId w:val="1"/>
        </w:numPr>
        <w:spacing w:before="468" w:beforeLines="150"/>
        <w:ind w:firstLineChars="0"/>
        <w:rPr>
          <w:rFonts w:hint="eastAsia"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电池包故障排除记录</w:t>
      </w:r>
    </w:p>
    <w:p w14:paraId="1E32C15F">
      <w:pPr>
        <w:pStyle w:val="21"/>
        <w:spacing w:before="468" w:beforeLines="150"/>
        <w:ind w:left="360" w:firstLine="0" w:firstLineChars="0"/>
        <w:rPr>
          <w:rFonts w:hint="eastAsia" w:ascii="仿宋_GB2312" w:hAnsi="宋体" w:eastAsia="仿宋_GB2312"/>
          <w:b/>
          <w:sz w:val="24"/>
        </w:rPr>
      </w:pPr>
      <w:r>
        <w:rPr>
          <w:rFonts w:hint="eastAsia" w:ascii="仿宋_GB2312" w:hAnsi="宋体" w:eastAsia="仿宋_GB2312"/>
          <w:b/>
          <w:sz w:val="24"/>
          <w:lang w:eastAsia="zh-CN"/>
        </w:rPr>
        <w:t>故障点1：</w:t>
      </w:r>
    </w:p>
    <w:tbl>
      <w:tblPr>
        <w:tblStyle w:val="9"/>
        <w:tblW w:w="8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4181"/>
        <w:gridCol w:w="1275"/>
        <w:gridCol w:w="1276"/>
      </w:tblGrid>
      <w:tr w14:paraId="7503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696" w:type="dxa"/>
            <w:shd w:val="clear" w:color="auto" w:fill="FFFFFF"/>
            <w:vAlign w:val="center"/>
          </w:tcPr>
          <w:p w14:paraId="3A182C52">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故障现象或异常数据确认</w:t>
            </w:r>
          </w:p>
        </w:tc>
        <w:tc>
          <w:tcPr>
            <w:tcW w:w="6732" w:type="dxa"/>
            <w:gridSpan w:val="3"/>
            <w:shd w:val="clear" w:color="auto" w:fill="FFFFFF"/>
            <w:vAlign w:val="center"/>
          </w:tcPr>
          <w:p w14:paraId="4C690C25">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※记录电池包故障现象或异常数据流等</w:t>
            </w:r>
          </w:p>
        </w:tc>
      </w:tr>
      <w:tr w14:paraId="14C0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96" w:type="dxa"/>
            <w:vMerge w:val="restart"/>
            <w:shd w:val="clear" w:color="auto" w:fill="FFFFFF"/>
            <w:vAlign w:val="center"/>
          </w:tcPr>
          <w:p w14:paraId="2F53B3B7">
            <w:pP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部件/电路测试</w:t>
            </w:r>
          </w:p>
        </w:tc>
        <w:tc>
          <w:tcPr>
            <w:tcW w:w="4181" w:type="dxa"/>
            <w:shd w:val="clear" w:color="auto" w:fill="FFFFFF"/>
            <w:vAlign w:val="center"/>
          </w:tcPr>
          <w:p w14:paraId="39222D1A">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部件/线路范围</w:t>
            </w:r>
          </w:p>
        </w:tc>
        <w:tc>
          <w:tcPr>
            <w:tcW w:w="2551" w:type="dxa"/>
            <w:gridSpan w:val="2"/>
            <w:shd w:val="clear" w:color="auto" w:fill="FFFFFF"/>
            <w:vAlign w:val="center"/>
          </w:tcPr>
          <w:p w14:paraId="6F290C12">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检查或测试后的结果判断</w:t>
            </w:r>
          </w:p>
        </w:tc>
      </w:tr>
      <w:tr w14:paraId="5CEC1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696" w:type="dxa"/>
            <w:vMerge w:val="continue"/>
            <w:shd w:val="clear" w:color="auto" w:fill="FFFFFF"/>
            <w:vAlign w:val="center"/>
          </w:tcPr>
          <w:p w14:paraId="48A81716">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738A8BD8">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2523CA0B">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690AC31D">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0253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96" w:type="dxa"/>
            <w:vMerge w:val="continue"/>
            <w:shd w:val="clear" w:color="auto" w:fill="FFFFFF"/>
            <w:vAlign w:val="center"/>
          </w:tcPr>
          <w:p w14:paraId="67FF44B9">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46FC61A5">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5B3ADB1F">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7BF5087A">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23B61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696" w:type="dxa"/>
            <w:vMerge w:val="continue"/>
            <w:shd w:val="clear" w:color="auto" w:fill="FFFFFF"/>
            <w:vAlign w:val="center"/>
          </w:tcPr>
          <w:p w14:paraId="4D6ACB90">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151032C7">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2978B025">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160A4998">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65E5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96" w:type="dxa"/>
            <w:vMerge w:val="continue"/>
            <w:shd w:val="clear" w:color="auto" w:fill="FFFFFF"/>
            <w:vAlign w:val="center"/>
          </w:tcPr>
          <w:p w14:paraId="1AB72377">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7ED8465F">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4A10A8EA">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7C2D0354">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3B5A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696" w:type="dxa"/>
            <w:vMerge w:val="continue"/>
            <w:shd w:val="clear" w:color="auto" w:fill="FFFFFF"/>
            <w:vAlign w:val="center"/>
          </w:tcPr>
          <w:p w14:paraId="35D36E59">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0B3D2E31">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4521C9D1">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3C4843B9">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4A57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696" w:type="dxa"/>
            <w:vMerge w:val="continue"/>
            <w:shd w:val="clear" w:color="auto" w:fill="FFFFFF"/>
            <w:vAlign w:val="center"/>
          </w:tcPr>
          <w:p w14:paraId="2856311B">
            <w:pPr>
              <w:jc w:val="center"/>
              <w:rPr>
                <w:rFonts w:hint="eastAsia" w:ascii="仿宋_GB2312" w:hAnsi="宋体" w:eastAsia="仿宋_GB2312"/>
                <w:b/>
                <w:bCs/>
                <w:color w:val="000000" w:themeColor="text1"/>
                <w:sz w:val="24"/>
                <w14:textFill>
                  <w14:solidFill>
                    <w14:schemeClr w14:val="tx1"/>
                  </w14:solidFill>
                </w14:textFill>
              </w:rPr>
            </w:pPr>
          </w:p>
        </w:tc>
        <w:tc>
          <w:tcPr>
            <w:tcW w:w="6732" w:type="dxa"/>
            <w:gridSpan w:val="3"/>
            <w:shd w:val="clear" w:color="auto" w:fill="FFFFFF"/>
            <w:vAlign w:val="center"/>
          </w:tcPr>
          <w:p w14:paraId="0DA692BB">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※注明测试条件、插件代码和编号，控制单元针脚代号以及测量结果</w:t>
            </w:r>
          </w:p>
        </w:tc>
      </w:tr>
      <w:tr w14:paraId="39F7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696" w:type="dxa"/>
            <w:shd w:val="clear" w:color="auto" w:fill="FFFFFF"/>
            <w:vAlign w:val="center"/>
          </w:tcPr>
          <w:p w14:paraId="264929CA">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故障点和故障类型确认</w:t>
            </w:r>
          </w:p>
        </w:tc>
        <w:tc>
          <w:tcPr>
            <w:tcW w:w="6732" w:type="dxa"/>
            <w:gridSpan w:val="3"/>
            <w:shd w:val="clear" w:color="auto" w:fill="FFFFFF"/>
          </w:tcPr>
          <w:p w14:paraId="5FD4F276">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※电路图上指出最小故障线路范围或故障部件</w:t>
            </w:r>
          </w:p>
          <w:p w14:paraId="07668F08">
            <w:pPr>
              <w:rPr>
                <w:rFonts w:hint="eastAsia" w:ascii="仿宋_GB2312" w:hAnsi="宋体" w:eastAsia="仿宋_GB2312"/>
                <w:color w:val="000000" w:themeColor="text1"/>
                <w:sz w:val="24"/>
                <w14:textFill>
                  <w14:solidFill>
                    <w14:schemeClr w14:val="tx1"/>
                  </w14:solidFill>
                </w14:textFill>
              </w:rPr>
            </w:pPr>
          </w:p>
          <w:p w14:paraId="0489EA8B">
            <w:pPr>
              <w:rPr>
                <w:rFonts w:hint="eastAsia" w:ascii="仿宋_GB2312" w:hAnsi="宋体" w:eastAsia="仿宋_GB2312"/>
                <w:color w:val="000000" w:themeColor="text1"/>
                <w:sz w:val="24"/>
                <w14:textFill>
                  <w14:solidFill>
                    <w14:schemeClr w14:val="tx1"/>
                  </w14:solidFill>
                </w14:textFill>
              </w:rPr>
            </w:pPr>
          </w:p>
        </w:tc>
      </w:tr>
    </w:tbl>
    <w:p w14:paraId="26BC3058">
      <w:pPr>
        <w:pStyle w:val="21"/>
        <w:spacing w:before="468" w:beforeLines="150"/>
        <w:ind w:left="360" w:firstLine="0" w:firstLineChars="0"/>
        <w:rPr>
          <w:rFonts w:hint="eastAsia" w:ascii="仿宋_GB2312" w:hAnsi="宋体" w:eastAsia="仿宋_GB2312"/>
          <w:b/>
          <w:sz w:val="24"/>
        </w:rPr>
      </w:pPr>
      <w:r>
        <w:rPr>
          <w:rFonts w:hint="eastAsia" w:ascii="仿宋_GB2312" w:hAnsi="宋体" w:eastAsia="仿宋_GB2312"/>
          <w:b/>
          <w:sz w:val="24"/>
          <w:lang w:eastAsia="zh-CN"/>
        </w:rPr>
        <w:t>故障点2：</w:t>
      </w:r>
    </w:p>
    <w:tbl>
      <w:tblPr>
        <w:tblStyle w:val="9"/>
        <w:tblW w:w="8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4181"/>
        <w:gridCol w:w="1275"/>
        <w:gridCol w:w="1276"/>
      </w:tblGrid>
      <w:tr w14:paraId="41B2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696" w:type="dxa"/>
            <w:shd w:val="clear" w:color="auto" w:fill="FFFFFF"/>
            <w:vAlign w:val="center"/>
          </w:tcPr>
          <w:p w14:paraId="1C9768CD">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故障现象或异常数据确认</w:t>
            </w:r>
          </w:p>
        </w:tc>
        <w:tc>
          <w:tcPr>
            <w:tcW w:w="6732" w:type="dxa"/>
            <w:gridSpan w:val="3"/>
            <w:shd w:val="clear" w:color="auto" w:fill="FFFFFF"/>
            <w:vAlign w:val="center"/>
          </w:tcPr>
          <w:p w14:paraId="779C493A">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※记录电池包故障现象或异常数据流等</w:t>
            </w:r>
          </w:p>
        </w:tc>
      </w:tr>
      <w:tr w14:paraId="2953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96" w:type="dxa"/>
            <w:vMerge w:val="restart"/>
            <w:shd w:val="clear" w:color="auto" w:fill="FFFFFF"/>
            <w:vAlign w:val="center"/>
          </w:tcPr>
          <w:p w14:paraId="693E36C3">
            <w:pP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部件/电路测试</w:t>
            </w:r>
          </w:p>
        </w:tc>
        <w:tc>
          <w:tcPr>
            <w:tcW w:w="4181" w:type="dxa"/>
            <w:shd w:val="clear" w:color="auto" w:fill="FFFFFF"/>
            <w:vAlign w:val="center"/>
          </w:tcPr>
          <w:p w14:paraId="12C7D0AD">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部件/线路范围</w:t>
            </w:r>
          </w:p>
        </w:tc>
        <w:tc>
          <w:tcPr>
            <w:tcW w:w="2551" w:type="dxa"/>
            <w:gridSpan w:val="2"/>
            <w:shd w:val="clear" w:color="auto" w:fill="FFFFFF"/>
            <w:vAlign w:val="center"/>
          </w:tcPr>
          <w:p w14:paraId="169D3DAA">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检查或测试后的结果判断</w:t>
            </w:r>
          </w:p>
        </w:tc>
      </w:tr>
      <w:tr w14:paraId="48899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696" w:type="dxa"/>
            <w:vMerge w:val="continue"/>
            <w:shd w:val="clear" w:color="auto" w:fill="FFFFFF"/>
            <w:vAlign w:val="center"/>
          </w:tcPr>
          <w:p w14:paraId="7DCF6594">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1878C951">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6CCFE74A">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7EE8EAEE">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0718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96" w:type="dxa"/>
            <w:vMerge w:val="continue"/>
            <w:shd w:val="clear" w:color="auto" w:fill="FFFFFF"/>
            <w:vAlign w:val="center"/>
          </w:tcPr>
          <w:p w14:paraId="62C35DBF">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7BF05B06">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4EE0F1EF">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26AE484D">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1F61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696" w:type="dxa"/>
            <w:vMerge w:val="continue"/>
            <w:shd w:val="clear" w:color="auto" w:fill="FFFFFF"/>
            <w:vAlign w:val="center"/>
          </w:tcPr>
          <w:p w14:paraId="4E9C9714">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685CAEEF">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46AFEA67">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65C05A9E">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07EE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96" w:type="dxa"/>
            <w:vMerge w:val="continue"/>
            <w:shd w:val="clear" w:color="auto" w:fill="FFFFFF"/>
            <w:vAlign w:val="center"/>
          </w:tcPr>
          <w:p w14:paraId="70002947">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513C7D75">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18A5C44D">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2A688CCD">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3D88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696" w:type="dxa"/>
            <w:vMerge w:val="continue"/>
            <w:shd w:val="clear" w:color="auto" w:fill="FFFFFF"/>
            <w:vAlign w:val="center"/>
          </w:tcPr>
          <w:p w14:paraId="5BC98142">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5C70A4DB">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68714444">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5C54D552">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180D8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696" w:type="dxa"/>
            <w:vMerge w:val="continue"/>
            <w:shd w:val="clear" w:color="auto" w:fill="FFFFFF"/>
            <w:vAlign w:val="center"/>
          </w:tcPr>
          <w:p w14:paraId="395D85C6">
            <w:pPr>
              <w:jc w:val="center"/>
              <w:rPr>
                <w:rFonts w:hint="eastAsia" w:ascii="仿宋_GB2312" w:hAnsi="宋体" w:eastAsia="仿宋_GB2312"/>
                <w:b/>
                <w:bCs/>
                <w:color w:val="000000" w:themeColor="text1"/>
                <w:sz w:val="24"/>
                <w14:textFill>
                  <w14:solidFill>
                    <w14:schemeClr w14:val="tx1"/>
                  </w14:solidFill>
                </w14:textFill>
              </w:rPr>
            </w:pPr>
          </w:p>
        </w:tc>
        <w:tc>
          <w:tcPr>
            <w:tcW w:w="6732" w:type="dxa"/>
            <w:gridSpan w:val="3"/>
            <w:shd w:val="clear" w:color="auto" w:fill="FFFFFF"/>
            <w:vAlign w:val="center"/>
          </w:tcPr>
          <w:p w14:paraId="53E1C9F5">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※注明测试条件、插件代码和编号，控制单元针脚代号以及测量结果</w:t>
            </w:r>
          </w:p>
        </w:tc>
      </w:tr>
      <w:tr w14:paraId="34DDB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696" w:type="dxa"/>
            <w:shd w:val="clear" w:color="auto" w:fill="FFFFFF"/>
            <w:vAlign w:val="center"/>
          </w:tcPr>
          <w:p w14:paraId="5AA7E33F">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故障点和故障类型确认</w:t>
            </w:r>
          </w:p>
        </w:tc>
        <w:tc>
          <w:tcPr>
            <w:tcW w:w="6732" w:type="dxa"/>
            <w:gridSpan w:val="3"/>
            <w:shd w:val="clear" w:color="auto" w:fill="FFFFFF"/>
          </w:tcPr>
          <w:p w14:paraId="75C5C2C6">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※电路图上指出最小故障线路范围或故障部件</w:t>
            </w:r>
          </w:p>
          <w:p w14:paraId="3ECE0C6F">
            <w:pPr>
              <w:rPr>
                <w:rFonts w:hint="eastAsia" w:ascii="仿宋_GB2312" w:hAnsi="宋体" w:eastAsia="仿宋_GB2312"/>
                <w:color w:val="000000" w:themeColor="text1"/>
                <w:sz w:val="24"/>
                <w14:textFill>
                  <w14:solidFill>
                    <w14:schemeClr w14:val="tx1"/>
                  </w14:solidFill>
                </w14:textFill>
              </w:rPr>
            </w:pPr>
          </w:p>
          <w:p w14:paraId="01BFC463">
            <w:pPr>
              <w:rPr>
                <w:rFonts w:hint="eastAsia" w:ascii="仿宋_GB2312" w:hAnsi="宋体" w:eastAsia="仿宋_GB2312"/>
                <w:color w:val="000000" w:themeColor="text1"/>
                <w:sz w:val="24"/>
                <w14:textFill>
                  <w14:solidFill>
                    <w14:schemeClr w14:val="tx1"/>
                  </w14:solidFill>
                </w14:textFill>
              </w:rPr>
            </w:pPr>
          </w:p>
        </w:tc>
      </w:tr>
    </w:tbl>
    <w:p w14:paraId="1A50BF4D">
      <w:pPr>
        <w:pStyle w:val="21"/>
        <w:spacing w:before="468" w:beforeLines="150"/>
        <w:ind w:left="360" w:firstLine="0" w:firstLineChars="0"/>
        <w:rPr>
          <w:rFonts w:hint="eastAsia" w:ascii="仿宋_GB2312" w:hAnsi="宋体" w:eastAsia="仿宋_GB2312"/>
          <w:b/>
          <w:sz w:val="24"/>
        </w:rPr>
      </w:pPr>
      <w:r>
        <w:rPr>
          <w:rFonts w:hint="eastAsia" w:ascii="仿宋_GB2312" w:hAnsi="宋体" w:eastAsia="仿宋_GB2312"/>
          <w:b/>
          <w:sz w:val="24"/>
          <w:lang w:eastAsia="zh-CN"/>
        </w:rPr>
        <w:t>故障点3：</w:t>
      </w:r>
    </w:p>
    <w:tbl>
      <w:tblPr>
        <w:tblStyle w:val="9"/>
        <w:tblW w:w="8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4181"/>
        <w:gridCol w:w="1275"/>
        <w:gridCol w:w="1276"/>
      </w:tblGrid>
      <w:tr w14:paraId="519CD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5" w:hRule="atLeast"/>
          <w:jc w:val="center"/>
        </w:trPr>
        <w:tc>
          <w:tcPr>
            <w:tcW w:w="1696" w:type="dxa"/>
            <w:shd w:val="clear" w:color="auto" w:fill="FFFFFF"/>
            <w:vAlign w:val="center"/>
          </w:tcPr>
          <w:p w14:paraId="26C7B102">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故障现象或异常数据确认</w:t>
            </w:r>
          </w:p>
        </w:tc>
        <w:tc>
          <w:tcPr>
            <w:tcW w:w="6732" w:type="dxa"/>
            <w:gridSpan w:val="3"/>
            <w:shd w:val="clear" w:color="auto" w:fill="FFFFFF"/>
            <w:vAlign w:val="center"/>
          </w:tcPr>
          <w:p w14:paraId="55DE70DE">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※记录电池包故障现象或异常数据流等</w:t>
            </w:r>
          </w:p>
        </w:tc>
      </w:tr>
      <w:tr w14:paraId="6858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96" w:type="dxa"/>
            <w:vMerge w:val="restart"/>
            <w:shd w:val="clear" w:color="auto" w:fill="FFFFFF"/>
            <w:vAlign w:val="center"/>
          </w:tcPr>
          <w:p w14:paraId="091772A9">
            <w:pP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部件/电路测试</w:t>
            </w:r>
          </w:p>
        </w:tc>
        <w:tc>
          <w:tcPr>
            <w:tcW w:w="4181" w:type="dxa"/>
            <w:shd w:val="clear" w:color="auto" w:fill="FFFFFF"/>
            <w:vAlign w:val="center"/>
          </w:tcPr>
          <w:p w14:paraId="63967E21">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部件/线路范围</w:t>
            </w:r>
          </w:p>
        </w:tc>
        <w:tc>
          <w:tcPr>
            <w:tcW w:w="2551" w:type="dxa"/>
            <w:gridSpan w:val="2"/>
            <w:shd w:val="clear" w:color="auto" w:fill="FFFFFF"/>
            <w:vAlign w:val="center"/>
          </w:tcPr>
          <w:p w14:paraId="1F71B5CC">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检查或测试后的结果判断</w:t>
            </w:r>
          </w:p>
        </w:tc>
      </w:tr>
      <w:tr w14:paraId="7E75B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696" w:type="dxa"/>
            <w:vMerge w:val="continue"/>
            <w:shd w:val="clear" w:color="auto" w:fill="FFFFFF"/>
            <w:vAlign w:val="center"/>
          </w:tcPr>
          <w:p w14:paraId="13DC1BD9">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7E251611">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6FCC79E4">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126D1971">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2686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96" w:type="dxa"/>
            <w:vMerge w:val="continue"/>
            <w:shd w:val="clear" w:color="auto" w:fill="FFFFFF"/>
            <w:vAlign w:val="center"/>
          </w:tcPr>
          <w:p w14:paraId="03EF14A7">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05F7F3F5">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1456B4B4">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5D5F27CB">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51F3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696" w:type="dxa"/>
            <w:vMerge w:val="continue"/>
            <w:shd w:val="clear" w:color="auto" w:fill="FFFFFF"/>
            <w:vAlign w:val="center"/>
          </w:tcPr>
          <w:p w14:paraId="10B943BA">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2E67DDFC">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61BBD4DA">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7DE193E5">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513F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96" w:type="dxa"/>
            <w:vMerge w:val="continue"/>
            <w:shd w:val="clear" w:color="auto" w:fill="FFFFFF"/>
            <w:vAlign w:val="center"/>
          </w:tcPr>
          <w:p w14:paraId="0EADC42A">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3B4B3E0C">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50983471">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7A20A3F8">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77EC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696" w:type="dxa"/>
            <w:vMerge w:val="continue"/>
            <w:shd w:val="clear" w:color="auto" w:fill="FFFFFF"/>
            <w:vAlign w:val="center"/>
          </w:tcPr>
          <w:p w14:paraId="088166FB">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675853CB">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42937DD2">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2F4EAA6C">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336F8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696" w:type="dxa"/>
            <w:vMerge w:val="continue"/>
            <w:shd w:val="clear" w:color="auto" w:fill="FFFFFF"/>
            <w:vAlign w:val="center"/>
          </w:tcPr>
          <w:p w14:paraId="4E15992A">
            <w:pPr>
              <w:jc w:val="center"/>
              <w:rPr>
                <w:rFonts w:hint="eastAsia" w:ascii="仿宋_GB2312" w:hAnsi="宋体" w:eastAsia="仿宋_GB2312"/>
                <w:b/>
                <w:bCs/>
                <w:color w:val="000000" w:themeColor="text1"/>
                <w:sz w:val="24"/>
                <w14:textFill>
                  <w14:solidFill>
                    <w14:schemeClr w14:val="tx1"/>
                  </w14:solidFill>
                </w14:textFill>
              </w:rPr>
            </w:pPr>
          </w:p>
        </w:tc>
        <w:tc>
          <w:tcPr>
            <w:tcW w:w="6732" w:type="dxa"/>
            <w:gridSpan w:val="3"/>
            <w:shd w:val="clear" w:color="auto" w:fill="FFFFFF"/>
            <w:vAlign w:val="center"/>
          </w:tcPr>
          <w:p w14:paraId="2DA1CE2E">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※注明测试条件、插件代码和编号，控制单元针脚代号以及测量结果</w:t>
            </w:r>
          </w:p>
        </w:tc>
      </w:tr>
      <w:tr w14:paraId="7C88A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696" w:type="dxa"/>
            <w:shd w:val="clear" w:color="auto" w:fill="FFFFFF"/>
            <w:vAlign w:val="center"/>
          </w:tcPr>
          <w:p w14:paraId="5791FA33">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故障点和故障类型确认</w:t>
            </w:r>
          </w:p>
        </w:tc>
        <w:tc>
          <w:tcPr>
            <w:tcW w:w="6732" w:type="dxa"/>
            <w:gridSpan w:val="3"/>
            <w:shd w:val="clear" w:color="auto" w:fill="FFFFFF"/>
          </w:tcPr>
          <w:p w14:paraId="16385C6F">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※电路图上指出最小故障线路范围或故障部件</w:t>
            </w:r>
          </w:p>
          <w:p w14:paraId="0B3EC301">
            <w:pPr>
              <w:rPr>
                <w:rFonts w:hint="eastAsia" w:ascii="仿宋_GB2312" w:hAnsi="宋体" w:eastAsia="仿宋_GB2312"/>
                <w:color w:val="000000" w:themeColor="text1"/>
                <w:sz w:val="24"/>
                <w14:textFill>
                  <w14:solidFill>
                    <w14:schemeClr w14:val="tx1"/>
                  </w14:solidFill>
                </w14:textFill>
              </w:rPr>
            </w:pPr>
          </w:p>
          <w:p w14:paraId="01CBA514">
            <w:pPr>
              <w:rPr>
                <w:rFonts w:hint="eastAsia" w:ascii="仿宋_GB2312" w:hAnsi="宋体" w:eastAsia="仿宋_GB2312"/>
                <w:color w:val="000000" w:themeColor="text1"/>
                <w:sz w:val="24"/>
                <w14:textFill>
                  <w14:solidFill>
                    <w14:schemeClr w14:val="tx1"/>
                  </w14:solidFill>
                </w14:textFill>
              </w:rPr>
            </w:pPr>
          </w:p>
        </w:tc>
      </w:tr>
    </w:tbl>
    <w:p w14:paraId="080CD4D8">
      <w:pPr>
        <w:pStyle w:val="21"/>
        <w:spacing w:before="468" w:beforeLines="150"/>
        <w:ind w:left="360" w:firstLine="0" w:firstLineChars="0"/>
        <w:rPr>
          <w:rFonts w:hint="eastAsia" w:ascii="仿宋_GB2312" w:hAnsi="宋体" w:eastAsia="仿宋_GB2312"/>
          <w:b/>
          <w:sz w:val="24"/>
        </w:rPr>
      </w:pPr>
      <w:r>
        <w:rPr>
          <w:rFonts w:hint="eastAsia" w:ascii="仿宋_GB2312" w:hAnsi="宋体" w:eastAsia="仿宋_GB2312"/>
          <w:b/>
          <w:sz w:val="24"/>
          <w:lang w:eastAsia="zh-CN"/>
        </w:rPr>
        <w:t>故障点4：</w:t>
      </w:r>
    </w:p>
    <w:tbl>
      <w:tblPr>
        <w:tblStyle w:val="9"/>
        <w:tblW w:w="8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4181"/>
        <w:gridCol w:w="1275"/>
        <w:gridCol w:w="1276"/>
      </w:tblGrid>
      <w:tr w14:paraId="4A8C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696" w:type="dxa"/>
            <w:shd w:val="clear" w:color="auto" w:fill="FFFFFF"/>
            <w:vAlign w:val="center"/>
          </w:tcPr>
          <w:p w14:paraId="6F4E1963">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故障现象或异常数据确认</w:t>
            </w:r>
          </w:p>
        </w:tc>
        <w:tc>
          <w:tcPr>
            <w:tcW w:w="6732" w:type="dxa"/>
            <w:gridSpan w:val="3"/>
            <w:shd w:val="clear" w:color="auto" w:fill="FFFFFF"/>
            <w:vAlign w:val="center"/>
          </w:tcPr>
          <w:p w14:paraId="2230F0A4">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※记录电池包故障现象或异常数据流等</w:t>
            </w:r>
          </w:p>
        </w:tc>
      </w:tr>
      <w:tr w14:paraId="58BC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96" w:type="dxa"/>
            <w:vMerge w:val="restart"/>
            <w:shd w:val="clear" w:color="auto" w:fill="FFFFFF"/>
            <w:vAlign w:val="center"/>
          </w:tcPr>
          <w:p w14:paraId="0A0522A8">
            <w:pP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部件/电路测试</w:t>
            </w:r>
          </w:p>
        </w:tc>
        <w:tc>
          <w:tcPr>
            <w:tcW w:w="4181" w:type="dxa"/>
            <w:shd w:val="clear" w:color="auto" w:fill="FFFFFF"/>
            <w:vAlign w:val="center"/>
          </w:tcPr>
          <w:p w14:paraId="020F4A3F">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部件/线路范围</w:t>
            </w:r>
          </w:p>
        </w:tc>
        <w:tc>
          <w:tcPr>
            <w:tcW w:w="2551" w:type="dxa"/>
            <w:gridSpan w:val="2"/>
            <w:shd w:val="clear" w:color="auto" w:fill="FFFFFF"/>
            <w:vAlign w:val="center"/>
          </w:tcPr>
          <w:p w14:paraId="1FA003BE">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检查或测试后的结果判断</w:t>
            </w:r>
          </w:p>
        </w:tc>
      </w:tr>
      <w:tr w14:paraId="50FC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696" w:type="dxa"/>
            <w:vMerge w:val="continue"/>
            <w:shd w:val="clear" w:color="auto" w:fill="FFFFFF"/>
            <w:vAlign w:val="center"/>
          </w:tcPr>
          <w:p w14:paraId="4BEED1B9">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23F0849E">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5D1C7624">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27ED2DA1">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28EA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96" w:type="dxa"/>
            <w:vMerge w:val="continue"/>
            <w:shd w:val="clear" w:color="auto" w:fill="FFFFFF"/>
            <w:vAlign w:val="center"/>
          </w:tcPr>
          <w:p w14:paraId="7704FE00">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15914169">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008712EB">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58ED7692">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6FAE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696" w:type="dxa"/>
            <w:vMerge w:val="continue"/>
            <w:shd w:val="clear" w:color="auto" w:fill="FFFFFF"/>
            <w:vAlign w:val="center"/>
          </w:tcPr>
          <w:p w14:paraId="4AC40F34">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5E880CB7">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245CA59E">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114A6FC6">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1D52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96" w:type="dxa"/>
            <w:vMerge w:val="continue"/>
            <w:shd w:val="clear" w:color="auto" w:fill="FFFFFF"/>
            <w:vAlign w:val="center"/>
          </w:tcPr>
          <w:p w14:paraId="1D804020">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5C28D5E1">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25A1F2CE">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50EC890C">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4CB6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696" w:type="dxa"/>
            <w:vMerge w:val="continue"/>
            <w:shd w:val="clear" w:color="auto" w:fill="FFFFFF"/>
            <w:vAlign w:val="center"/>
          </w:tcPr>
          <w:p w14:paraId="01BB891A">
            <w:pPr>
              <w:jc w:val="center"/>
              <w:rPr>
                <w:rFonts w:hint="eastAsia" w:ascii="仿宋_GB2312" w:hAnsi="宋体" w:eastAsia="仿宋_GB2312"/>
                <w:b/>
                <w:bCs/>
                <w:color w:val="000000" w:themeColor="text1"/>
                <w:sz w:val="24"/>
                <w14:textFill>
                  <w14:solidFill>
                    <w14:schemeClr w14:val="tx1"/>
                  </w14:solidFill>
                </w14:textFill>
              </w:rPr>
            </w:pPr>
          </w:p>
        </w:tc>
        <w:tc>
          <w:tcPr>
            <w:tcW w:w="4181" w:type="dxa"/>
            <w:shd w:val="clear" w:color="auto" w:fill="FFFFFF"/>
            <w:vAlign w:val="center"/>
          </w:tcPr>
          <w:p w14:paraId="12876BA3">
            <w:pPr>
              <w:rPr>
                <w:rFonts w:hint="eastAsia" w:ascii="仿宋_GB2312" w:hAnsi="宋体" w:eastAsia="仿宋_GB2312"/>
                <w:color w:val="000000" w:themeColor="text1"/>
                <w:sz w:val="24"/>
                <w14:textFill>
                  <w14:solidFill>
                    <w14:schemeClr w14:val="tx1"/>
                  </w14:solidFill>
                </w14:textFill>
              </w:rPr>
            </w:pPr>
          </w:p>
        </w:tc>
        <w:tc>
          <w:tcPr>
            <w:tcW w:w="1275" w:type="dxa"/>
            <w:shd w:val="clear" w:color="auto" w:fill="FFFFFF"/>
            <w:vAlign w:val="center"/>
          </w:tcPr>
          <w:p w14:paraId="703900BD">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1276" w:type="dxa"/>
            <w:shd w:val="clear" w:color="auto" w:fill="FFFFFF"/>
            <w:vAlign w:val="center"/>
          </w:tcPr>
          <w:p w14:paraId="55DE502A">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44FA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696" w:type="dxa"/>
            <w:vMerge w:val="continue"/>
            <w:shd w:val="clear" w:color="auto" w:fill="FFFFFF"/>
            <w:vAlign w:val="center"/>
          </w:tcPr>
          <w:p w14:paraId="068FC134">
            <w:pPr>
              <w:jc w:val="center"/>
              <w:rPr>
                <w:rFonts w:hint="eastAsia" w:ascii="仿宋_GB2312" w:hAnsi="宋体" w:eastAsia="仿宋_GB2312"/>
                <w:b/>
                <w:bCs/>
                <w:color w:val="000000" w:themeColor="text1"/>
                <w:sz w:val="24"/>
                <w14:textFill>
                  <w14:solidFill>
                    <w14:schemeClr w14:val="tx1"/>
                  </w14:solidFill>
                </w14:textFill>
              </w:rPr>
            </w:pPr>
          </w:p>
        </w:tc>
        <w:tc>
          <w:tcPr>
            <w:tcW w:w="6732" w:type="dxa"/>
            <w:gridSpan w:val="3"/>
            <w:shd w:val="clear" w:color="auto" w:fill="FFFFFF"/>
            <w:vAlign w:val="center"/>
          </w:tcPr>
          <w:p w14:paraId="53F3A482">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※注明测试条件、插件代码和编号，控制单元针脚代号以及测量结果</w:t>
            </w:r>
          </w:p>
        </w:tc>
      </w:tr>
      <w:tr w14:paraId="14932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696" w:type="dxa"/>
            <w:shd w:val="clear" w:color="auto" w:fill="FFFFFF"/>
            <w:vAlign w:val="center"/>
          </w:tcPr>
          <w:p w14:paraId="687E6656">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故障点和故障类型确认</w:t>
            </w:r>
          </w:p>
        </w:tc>
        <w:tc>
          <w:tcPr>
            <w:tcW w:w="6732" w:type="dxa"/>
            <w:gridSpan w:val="3"/>
            <w:shd w:val="clear" w:color="auto" w:fill="FFFFFF"/>
          </w:tcPr>
          <w:p w14:paraId="5428ED2C">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※电路图上指出最小故障线路范围或故障部件</w:t>
            </w:r>
          </w:p>
          <w:p w14:paraId="411F9B75">
            <w:pPr>
              <w:rPr>
                <w:rFonts w:hint="eastAsia" w:ascii="仿宋_GB2312" w:hAnsi="宋体" w:eastAsia="仿宋_GB2312"/>
                <w:color w:val="000000" w:themeColor="text1"/>
                <w:sz w:val="24"/>
                <w14:textFill>
                  <w14:solidFill>
                    <w14:schemeClr w14:val="tx1"/>
                  </w14:solidFill>
                </w14:textFill>
              </w:rPr>
            </w:pPr>
          </w:p>
          <w:p w14:paraId="749BB59C">
            <w:pPr>
              <w:rPr>
                <w:rFonts w:hint="eastAsia" w:ascii="仿宋_GB2312" w:hAnsi="宋体" w:eastAsia="仿宋_GB2312"/>
                <w:color w:val="000000" w:themeColor="text1"/>
                <w:sz w:val="24"/>
                <w14:textFill>
                  <w14:solidFill>
                    <w14:schemeClr w14:val="tx1"/>
                  </w14:solidFill>
                </w14:textFill>
              </w:rPr>
            </w:pPr>
          </w:p>
        </w:tc>
      </w:tr>
    </w:tbl>
    <w:p w14:paraId="3187184E">
      <w:pPr>
        <w:spacing w:before="468" w:beforeLines="150"/>
        <w:rPr>
          <w:rFonts w:hint="eastAsia" w:ascii="仿宋_GB2312" w:hAnsi="宋体" w:eastAsia="仿宋_GB2312"/>
          <w:b/>
          <w:color w:val="000000" w:themeColor="text1"/>
          <w:sz w:val="24"/>
          <w14:textFill>
            <w14:solidFill>
              <w14:schemeClr w14:val="tx1"/>
            </w14:solidFill>
          </w14:textFill>
        </w:rPr>
      </w:pPr>
    </w:p>
    <w:p w14:paraId="6AA84DC7">
      <w:pPr>
        <w:spacing w:before="468" w:beforeLines="150"/>
        <w:rPr>
          <w:rFonts w:hint="eastAsia"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 xml:space="preserve">3.电池包绝缘性测试记录 </w:t>
      </w:r>
    </w:p>
    <w:tbl>
      <w:tblPr>
        <w:tblStyle w:val="10"/>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2"/>
        <w:gridCol w:w="2666"/>
        <w:gridCol w:w="2541"/>
      </w:tblGrid>
      <w:tr w14:paraId="32B4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152" w:type="dxa"/>
          </w:tcPr>
          <w:p w14:paraId="55BCC8F2">
            <w:pPr>
              <w:jc w:val="center"/>
              <w:rPr>
                <w:rFonts w:hint="eastAsia" w:ascii="仿宋_GB2312" w:hAnsi="等线" w:eastAsia="仿宋_GB2312" w:cs="Times New Roman"/>
                <w:b/>
                <w:color w:val="000000" w:themeColor="text1"/>
                <w:sz w:val="24"/>
                <w14:textFill>
                  <w14:solidFill>
                    <w14:schemeClr w14:val="tx1"/>
                  </w14:solidFill>
                </w14:textFill>
              </w:rPr>
            </w:pPr>
            <w:r>
              <w:rPr>
                <w:rFonts w:hint="eastAsia" w:ascii="仿宋_GB2312" w:hAnsi="宋体" w:eastAsia="仿宋_GB2312" w:cs="Times New Roman"/>
                <w:b/>
                <w:color w:val="000000" w:themeColor="text1"/>
                <w:sz w:val="24"/>
                <w14:textFill>
                  <w14:solidFill>
                    <w14:schemeClr w14:val="tx1"/>
                  </w14:solidFill>
                </w14:textFill>
              </w:rPr>
              <w:t>测试位置</w:t>
            </w:r>
          </w:p>
        </w:tc>
        <w:tc>
          <w:tcPr>
            <w:tcW w:w="5207" w:type="dxa"/>
            <w:gridSpan w:val="2"/>
          </w:tcPr>
          <w:p w14:paraId="4675DD35">
            <w:pPr>
              <w:jc w:val="center"/>
              <w:rPr>
                <w:rFonts w:hint="eastAsia" w:ascii="仿宋_GB2312" w:hAnsi="等线" w:eastAsia="仿宋_GB2312" w:cs="Times New Roman"/>
                <w:b/>
                <w:color w:val="000000" w:themeColor="text1"/>
                <w:sz w:val="24"/>
                <w14:textFill>
                  <w14:solidFill>
                    <w14:schemeClr w14:val="tx1"/>
                  </w14:solidFill>
                </w14:textFill>
              </w:rPr>
            </w:pPr>
            <w:r>
              <w:rPr>
                <w:rFonts w:hint="eastAsia" w:ascii="仿宋_GB2312" w:hAnsi="宋体" w:eastAsia="仿宋_GB2312" w:cs="Times New Roman"/>
                <w:b/>
                <w:color w:val="000000" w:themeColor="text1"/>
                <w:sz w:val="24"/>
                <w14:textFill>
                  <w14:solidFill>
                    <w14:schemeClr w14:val="tx1"/>
                  </w14:solidFill>
                </w14:textFill>
              </w:rPr>
              <w:t>测试结果判断</w:t>
            </w:r>
          </w:p>
        </w:tc>
      </w:tr>
      <w:tr w14:paraId="04D39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152" w:type="dxa"/>
          </w:tcPr>
          <w:p w14:paraId="3F62C630">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电池模组对下壳体</w:t>
            </w:r>
          </w:p>
        </w:tc>
        <w:tc>
          <w:tcPr>
            <w:tcW w:w="2666" w:type="dxa"/>
            <w:shd w:val="clear" w:color="auto" w:fill="FFFFFF"/>
            <w:vAlign w:val="center"/>
          </w:tcPr>
          <w:p w14:paraId="4B59EFD6">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color w:val="000000" w:themeColor="text1"/>
                <w:sz w:val="24"/>
                <w14:textFill>
                  <w14:solidFill>
                    <w14:schemeClr w14:val="tx1"/>
                  </w14:solidFill>
                </w14:textFill>
              </w:rPr>
              <w:t>□正常</w:t>
            </w:r>
          </w:p>
        </w:tc>
        <w:tc>
          <w:tcPr>
            <w:tcW w:w="2541" w:type="dxa"/>
            <w:shd w:val="clear" w:color="auto" w:fill="FFFFFF"/>
            <w:vAlign w:val="center"/>
          </w:tcPr>
          <w:p w14:paraId="5452BAC2">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color w:val="000000" w:themeColor="text1"/>
                <w:sz w:val="24"/>
                <w14:textFill>
                  <w14:solidFill>
                    <w14:schemeClr w14:val="tx1"/>
                  </w14:solidFill>
                </w14:textFill>
              </w:rPr>
              <w:t>□不正常</w:t>
            </w:r>
          </w:p>
        </w:tc>
      </w:tr>
      <w:tr w14:paraId="23D2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152" w:type="dxa"/>
          </w:tcPr>
          <w:p w14:paraId="43A41870">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充电连接器座端对下壳体</w:t>
            </w:r>
          </w:p>
        </w:tc>
        <w:tc>
          <w:tcPr>
            <w:tcW w:w="2666" w:type="dxa"/>
            <w:shd w:val="clear" w:color="auto" w:fill="FFFFFF"/>
            <w:vAlign w:val="center"/>
          </w:tcPr>
          <w:p w14:paraId="094A622C">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color w:val="000000" w:themeColor="text1"/>
                <w:sz w:val="24"/>
                <w14:textFill>
                  <w14:solidFill>
                    <w14:schemeClr w14:val="tx1"/>
                  </w14:solidFill>
                </w14:textFill>
              </w:rPr>
              <w:t>□正常</w:t>
            </w:r>
          </w:p>
        </w:tc>
        <w:tc>
          <w:tcPr>
            <w:tcW w:w="2541" w:type="dxa"/>
            <w:shd w:val="clear" w:color="auto" w:fill="FFFFFF"/>
            <w:vAlign w:val="center"/>
          </w:tcPr>
          <w:p w14:paraId="05A4F187">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color w:val="000000" w:themeColor="text1"/>
                <w:sz w:val="24"/>
                <w14:textFill>
                  <w14:solidFill>
                    <w14:schemeClr w14:val="tx1"/>
                  </w14:solidFill>
                </w14:textFill>
              </w:rPr>
              <w:t>□不正常</w:t>
            </w:r>
          </w:p>
        </w:tc>
      </w:tr>
      <w:tr w14:paraId="240B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152" w:type="dxa"/>
          </w:tcPr>
          <w:p w14:paraId="5D076CEB">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bCs/>
                <w:color w:val="000000" w:themeColor="text1"/>
                <w:sz w:val="24"/>
                <w14:textFill>
                  <w14:solidFill>
                    <w14:schemeClr w14:val="tx1"/>
                  </w14:solidFill>
                </w14:textFill>
              </w:rPr>
              <w:t>放电连接器座端对下壳体</w:t>
            </w:r>
          </w:p>
        </w:tc>
        <w:tc>
          <w:tcPr>
            <w:tcW w:w="2666" w:type="dxa"/>
            <w:shd w:val="clear" w:color="auto" w:fill="FFFFFF"/>
            <w:vAlign w:val="center"/>
          </w:tcPr>
          <w:p w14:paraId="00EA578E">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color w:val="000000" w:themeColor="text1"/>
                <w:sz w:val="24"/>
                <w14:textFill>
                  <w14:solidFill>
                    <w14:schemeClr w14:val="tx1"/>
                  </w14:solidFill>
                </w14:textFill>
              </w:rPr>
              <w:t>□正常</w:t>
            </w:r>
          </w:p>
        </w:tc>
        <w:tc>
          <w:tcPr>
            <w:tcW w:w="2541" w:type="dxa"/>
            <w:shd w:val="clear" w:color="auto" w:fill="FFFFFF"/>
            <w:vAlign w:val="center"/>
          </w:tcPr>
          <w:p w14:paraId="392D9071">
            <w:pPr>
              <w:jc w:val="center"/>
              <w:rPr>
                <w:rFonts w:hint="eastAsia" w:ascii="仿宋_GB2312" w:hAnsi="等线" w:eastAsia="仿宋_GB2312" w:cs="Times New Roman"/>
                <w:bCs/>
                <w:color w:val="000000" w:themeColor="text1"/>
                <w:sz w:val="24"/>
                <w14:textFill>
                  <w14:solidFill>
                    <w14:schemeClr w14:val="tx1"/>
                  </w14:solidFill>
                </w14:textFill>
              </w:rPr>
            </w:pPr>
            <w:r>
              <w:rPr>
                <w:rFonts w:hint="eastAsia" w:ascii="仿宋_GB2312" w:hAnsi="宋体" w:eastAsia="仿宋_GB2312" w:cs="Times New Roman"/>
                <w:color w:val="000000" w:themeColor="text1"/>
                <w:sz w:val="24"/>
                <w14:textFill>
                  <w14:solidFill>
                    <w14:schemeClr w14:val="tx1"/>
                  </w14:solidFill>
                </w14:textFill>
              </w:rPr>
              <w:t>□不正常</w:t>
            </w:r>
          </w:p>
        </w:tc>
      </w:tr>
    </w:tbl>
    <w:p w14:paraId="054612B0">
      <w:pPr>
        <w:spacing w:before="468" w:beforeLines="150"/>
        <w:rPr>
          <w:rFonts w:hint="eastAsia" w:ascii="仿宋_GB2312" w:hAnsi="宋体" w:eastAsia="仿宋_GB2312"/>
          <w:b/>
          <w:bCs/>
          <w:color w:val="000000" w:themeColor="text1"/>
          <w:sz w:val="24"/>
          <w14:textFill>
            <w14:solidFill>
              <w14:schemeClr w14:val="tx1"/>
            </w14:solidFill>
          </w14:textFill>
        </w:rPr>
      </w:pPr>
      <w:bookmarkStart w:id="92" w:name="_Hlk149425835"/>
      <w:r>
        <w:rPr>
          <w:rFonts w:hint="eastAsia" w:ascii="仿宋_GB2312" w:hAnsi="宋体" w:eastAsia="仿宋_GB2312"/>
          <w:b/>
          <w:bCs/>
          <w:color w:val="000000" w:themeColor="text1"/>
          <w:sz w:val="24"/>
          <w14:textFill>
            <w14:solidFill>
              <w14:schemeClr w14:val="tx1"/>
            </w14:solidFill>
          </w14:textFill>
        </w:rPr>
        <w:t>4.电池包充放电功能验证记录</w:t>
      </w:r>
    </w:p>
    <w:tbl>
      <w:tblPr>
        <w:tblStyle w:val="9"/>
        <w:tblW w:w="83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1"/>
        <w:gridCol w:w="3119"/>
        <w:gridCol w:w="2902"/>
      </w:tblGrid>
      <w:tr w14:paraId="29FA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371" w:type="dxa"/>
            <w:shd w:val="clear" w:color="auto" w:fill="auto"/>
            <w:vAlign w:val="center"/>
          </w:tcPr>
          <w:p w14:paraId="6C47910C">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测试对象</w:t>
            </w:r>
          </w:p>
        </w:tc>
        <w:tc>
          <w:tcPr>
            <w:tcW w:w="6021" w:type="dxa"/>
            <w:gridSpan w:val="2"/>
            <w:shd w:val="clear" w:color="auto" w:fill="auto"/>
            <w:vAlign w:val="center"/>
          </w:tcPr>
          <w:p w14:paraId="10947286">
            <w:pPr>
              <w:jc w:val="center"/>
              <w:rPr>
                <w:rFonts w:hint="eastAsia" w:ascii="仿宋_GB2312" w:hAnsi="宋体" w:eastAsia="仿宋_GB2312"/>
                <w:b/>
                <w:bCs/>
                <w:color w:val="000000" w:themeColor="text1"/>
                <w:sz w:val="24"/>
                <w14:textFill>
                  <w14:solidFill>
                    <w14:schemeClr w14:val="tx1"/>
                  </w14:solidFill>
                </w14:textFill>
              </w:rPr>
            </w:pPr>
            <w:r>
              <w:rPr>
                <w:rFonts w:hint="eastAsia" w:ascii="仿宋_GB2312" w:hAnsi="宋体" w:eastAsia="仿宋_GB2312"/>
                <w:b/>
                <w:bCs/>
                <w:color w:val="000000" w:themeColor="text1"/>
                <w:sz w:val="24"/>
                <w14:textFill>
                  <w14:solidFill>
                    <w14:schemeClr w14:val="tx1"/>
                  </w14:solidFill>
                </w14:textFill>
              </w:rPr>
              <w:t>测试结果判断</w:t>
            </w:r>
          </w:p>
        </w:tc>
      </w:tr>
      <w:tr w14:paraId="610D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2371" w:type="dxa"/>
            <w:shd w:val="clear" w:color="auto" w:fill="auto"/>
            <w:vAlign w:val="center"/>
          </w:tcPr>
          <w:p w14:paraId="7CBF4D15">
            <w:pPr>
              <w:jc w:val="cente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放电功能</w:t>
            </w:r>
          </w:p>
        </w:tc>
        <w:tc>
          <w:tcPr>
            <w:tcW w:w="3119" w:type="dxa"/>
            <w:shd w:val="clear" w:color="auto" w:fill="FFFFFF"/>
            <w:vAlign w:val="center"/>
          </w:tcPr>
          <w:p w14:paraId="51FD123E">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2902" w:type="dxa"/>
            <w:shd w:val="clear" w:color="auto" w:fill="FFFFFF"/>
            <w:vAlign w:val="center"/>
          </w:tcPr>
          <w:p w14:paraId="74B1B8D9">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r w14:paraId="20A1E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371" w:type="dxa"/>
            <w:shd w:val="clear" w:color="auto" w:fill="auto"/>
            <w:vAlign w:val="center"/>
          </w:tcPr>
          <w:p w14:paraId="59F605BC">
            <w:pPr>
              <w:jc w:val="cente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充电功能</w:t>
            </w:r>
          </w:p>
        </w:tc>
        <w:tc>
          <w:tcPr>
            <w:tcW w:w="3119" w:type="dxa"/>
            <w:shd w:val="clear" w:color="auto" w:fill="FFFFFF"/>
            <w:vAlign w:val="center"/>
          </w:tcPr>
          <w:p w14:paraId="4E46E78B">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□正常</w:t>
            </w:r>
          </w:p>
        </w:tc>
        <w:tc>
          <w:tcPr>
            <w:tcW w:w="2902" w:type="dxa"/>
            <w:shd w:val="clear" w:color="auto" w:fill="FFFFFF"/>
            <w:vAlign w:val="center"/>
          </w:tcPr>
          <w:p w14:paraId="112DAF11">
            <w:pPr>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□不正常</w:t>
            </w:r>
          </w:p>
        </w:tc>
      </w:tr>
    </w:tbl>
    <w:p w14:paraId="7DC463B0">
      <w:pPr>
        <w:rPr>
          <w:rFonts w:hint="eastAsia" w:ascii="宋体" w:hAnsi="宋体" w:eastAsia="宋体"/>
          <w:sz w:val="24"/>
        </w:rPr>
      </w:pPr>
    </w:p>
    <w:bookmarkEnd w:id="92"/>
    <w:p w14:paraId="4E99C0C3">
      <w:pPr>
        <w:rPr>
          <w:rFonts w:hint="eastAsia"/>
        </w:rPr>
      </w:pPr>
      <w:r>
        <w:br w:type="page"/>
      </w:r>
    </w:p>
    <w:p w14:paraId="3DA87037">
      <w:pPr>
        <w:tabs>
          <w:tab w:val="left" w:pos="4680"/>
        </w:tabs>
        <w:spacing w:line="560" w:lineRule="exact"/>
        <w:jc w:val="center"/>
        <w:rPr>
          <w:rFonts w:hint="eastAsia" w:ascii="方正小标宋_GBK" w:hAnsi="方正小标宋_GBK" w:eastAsia="方正小标宋_GBK" w:cs="方正小标宋_GBK"/>
          <w:bCs/>
          <w:sz w:val="36"/>
          <w:szCs w:val="36"/>
        </w:rPr>
      </w:pPr>
      <w:r>
        <w:rPr>
          <w:rFonts w:hint="eastAsia" w:ascii="方正小标宋_GBK" w:hAnsi="方正小标宋_GBK" w:eastAsia="方正小标宋_GBK" w:cs="方正小标宋_GBK"/>
          <w:bCs/>
          <w:sz w:val="36"/>
          <w:szCs w:val="36"/>
        </w:rPr>
        <w:t>汽车零部件装调工（汽车电动化技术方向）赛项</w:t>
      </w:r>
    </w:p>
    <w:p w14:paraId="01E5B3E5">
      <w:pPr>
        <w:spacing w:line="560" w:lineRule="exact"/>
        <w:jc w:val="center"/>
        <w:rPr>
          <w:rFonts w:hint="eastAsia" w:ascii="方正小标宋_GBK" w:hAnsi="方正小标宋_GBK" w:eastAsia="方正小标宋_GBK" w:cs="方正小标宋_GBK"/>
          <w:bCs/>
          <w:sz w:val="36"/>
          <w:szCs w:val="36"/>
          <w:lang w:bidi="en-US"/>
        </w:rPr>
      </w:pPr>
      <w:r>
        <w:rPr>
          <w:rFonts w:hint="eastAsia" w:ascii="方正小标宋_GBK" w:hAnsi="方正小标宋_GBK" w:eastAsia="方正小标宋_GBK" w:cs="方正小标宋_GBK"/>
          <w:bCs/>
          <w:sz w:val="36"/>
          <w:szCs w:val="36"/>
          <w:lang w:bidi="en-US"/>
        </w:rPr>
        <w:t xml:space="preserve"> (</w:t>
      </w:r>
      <w:r>
        <w:rPr>
          <w:rFonts w:hint="eastAsia" w:ascii="方正小标宋_GBK" w:hAnsi="方正小标宋_GBK" w:eastAsia="方正小标宋_GBK" w:cs="方正小标宋_GBK"/>
          <w:bCs/>
          <w:sz w:val="36"/>
          <w:szCs w:val="36"/>
        </w:rPr>
        <w:t>任务2：电控系统检测与排故</w:t>
      </w:r>
      <w:r>
        <w:rPr>
          <w:rFonts w:hint="eastAsia" w:ascii="方正小标宋_GBK" w:hAnsi="方正小标宋_GBK" w:eastAsia="方正小标宋_GBK" w:cs="方正小标宋_GBK"/>
          <w:bCs/>
          <w:sz w:val="36"/>
          <w:szCs w:val="36"/>
          <w:lang w:bidi="en-US"/>
        </w:rPr>
        <w:t xml:space="preserve">) </w:t>
      </w:r>
    </w:p>
    <w:p w14:paraId="6432F75C">
      <w:pPr>
        <w:spacing w:line="560" w:lineRule="exact"/>
        <w:jc w:val="center"/>
        <w:rPr>
          <w:rFonts w:hint="eastAsia"/>
        </w:rPr>
      </w:pPr>
      <w:r>
        <w:rPr>
          <w:rFonts w:hint="eastAsia" w:ascii="方正小标宋_GBK" w:hAnsi="方正小标宋_GBK" w:eastAsia="方正小标宋_GBK" w:cs="方正小标宋_GBK"/>
          <w:bCs/>
          <w:sz w:val="36"/>
          <w:szCs w:val="36"/>
          <w:lang w:bidi="en-US"/>
        </w:rPr>
        <w:t>选手作业单</w:t>
      </w:r>
    </w:p>
    <w:p w14:paraId="124873D8">
      <w:pPr>
        <w:spacing w:before="84"/>
        <w:rPr>
          <w:rFonts w:hint="eastAsia"/>
        </w:rPr>
      </w:pPr>
    </w:p>
    <w:tbl>
      <w:tblPr>
        <w:tblStyle w:val="16"/>
        <w:tblW w:w="919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4"/>
        <w:gridCol w:w="1688"/>
        <w:gridCol w:w="3273"/>
        <w:gridCol w:w="2112"/>
      </w:tblGrid>
      <w:tr w14:paraId="6BC3C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2124" w:type="dxa"/>
          </w:tcPr>
          <w:p w14:paraId="0090F3C6">
            <w:pPr>
              <w:pStyle w:val="20"/>
              <w:spacing w:before="111" w:line="220" w:lineRule="auto"/>
              <w:ind w:left="554"/>
              <w:rPr>
                <w:rFonts w:hint="eastAsia" w:ascii="仿宋_GB2312" w:hAnsi="仿宋_GB2312" w:eastAsia="仿宋_GB2312" w:cs="仿宋_GB2312"/>
                <w:lang w:eastAsia="zh-CN"/>
              </w:rPr>
            </w:pPr>
            <w:r>
              <w:rPr>
                <w:rFonts w:hint="eastAsia" w:ascii="仿宋_GB2312" w:hAnsi="仿宋_GB2312" w:eastAsia="仿宋_GB2312" w:cs="仿宋_GB2312"/>
                <w:spacing w:val="-2"/>
                <w:lang w:eastAsia="zh-CN"/>
              </w:rPr>
              <w:t>场次</w:t>
            </w:r>
          </w:p>
        </w:tc>
        <w:tc>
          <w:tcPr>
            <w:tcW w:w="1688" w:type="dxa"/>
          </w:tcPr>
          <w:p w14:paraId="53E49F49">
            <w:pPr>
              <w:pStyle w:val="20"/>
              <w:spacing w:before="110" w:line="222" w:lineRule="auto"/>
              <w:ind w:left="477"/>
              <w:rPr>
                <w:rFonts w:hint="eastAsia" w:ascii="仿宋_GB2312" w:hAnsi="仿宋_GB2312" w:eastAsia="仿宋_GB2312" w:cs="仿宋_GB2312"/>
              </w:rPr>
            </w:pPr>
            <w:r>
              <w:rPr>
                <w:rFonts w:hint="eastAsia" w:ascii="仿宋_GB2312" w:hAnsi="仿宋_GB2312" w:eastAsia="仿宋_GB2312" w:cs="仿宋_GB2312"/>
                <w:spacing w:val="-5"/>
              </w:rPr>
              <w:t>工位号</w:t>
            </w:r>
          </w:p>
        </w:tc>
        <w:tc>
          <w:tcPr>
            <w:tcW w:w="3273" w:type="dxa"/>
          </w:tcPr>
          <w:p w14:paraId="04BFA1BF">
            <w:pPr>
              <w:pStyle w:val="20"/>
              <w:spacing w:before="111" w:line="220" w:lineRule="auto"/>
              <w:ind w:left="1167"/>
              <w:rPr>
                <w:rFonts w:hint="eastAsia" w:ascii="仿宋_GB2312" w:hAnsi="仿宋_GB2312" w:eastAsia="仿宋_GB2312" w:cs="仿宋_GB2312"/>
              </w:rPr>
            </w:pPr>
            <w:r>
              <w:rPr>
                <w:rFonts w:hint="eastAsia" w:ascii="仿宋_GB2312" w:hAnsi="仿宋_GB2312" w:eastAsia="仿宋_GB2312" w:cs="仿宋_GB2312"/>
                <w:spacing w:val="-4"/>
              </w:rPr>
              <w:t>竞赛日期</w:t>
            </w:r>
          </w:p>
        </w:tc>
        <w:tc>
          <w:tcPr>
            <w:tcW w:w="2112" w:type="dxa"/>
          </w:tcPr>
          <w:p w14:paraId="46ACBC62">
            <w:pPr>
              <w:pStyle w:val="20"/>
              <w:spacing w:before="111" w:line="220" w:lineRule="auto"/>
              <w:ind w:left="585"/>
              <w:rPr>
                <w:rFonts w:hint="eastAsia" w:ascii="仿宋_GB2312" w:hAnsi="仿宋_GB2312" w:eastAsia="仿宋_GB2312" w:cs="仿宋_GB2312"/>
              </w:rPr>
            </w:pPr>
            <w:r>
              <w:rPr>
                <w:rFonts w:hint="eastAsia" w:ascii="仿宋_GB2312" w:hAnsi="仿宋_GB2312" w:eastAsia="仿宋_GB2312" w:cs="仿宋_GB2312"/>
                <w:spacing w:val="-4"/>
              </w:rPr>
              <w:t>竞赛用时</w:t>
            </w:r>
          </w:p>
        </w:tc>
      </w:tr>
      <w:tr w14:paraId="17A10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jc w:val="center"/>
        </w:trPr>
        <w:tc>
          <w:tcPr>
            <w:tcW w:w="2124" w:type="dxa"/>
          </w:tcPr>
          <w:p w14:paraId="50595ED2">
            <w:pPr>
              <w:rPr>
                <w:rFonts w:hint="eastAsia" w:ascii="仿宋_GB2312" w:hAnsi="仿宋_GB2312" w:eastAsia="仿宋_GB2312" w:cs="仿宋_GB2312"/>
                <w:kern w:val="0"/>
                <w:sz w:val="24"/>
                <w:szCs w:val="24"/>
              </w:rPr>
            </w:pPr>
          </w:p>
        </w:tc>
        <w:tc>
          <w:tcPr>
            <w:tcW w:w="1688" w:type="dxa"/>
          </w:tcPr>
          <w:p w14:paraId="0F977E47">
            <w:pPr>
              <w:rPr>
                <w:rFonts w:hint="eastAsia" w:ascii="仿宋_GB2312" w:hAnsi="仿宋_GB2312" w:eastAsia="仿宋_GB2312" w:cs="仿宋_GB2312"/>
                <w:kern w:val="0"/>
                <w:sz w:val="24"/>
                <w:szCs w:val="24"/>
              </w:rPr>
            </w:pPr>
          </w:p>
        </w:tc>
        <w:tc>
          <w:tcPr>
            <w:tcW w:w="3273" w:type="dxa"/>
          </w:tcPr>
          <w:p w14:paraId="41D4110E">
            <w:pPr>
              <w:pStyle w:val="20"/>
              <w:spacing w:before="183" w:line="220" w:lineRule="auto"/>
              <w:ind w:left="716"/>
              <w:rPr>
                <w:rFonts w:hint="eastAsia" w:ascii="仿宋_GB2312" w:hAnsi="仿宋_GB2312" w:eastAsia="仿宋_GB2312" w:cs="仿宋_GB2312"/>
              </w:rPr>
            </w:pPr>
          </w:p>
        </w:tc>
        <w:tc>
          <w:tcPr>
            <w:tcW w:w="2112" w:type="dxa"/>
          </w:tcPr>
          <w:p w14:paraId="7F9F26D1">
            <w:pPr>
              <w:pStyle w:val="20"/>
              <w:spacing w:before="183" w:line="221" w:lineRule="auto"/>
              <w:ind w:left="1053"/>
              <w:rPr>
                <w:rFonts w:hint="eastAsia" w:ascii="仿宋_GB2312" w:hAnsi="仿宋_GB2312" w:eastAsia="仿宋_GB2312" w:cs="仿宋_GB2312"/>
              </w:rPr>
            </w:pPr>
          </w:p>
        </w:tc>
      </w:tr>
    </w:tbl>
    <w:p w14:paraId="1877A50D">
      <w:pPr>
        <w:spacing w:before="70"/>
        <w:rPr>
          <w:rFonts w:hint="eastAsia" w:ascii="仿宋_GB2312" w:hAnsi="仿宋_GB2312" w:eastAsia="仿宋_GB2312" w:cs="仿宋_GB2312"/>
          <w:sz w:val="24"/>
          <w:szCs w:val="24"/>
        </w:rPr>
      </w:pPr>
    </w:p>
    <w:p w14:paraId="410395A0">
      <w:pPr>
        <w:spacing w:before="71"/>
        <w:rPr>
          <w:rFonts w:hint="eastAsia" w:ascii="仿宋_GB2312" w:hAnsi="仿宋_GB2312" w:eastAsia="仿宋_GB2312" w:cs="仿宋_GB2312"/>
          <w:sz w:val="24"/>
          <w:szCs w:val="24"/>
        </w:rPr>
      </w:pPr>
    </w:p>
    <w:tbl>
      <w:tblPr>
        <w:tblStyle w:val="16"/>
        <w:tblW w:w="908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42"/>
        <w:gridCol w:w="4538"/>
      </w:tblGrid>
      <w:tr w14:paraId="4A8D3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4" w:hRule="atLeast"/>
          <w:jc w:val="center"/>
        </w:trPr>
        <w:tc>
          <w:tcPr>
            <w:tcW w:w="9080" w:type="dxa"/>
            <w:gridSpan w:val="2"/>
          </w:tcPr>
          <w:p w14:paraId="418FF3EA">
            <w:pPr>
              <w:pStyle w:val="20"/>
              <w:tabs>
                <w:tab w:val="left" w:pos="4056"/>
              </w:tabs>
              <w:spacing w:before="166" w:line="221" w:lineRule="auto"/>
              <w:jc w:val="center"/>
              <w:rPr>
                <w:rFonts w:hint="eastAsia" w:ascii="仿宋_GB2312" w:hAnsi="仿宋" w:eastAsia="仿宋_GB2312" w:cs="仿宋"/>
                <w:lang w:eastAsia="zh-CN"/>
              </w:rPr>
            </w:pPr>
            <w:r>
              <w:rPr>
                <w:rFonts w:hint="eastAsia" w:ascii="仿宋_GB2312" w:hAnsi="仿宋" w:eastAsia="仿宋_GB2312" w:cs="仿宋"/>
                <w:lang w:eastAsia="zh-CN"/>
              </w:rPr>
              <w:t>时间分配</w:t>
            </w:r>
          </w:p>
        </w:tc>
      </w:tr>
      <w:tr w14:paraId="77FEE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542" w:type="dxa"/>
          </w:tcPr>
          <w:p w14:paraId="27257357">
            <w:pPr>
              <w:pStyle w:val="20"/>
              <w:spacing w:before="166" w:line="220" w:lineRule="auto"/>
              <w:ind w:left="317"/>
              <w:rPr>
                <w:rFonts w:hint="eastAsia" w:ascii="仿宋_GB2312" w:hAnsi="仿宋" w:eastAsia="仿宋_GB2312" w:cs="仿宋"/>
                <w:lang w:eastAsia="zh-CN"/>
              </w:rPr>
            </w:pPr>
            <w:r>
              <w:rPr>
                <w:rFonts w:hint="eastAsia" w:ascii="仿宋_GB2312" w:hAnsi="仿宋" w:eastAsia="仿宋_GB2312" w:cs="仿宋"/>
                <w:spacing w:val="-1"/>
                <w:lang w:eastAsia="zh-CN"/>
              </w:rPr>
              <w:t>检查工具和仪表完整性</w:t>
            </w:r>
          </w:p>
        </w:tc>
        <w:tc>
          <w:tcPr>
            <w:tcW w:w="4538" w:type="dxa"/>
          </w:tcPr>
          <w:p w14:paraId="62C69995">
            <w:pPr>
              <w:pStyle w:val="20"/>
              <w:spacing w:before="166" w:line="221" w:lineRule="auto"/>
              <w:ind w:left="333"/>
              <w:rPr>
                <w:rFonts w:hint="eastAsia" w:ascii="仿宋_GB2312" w:hAnsi="仿宋" w:eastAsia="仿宋_GB2312" w:cs="仿宋"/>
                <w:lang w:eastAsia="zh-CN"/>
              </w:rPr>
            </w:pPr>
            <w:r>
              <w:rPr>
                <w:rFonts w:hint="eastAsia" w:ascii="仿宋_GB2312" w:hAnsi="仿宋" w:eastAsia="仿宋_GB2312" w:cs="仿宋"/>
                <w:spacing w:val="-11"/>
              </w:rPr>
              <w:t>1 分钟</w:t>
            </w:r>
          </w:p>
        </w:tc>
      </w:tr>
      <w:tr w14:paraId="16FC09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542" w:type="dxa"/>
          </w:tcPr>
          <w:p w14:paraId="08D178FC">
            <w:pPr>
              <w:pStyle w:val="20"/>
              <w:spacing w:before="165" w:line="220" w:lineRule="auto"/>
              <w:ind w:left="343"/>
              <w:rPr>
                <w:rFonts w:hint="eastAsia" w:ascii="仿宋_GB2312" w:hAnsi="仿宋" w:eastAsia="仿宋_GB2312" w:cs="仿宋"/>
              </w:rPr>
            </w:pPr>
            <w:r>
              <w:rPr>
                <w:rFonts w:hint="eastAsia" w:ascii="仿宋_GB2312" w:hAnsi="仿宋" w:eastAsia="仿宋_GB2312" w:cs="仿宋"/>
                <w:spacing w:val="-6"/>
              </w:rPr>
              <w:t>比赛操作时间</w:t>
            </w:r>
          </w:p>
        </w:tc>
        <w:tc>
          <w:tcPr>
            <w:tcW w:w="4538" w:type="dxa"/>
          </w:tcPr>
          <w:p w14:paraId="671B2234">
            <w:pPr>
              <w:pStyle w:val="20"/>
              <w:spacing w:before="165" w:line="221" w:lineRule="auto"/>
              <w:ind w:left="315"/>
              <w:rPr>
                <w:rFonts w:hint="eastAsia" w:ascii="仿宋_GB2312" w:hAnsi="仿宋" w:eastAsia="仿宋_GB2312" w:cs="仿宋"/>
              </w:rPr>
            </w:pPr>
            <w:r>
              <w:rPr>
                <w:rFonts w:hint="eastAsia" w:ascii="仿宋_GB2312" w:hAnsi="仿宋" w:eastAsia="仿宋_GB2312" w:cs="仿宋"/>
                <w:spacing w:val="-5"/>
                <w:lang w:eastAsia="zh-CN"/>
              </w:rPr>
              <w:t>3</w:t>
            </w:r>
            <w:r>
              <w:rPr>
                <w:rFonts w:hint="eastAsia" w:ascii="仿宋_GB2312" w:hAnsi="仿宋" w:eastAsia="仿宋_GB2312" w:cs="仿宋"/>
                <w:spacing w:val="-5"/>
              </w:rPr>
              <w:t>0分钟</w:t>
            </w:r>
          </w:p>
        </w:tc>
      </w:tr>
    </w:tbl>
    <w:p w14:paraId="5E0EAA98">
      <w:pPr>
        <w:spacing w:before="44"/>
        <w:rPr>
          <w:rFonts w:hint="eastAsia" w:ascii="仿宋_GB2312" w:hAnsi="仿宋_GB2312" w:eastAsia="仿宋_GB2312" w:cs="仿宋_GB2312"/>
          <w:sz w:val="24"/>
          <w:szCs w:val="24"/>
        </w:rPr>
      </w:pPr>
    </w:p>
    <w:p w14:paraId="73B36A9F">
      <w:pPr>
        <w:spacing w:before="71"/>
        <w:rPr>
          <w:rFonts w:hint="eastAsia" w:ascii="仿宋_GB2312" w:hAnsi="仿宋_GB2312" w:eastAsia="仿宋_GB2312" w:cs="仿宋_GB2312"/>
          <w:sz w:val="24"/>
          <w:szCs w:val="24"/>
        </w:rPr>
      </w:pPr>
    </w:p>
    <w:tbl>
      <w:tblPr>
        <w:tblStyle w:val="16"/>
        <w:tblW w:w="93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8"/>
        <w:gridCol w:w="7013"/>
        <w:gridCol w:w="1556"/>
      </w:tblGrid>
      <w:tr w14:paraId="52C82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jc w:val="center"/>
        </w:trPr>
        <w:tc>
          <w:tcPr>
            <w:tcW w:w="9337" w:type="dxa"/>
            <w:gridSpan w:val="3"/>
          </w:tcPr>
          <w:p w14:paraId="450E5B0F">
            <w:pPr>
              <w:pStyle w:val="20"/>
              <w:spacing w:before="225" w:line="219" w:lineRule="auto"/>
              <w:ind w:left="1719"/>
              <w:rPr>
                <w:rFonts w:hint="eastAsia" w:ascii="仿宋_GB2312" w:hAnsi="仿宋_GB2312" w:eastAsia="仿宋_GB2312" w:cs="仿宋_GB2312"/>
                <w:lang w:eastAsia="zh-CN"/>
              </w:rPr>
            </w:pPr>
            <w:r>
              <w:rPr>
                <w:rFonts w:hint="eastAsia" w:ascii="仿宋_GB2312" w:hAnsi="仿宋_GB2312" w:eastAsia="仿宋_GB2312" w:cs="仿宋_GB2312"/>
                <w:spacing w:val="-2"/>
                <w:lang w:eastAsia="zh-CN"/>
                <w14:textOutline w14:w="4356" w14:cap="sq" w14:cmpd="sng" w14:algn="ctr">
                  <w14:solidFill>
                    <w14:srgbClr w14:val="000000"/>
                  </w14:solidFill>
                  <w14:prstDash w14:val="solid"/>
                  <w14:bevel/>
                </w14:textOutline>
              </w:rPr>
              <w:t>任务</w:t>
            </w:r>
            <w:r>
              <w:rPr>
                <w:rFonts w:hint="eastAsia" w:ascii="仿宋_GB2312" w:hAnsi="仿宋_GB2312" w:eastAsia="仿宋_GB2312" w:cs="仿宋_GB2312"/>
                <w:spacing w:val="-43"/>
                <w:lang w:eastAsia="zh-CN"/>
              </w:rPr>
              <w:t xml:space="preserve"> </w:t>
            </w:r>
            <w:r>
              <w:rPr>
                <w:rFonts w:hint="eastAsia" w:ascii="仿宋_GB2312" w:hAnsi="仿宋_GB2312" w:eastAsia="仿宋_GB2312" w:cs="仿宋_GB2312"/>
                <w:spacing w:val="-2"/>
                <w:lang w:eastAsia="zh-CN"/>
                <w14:textOutline w14:w="4356" w14:cap="sq" w14:cmpd="sng" w14:algn="ctr">
                  <w14:solidFill>
                    <w14:srgbClr w14:val="000000"/>
                  </w14:solidFill>
                  <w14:prstDash w14:val="solid"/>
                  <w14:bevel/>
                </w14:textOutline>
              </w:rPr>
              <w:t>2</w:t>
            </w:r>
            <w:r>
              <w:rPr>
                <w:rFonts w:hint="eastAsia" w:ascii="仿宋_GB2312" w:hAnsi="仿宋_GB2312" w:eastAsia="仿宋_GB2312" w:cs="仿宋_GB2312"/>
                <w:spacing w:val="-45"/>
                <w:lang w:eastAsia="zh-CN"/>
              </w:rPr>
              <w:t xml:space="preserve"> </w:t>
            </w:r>
            <w:r>
              <w:rPr>
                <w:rFonts w:hint="eastAsia" w:ascii="仿宋_GB2312" w:hAnsi="仿宋_GB2312" w:eastAsia="仿宋_GB2312" w:cs="仿宋_GB2312"/>
                <w:spacing w:val="-2"/>
                <w:lang w:eastAsia="zh-CN"/>
                <w14:textOutline w14:w="4356" w14:cap="sq" w14:cmpd="sng" w14:algn="ctr">
                  <w14:solidFill>
                    <w14:srgbClr w14:val="000000"/>
                  </w14:solidFill>
                  <w14:prstDash w14:val="solid"/>
                  <w14:bevel/>
                </w14:textOutline>
              </w:rPr>
              <w:t>各项操作内容及分数分布（满分</w:t>
            </w:r>
            <w:r>
              <w:rPr>
                <w:rFonts w:hint="eastAsia" w:ascii="仿宋_GB2312" w:hAnsi="仿宋_GB2312" w:eastAsia="仿宋_GB2312" w:cs="仿宋_GB2312"/>
                <w:spacing w:val="-33"/>
                <w:lang w:eastAsia="zh-CN"/>
              </w:rPr>
              <w:t xml:space="preserve"> </w:t>
            </w:r>
            <w:r>
              <w:rPr>
                <w:rFonts w:hint="eastAsia" w:ascii="仿宋_GB2312" w:hAnsi="仿宋_GB2312" w:eastAsia="仿宋_GB2312" w:cs="仿宋_GB2312"/>
                <w:spacing w:val="-2"/>
                <w:lang w:eastAsia="zh-CN"/>
                <w14:textOutline w14:w="4356" w14:cap="sq" w14:cmpd="sng" w14:algn="ctr">
                  <w14:solidFill>
                    <w14:srgbClr w14:val="000000"/>
                  </w14:solidFill>
                  <w14:prstDash w14:val="solid"/>
                  <w14:bevel/>
                </w14:textOutline>
              </w:rPr>
              <w:t>100，占总分</w:t>
            </w:r>
            <w:r>
              <w:rPr>
                <w:rFonts w:hint="eastAsia" w:ascii="仿宋_GB2312" w:hAnsi="仿宋_GB2312" w:eastAsia="仿宋_GB2312" w:cs="仿宋_GB2312"/>
                <w:spacing w:val="-49"/>
                <w:lang w:eastAsia="zh-CN"/>
              </w:rPr>
              <w:t xml:space="preserve"> </w:t>
            </w:r>
            <w:r>
              <w:rPr>
                <w:rFonts w:hint="eastAsia" w:ascii="仿宋_GB2312" w:hAnsi="仿宋_GB2312" w:eastAsia="仿宋_GB2312" w:cs="仿宋_GB2312"/>
                <w:spacing w:val="-2"/>
                <w:lang w:eastAsia="zh-CN"/>
                <w14:textOutline w14:w="4356" w14:cap="sq" w14:cmpd="sng" w14:algn="ctr">
                  <w14:solidFill>
                    <w14:srgbClr w14:val="000000"/>
                  </w14:solidFill>
                  <w14:prstDash w14:val="solid"/>
                  <w14:bevel/>
                </w14:textOutline>
              </w:rPr>
              <w:t>50%）</w:t>
            </w:r>
          </w:p>
        </w:tc>
      </w:tr>
      <w:tr w14:paraId="6E046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7781" w:type="dxa"/>
            <w:gridSpan w:val="2"/>
          </w:tcPr>
          <w:p w14:paraId="648D673E">
            <w:pPr>
              <w:pStyle w:val="20"/>
              <w:spacing w:before="222" w:line="220" w:lineRule="auto"/>
              <w:ind w:left="3526"/>
              <w:rPr>
                <w:rFonts w:hint="eastAsia" w:ascii="仿宋_GB2312" w:hAnsi="仿宋_GB2312" w:eastAsia="仿宋_GB2312" w:cs="仿宋_GB2312"/>
              </w:rPr>
            </w:pPr>
            <w:r>
              <w:rPr>
                <w:rFonts w:hint="eastAsia" w:ascii="仿宋_GB2312" w:hAnsi="仿宋_GB2312" w:eastAsia="仿宋_GB2312" w:cs="仿宋_GB2312"/>
                <w:spacing w:val="-3"/>
                <w14:textOutline w14:w="4356" w14:cap="sq" w14:cmpd="sng" w14:algn="ctr">
                  <w14:solidFill>
                    <w14:srgbClr w14:val="000000"/>
                  </w14:solidFill>
                  <w14:prstDash w14:val="solid"/>
                  <w14:bevel/>
                </w14:textOutline>
              </w:rPr>
              <w:t>工作内容</w:t>
            </w:r>
          </w:p>
        </w:tc>
        <w:tc>
          <w:tcPr>
            <w:tcW w:w="1556" w:type="dxa"/>
          </w:tcPr>
          <w:p w14:paraId="1FBE991B">
            <w:pPr>
              <w:pStyle w:val="20"/>
              <w:spacing w:before="222" w:line="220" w:lineRule="auto"/>
              <w:ind w:left="329"/>
              <w:rPr>
                <w:rFonts w:hint="eastAsia" w:ascii="仿宋_GB2312" w:hAnsi="仿宋_GB2312" w:eastAsia="仿宋_GB2312" w:cs="仿宋_GB2312"/>
              </w:rPr>
            </w:pPr>
            <w:r>
              <w:rPr>
                <w:rFonts w:hint="eastAsia" w:ascii="仿宋_GB2312" w:hAnsi="仿宋_GB2312" w:eastAsia="仿宋_GB2312" w:cs="仿宋_GB2312"/>
                <w:spacing w:val="-4"/>
                <w14:textOutline w14:w="4356" w14:cap="sq" w14:cmpd="sng" w14:algn="ctr">
                  <w14:solidFill>
                    <w14:srgbClr w14:val="000000"/>
                  </w14:solidFill>
                  <w14:prstDash w14:val="solid"/>
                  <w14:bevel/>
                </w14:textOutline>
              </w:rPr>
              <w:t>最高分</w:t>
            </w:r>
          </w:p>
        </w:tc>
      </w:tr>
      <w:tr w14:paraId="72795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768" w:type="dxa"/>
            <w:vAlign w:val="center"/>
          </w:tcPr>
          <w:p w14:paraId="396F8BAE">
            <w:pPr>
              <w:pStyle w:val="20"/>
              <w:spacing w:before="265" w:line="184" w:lineRule="auto"/>
              <w:ind w:left="351"/>
              <w:rPr>
                <w:rFonts w:hint="eastAsia" w:ascii="仿宋_GB2312" w:hAnsi="仿宋_GB2312" w:eastAsia="仿宋_GB2312" w:cs="仿宋_GB2312"/>
              </w:rPr>
            </w:pPr>
            <w:r>
              <w:rPr>
                <w:rFonts w:hint="eastAsia" w:ascii="仿宋_GB2312" w:hAnsi="仿宋_GB2312" w:eastAsia="仿宋_GB2312" w:cs="仿宋_GB2312"/>
              </w:rPr>
              <w:t>1</w:t>
            </w:r>
          </w:p>
        </w:tc>
        <w:tc>
          <w:tcPr>
            <w:tcW w:w="7013" w:type="dxa"/>
            <w:vAlign w:val="center"/>
          </w:tcPr>
          <w:p w14:paraId="074E6ADB">
            <w:pPr>
              <w:pStyle w:val="20"/>
              <w:spacing w:before="66" w:line="230" w:lineRule="auto"/>
              <w:ind w:left="217" w:right="265" w:firstLine="1"/>
              <w:rPr>
                <w:rFonts w:hint="eastAsia" w:ascii="仿宋_GB2312" w:hAnsi="仿宋_GB2312" w:eastAsia="仿宋_GB2312" w:cs="仿宋_GB2312"/>
                <w:lang w:eastAsia="zh-CN"/>
              </w:rPr>
            </w:pPr>
            <w:r>
              <w:rPr>
                <w:rFonts w:hint="eastAsia" w:ascii="仿宋_GB2312" w:hAnsi="仿宋_GB2312" w:eastAsia="仿宋_GB2312" w:cs="仿宋_GB2312"/>
                <w:spacing w:val="1"/>
                <w:lang w:eastAsia="zh-CN"/>
              </w:rPr>
              <w:t>职业素养和规范（作业前检查工位内防护用品、工具和仪表，</w:t>
            </w:r>
            <w:r>
              <w:rPr>
                <w:rFonts w:hint="eastAsia" w:ascii="仿宋_GB2312" w:hAnsi="仿宋_GB2312" w:eastAsia="仿宋_GB2312" w:cs="仿宋_GB2312"/>
                <w:spacing w:val="15"/>
                <w:lang w:eastAsia="zh-CN"/>
              </w:rPr>
              <w:t xml:space="preserve"> </w:t>
            </w:r>
            <w:r>
              <w:rPr>
                <w:rFonts w:hint="eastAsia" w:ascii="仿宋_GB2312" w:hAnsi="仿宋_GB2312" w:eastAsia="仿宋_GB2312" w:cs="仿宋_GB2312"/>
                <w:spacing w:val="-1"/>
                <w:lang w:eastAsia="zh-CN"/>
              </w:rPr>
              <w:t>场地隔离；团队协作、现场恢复等）</w:t>
            </w:r>
          </w:p>
        </w:tc>
        <w:tc>
          <w:tcPr>
            <w:tcW w:w="1556" w:type="dxa"/>
            <w:vAlign w:val="center"/>
          </w:tcPr>
          <w:p w14:paraId="66660276">
            <w:pPr>
              <w:pStyle w:val="20"/>
              <w:spacing w:before="221" w:line="221" w:lineRule="auto"/>
              <w:ind w:left="511"/>
              <w:rPr>
                <w:rFonts w:hint="eastAsia" w:ascii="仿宋_GB2312" w:hAnsi="仿宋_GB2312" w:eastAsia="仿宋_GB2312" w:cs="仿宋_GB2312"/>
              </w:rPr>
            </w:pPr>
            <w:r>
              <w:rPr>
                <w:rFonts w:hint="eastAsia" w:ascii="仿宋_GB2312" w:hAnsi="仿宋_GB2312" w:eastAsia="仿宋_GB2312" w:cs="仿宋_GB2312"/>
                <w:spacing w:val="-2"/>
                <w:lang w:eastAsia="zh-CN"/>
              </w:rPr>
              <w:t>2</w:t>
            </w:r>
            <w:r>
              <w:rPr>
                <w:rFonts w:hint="eastAsia" w:ascii="仿宋_GB2312" w:hAnsi="仿宋_GB2312" w:eastAsia="仿宋_GB2312" w:cs="仿宋_GB2312"/>
                <w:spacing w:val="-2"/>
              </w:rPr>
              <w:t>0</w:t>
            </w:r>
            <w:r>
              <w:rPr>
                <w:rFonts w:hint="eastAsia" w:ascii="仿宋_GB2312" w:hAnsi="仿宋_GB2312" w:eastAsia="仿宋_GB2312" w:cs="仿宋_GB2312"/>
                <w:spacing w:val="12"/>
              </w:rPr>
              <w:t xml:space="preserve"> </w:t>
            </w:r>
            <w:r>
              <w:rPr>
                <w:rFonts w:hint="eastAsia" w:ascii="仿宋_GB2312" w:hAnsi="仿宋_GB2312" w:eastAsia="仿宋_GB2312" w:cs="仿宋_GB2312"/>
                <w:spacing w:val="-2"/>
              </w:rPr>
              <w:t>分</w:t>
            </w:r>
          </w:p>
        </w:tc>
      </w:tr>
      <w:tr w14:paraId="2BCE07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jc w:val="center"/>
        </w:trPr>
        <w:tc>
          <w:tcPr>
            <w:tcW w:w="768" w:type="dxa"/>
            <w:vAlign w:val="center"/>
          </w:tcPr>
          <w:p w14:paraId="7AE64A67">
            <w:pPr>
              <w:spacing w:before="63" w:line="197" w:lineRule="auto"/>
              <w:ind w:left="328"/>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7013" w:type="dxa"/>
            <w:vAlign w:val="center"/>
          </w:tcPr>
          <w:p w14:paraId="6FC15A89">
            <w:pPr>
              <w:pStyle w:val="20"/>
              <w:spacing w:before="40" w:line="228" w:lineRule="auto"/>
              <w:ind w:left="213" w:right="201" w:firstLine="10"/>
              <w:jc w:val="both"/>
              <w:rPr>
                <w:rFonts w:hint="eastAsia" w:ascii="仿宋_GB2312" w:hAnsi="仿宋_GB2312" w:eastAsia="仿宋_GB2312" w:cs="仿宋_GB2312"/>
                <w:lang w:eastAsia="zh-CN"/>
              </w:rPr>
            </w:pPr>
            <w:r>
              <w:rPr>
                <w:rFonts w:hint="eastAsia" w:ascii="仿宋_GB2312" w:hAnsi="仿宋_GB2312" w:eastAsia="仿宋_GB2312" w:cs="仿宋_GB2312"/>
                <w:spacing w:val="3"/>
                <w:lang w:eastAsia="zh-CN"/>
              </w:rPr>
              <w:t>正确应用工位提供的设备仪器、工具量具，进行新能源汽车的</w:t>
            </w:r>
            <w:r>
              <w:rPr>
                <w:rFonts w:hint="eastAsia" w:ascii="仿宋_GB2312" w:hAnsi="仿宋_GB2312" w:eastAsia="仿宋_GB2312" w:cs="仿宋_GB2312"/>
                <w:spacing w:val="14"/>
                <w:lang w:eastAsia="zh-CN"/>
              </w:rPr>
              <w:t xml:space="preserve"> </w:t>
            </w:r>
            <w:r>
              <w:rPr>
                <w:rFonts w:hint="eastAsia" w:ascii="仿宋_GB2312" w:hAnsi="仿宋_GB2312" w:eastAsia="仿宋_GB2312" w:cs="仿宋_GB2312"/>
                <w:spacing w:val="-8"/>
                <w:lang w:eastAsia="zh-CN"/>
              </w:rPr>
              <w:t>PDI（详见“车辆</w:t>
            </w:r>
            <w:r>
              <w:rPr>
                <w:rFonts w:hint="eastAsia" w:ascii="仿宋_GB2312" w:hAnsi="仿宋_GB2312" w:eastAsia="仿宋_GB2312" w:cs="仿宋_GB2312"/>
                <w:spacing w:val="-52"/>
                <w:lang w:eastAsia="zh-CN"/>
              </w:rPr>
              <w:t xml:space="preserve"> </w:t>
            </w:r>
            <w:r>
              <w:rPr>
                <w:rFonts w:hint="eastAsia" w:ascii="仿宋_GB2312" w:hAnsi="仿宋_GB2312" w:eastAsia="仿宋_GB2312" w:cs="仿宋_GB2312"/>
                <w:spacing w:val="-8"/>
                <w:lang w:eastAsia="zh-CN"/>
              </w:rPr>
              <w:t>PDI 检查任务列表</w:t>
            </w:r>
            <w:r>
              <w:rPr>
                <w:rFonts w:hint="eastAsia" w:ascii="仿宋_GB2312" w:hAnsi="仿宋_GB2312" w:eastAsia="仿宋_GB2312" w:cs="仿宋_GB2312"/>
                <w:spacing w:val="-88"/>
                <w:lang w:eastAsia="zh-CN"/>
              </w:rPr>
              <w:t xml:space="preserve"> </w:t>
            </w:r>
            <w:r>
              <w:rPr>
                <w:rFonts w:hint="eastAsia" w:ascii="仿宋_GB2312" w:hAnsi="仿宋_GB2312" w:eastAsia="仿宋_GB2312" w:cs="仿宋_GB2312"/>
                <w:spacing w:val="-8"/>
                <w:lang w:eastAsia="zh-CN"/>
              </w:rPr>
              <w:t>”</w:t>
            </w:r>
            <w:r>
              <w:rPr>
                <w:rFonts w:hint="eastAsia" w:ascii="仿宋_GB2312" w:hAnsi="仿宋_GB2312" w:eastAsia="仿宋_GB2312" w:cs="仿宋_GB2312"/>
                <w:spacing w:val="-34"/>
                <w:w w:val="54"/>
                <w:lang w:eastAsia="zh-CN"/>
              </w:rPr>
              <w:t>），</w:t>
            </w:r>
            <w:r>
              <w:rPr>
                <w:rFonts w:hint="eastAsia" w:ascii="仿宋_GB2312" w:hAnsi="仿宋_GB2312" w:eastAsia="仿宋_GB2312" w:cs="仿宋_GB2312"/>
                <w:spacing w:val="-8"/>
                <w:lang w:eastAsia="zh-CN"/>
              </w:rPr>
              <w:t>规范</w:t>
            </w:r>
            <w:r>
              <w:rPr>
                <w:rFonts w:hint="eastAsia" w:ascii="仿宋_GB2312" w:hAnsi="仿宋_GB2312" w:eastAsia="仿宋_GB2312" w:cs="仿宋_GB2312"/>
                <w:spacing w:val="-9"/>
                <w:lang w:eastAsia="zh-CN"/>
              </w:rPr>
              <w:t>填写“车辆</w:t>
            </w:r>
            <w:r>
              <w:rPr>
                <w:rFonts w:hint="eastAsia" w:ascii="仿宋_GB2312" w:hAnsi="仿宋_GB2312" w:eastAsia="仿宋_GB2312" w:cs="仿宋_GB2312"/>
                <w:spacing w:val="-53"/>
                <w:lang w:eastAsia="zh-CN"/>
              </w:rPr>
              <w:t xml:space="preserve"> </w:t>
            </w:r>
            <w:r>
              <w:rPr>
                <w:rFonts w:hint="eastAsia" w:ascii="仿宋_GB2312" w:hAnsi="仿宋_GB2312" w:eastAsia="仿宋_GB2312" w:cs="仿宋_GB2312"/>
                <w:spacing w:val="-9"/>
                <w:lang w:eastAsia="zh-CN"/>
              </w:rPr>
              <w:t>PDI（测</w:t>
            </w:r>
            <w:r>
              <w:rPr>
                <w:rFonts w:hint="eastAsia" w:ascii="仿宋_GB2312" w:hAnsi="仿宋_GB2312" w:eastAsia="仿宋_GB2312" w:cs="仿宋_GB2312"/>
                <w:spacing w:val="-4"/>
                <w:lang w:eastAsia="zh-CN"/>
              </w:rPr>
              <w:t>量）结果记录表</w:t>
            </w:r>
            <w:r>
              <w:rPr>
                <w:rFonts w:hint="eastAsia" w:ascii="仿宋_GB2312" w:hAnsi="仿宋_GB2312" w:eastAsia="仿宋_GB2312" w:cs="仿宋_GB2312"/>
                <w:spacing w:val="-89"/>
                <w:lang w:eastAsia="zh-CN"/>
              </w:rPr>
              <w:t xml:space="preserve"> </w:t>
            </w:r>
            <w:r>
              <w:rPr>
                <w:rFonts w:hint="eastAsia" w:ascii="仿宋_GB2312" w:hAnsi="仿宋_GB2312" w:eastAsia="仿宋_GB2312" w:cs="仿宋_GB2312"/>
                <w:spacing w:val="-4"/>
                <w:lang w:eastAsia="zh-CN"/>
              </w:rPr>
              <w:t>”。</w:t>
            </w:r>
          </w:p>
        </w:tc>
        <w:tc>
          <w:tcPr>
            <w:tcW w:w="1556" w:type="dxa"/>
            <w:vAlign w:val="center"/>
          </w:tcPr>
          <w:p w14:paraId="1141FE86">
            <w:pPr>
              <w:pStyle w:val="20"/>
              <w:spacing w:before="78" w:line="221" w:lineRule="auto"/>
              <w:ind w:left="534"/>
              <w:rPr>
                <w:rFonts w:hint="eastAsia" w:ascii="仿宋_GB2312" w:hAnsi="仿宋_GB2312" w:eastAsia="仿宋_GB2312" w:cs="仿宋_GB2312"/>
              </w:rPr>
            </w:pPr>
            <w:r>
              <w:rPr>
                <w:rFonts w:hint="eastAsia" w:ascii="仿宋_GB2312" w:hAnsi="仿宋_GB2312" w:eastAsia="仿宋_GB2312" w:cs="仿宋_GB2312"/>
                <w:spacing w:val="-10"/>
                <w:lang w:eastAsia="zh-CN"/>
              </w:rPr>
              <w:t>1</w:t>
            </w:r>
            <w:r>
              <w:rPr>
                <w:rFonts w:ascii="仿宋_GB2312" w:hAnsi="仿宋_GB2312" w:eastAsia="仿宋_GB2312" w:cs="仿宋_GB2312"/>
                <w:spacing w:val="-10"/>
              </w:rPr>
              <w:t>0</w:t>
            </w:r>
            <w:r>
              <w:rPr>
                <w:rFonts w:hint="eastAsia" w:ascii="仿宋_GB2312" w:hAnsi="仿宋_GB2312" w:eastAsia="仿宋_GB2312" w:cs="仿宋_GB2312"/>
                <w:spacing w:val="13"/>
              </w:rPr>
              <w:t xml:space="preserve"> </w:t>
            </w:r>
            <w:r>
              <w:rPr>
                <w:rFonts w:hint="eastAsia" w:ascii="仿宋_GB2312" w:hAnsi="仿宋_GB2312" w:eastAsia="仿宋_GB2312" w:cs="仿宋_GB2312"/>
                <w:spacing w:val="-10"/>
              </w:rPr>
              <w:t>分</w:t>
            </w:r>
          </w:p>
        </w:tc>
      </w:tr>
      <w:tr w14:paraId="222F8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768" w:type="dxa"/>
          </w:tcPr>
          <w:p w14:paraId="59272D5D">
            <w:pPr>
              <w:spacing w:before="269" w:line="197" w:lineRule="auto"/>
              <w:ind w:left="325"/>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7013" w:type="dxa"/>
          </w:tcPr>
          <w:p w14:paraId="4F041C68">
            <w:pPr>
              <w:pStyle w:val="20"/>
              <w:spacing w:before="68" w:line="230" w:lineRule="auto"/>
              <w:ind w:left="219" w:right="208" w:firstLine="3"/>
              <w:rPr>
                <w:rFonts w:hint="eastAsia" w:ascii="仿宋_GB2312" w:hAnsi="仿宋_GB2312" w:eastAsia="仿宋_GB2312" w:cs="仿宋_GB2312"/>
                <w:lang w:eastAsia="zh-CN"/>
              </w:rPr>
            </w:pPr>
            <w:r>
              <w:rPr>
                <w:rFonts w:hint="eastAsia" w:ascii="仿宋_GB2312" w:hAnsi="仿宋_GB2312" w:eastAsia="仿宋_GB2312" w:cs="仿宋_GB2312"/>
                <w:spacing w:val="3"/>
                <w:lang w:eastAsia="zh-CN"/>
              </w:rPr>
              <w:t>正确应用工位提供的设备仪器、工具量具，确认故障现象、检</w:t>
            </w:r>
            <w:r>
              <w:rPr>
                <w:rFonts w:hint="eastAsia" w:ascii="仿宋_GB2312" w:hAnsi="仿宋_GB2312" w:eastAsia="仿宋_GB2312" w:cs="仿宋_GB2312"/>
                <w:spacing w:val="-1"/>
                <w:lang w:eastAsia="zh-CN"/>
              </w:rPr>
              <w:t>测故障原因、记录诊断过程，确定故障点、结合维修手册向裁判报告故障部位、按照裁判要 求排除故障。</w:t>
            </w:r>
          </w:p>
        </w:tc>
        <w:tc>
          <w:tcPr>
            <w:tcW w:w="1556" w:type="dxa"/>
          </w:tcPr>
          <w:p w14:paraId="6BC29087">
            <w:pPr>
              <w:pStyle w:val="20"/>
              <w:spacing w:before="224" w:line="221" w:lineRule="auto"/>
              <w:ind w:left="516"/>
              <w:rPr>
                <w:rFonts w:hint="eastAsia" w:ascii="仿宋_GB2312" w:hAnsi="仿宋_GB2312" w:eastAsia="仿宋_GB2312" w:cs="仿宋_GB2312"/>
              </w:rPr>
            </w:pPr>
            <w:r>
              <w:rPr>
                <w:rFonts w:hint="eastAsia" w:ascii="仿宋_GB2312" w:hAnsi="仿宋_GB2312" w:eastAsia="仿宋_GB2312" w:cs="仿宋_GB2312"/>
                <w:spacing w:val="-4"/>
              </w:rPr>
              <w:t>70分</w:t>
            </w:r>
          </w:p>
        </w:tc>
      </w:tr>
    </w:tbl>
    <w:p w14:paraId="1470E80C">
      <w:pPr>
        <w:rPr>
          <w:rFonts w:hint="eastAsia" w:ascii="仿宋_GB2312" w:hAnsi="仿宋_GB2312" w:eastAsia="仿宋_GB2312" w:cs="仿宋_GB2312"/>
          <w:sz w:val="24"/>
          <w:szCs w:val="24"/>
          <w14:textOutline w14:w="5791" w14:cap="sq" w14:cmpd="sng" w14:algn="ctr">
            <w14:solidFill>
              <w14:srgbClr w14:val="000000"/>
            </w14:solidFill>
            <w14:prstDash w14:val="solid"/>
            <w14:bevel/>
          </w14:textOutline>
        </w:rPr>
      </w:pPr>
      <w:r>
        <w:rPr>
          <w:rFonts w:hint="eastAsia" w:ascii="仿宋_GB2312" w:hAnsi="仿宋_GB2312" w:eastAsia="仿宋_GB2312" w:cs="仿宋_GB2312"/>
          <w:sz w:val="24"/>
          <w:szCs w:val="24"/>
          <w14:textOutline w14:w="5791" w14:cap="sq" w14:cmpd="sng" w14:algn="ctr">
            <w14:solidFill>
              <w14:srgbClr w14:val="000000"/>
            </w14:solidFill>
            <w14:prstDash w14:val="solid"/>
            <w14:bevel/>
          </w14:textOutline>
        </w:rPr>
        <w:br w:type="page"/>
      </w:r>
    </w:p>
    <w:p w14:paraId="4A82DF70">
      <w:pPr>
        <w:spacing w:before="182" w:line="228"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14:textOutline w14:w="5791" w14:cap="sq" w14:cmpd="sng" w14:algn="ctr">
            <w14:solidFill>
              <w14:srgbClr w14:val="000000"/>
            </w14:solidFill>
            <w14:prstDash w14:val="solid"/>
            <w14:bevel/>
          </w14:textOutline>
        </w:rPr>
        <w:t>PDI</w:t>
      </w:r>
      <w:r>
        <w:rPr>
          <w:rFonts w:hint="eastAsia" w:ascii="仿宋_GB2312" w:hAnsi="仿宋_GB2312" w:eastAsia="仿宋_GB2312" w:cs="仿宋_GB2312"/>
          <w:spacing w:val="-54"/>
          <w:sz w:val="24"/>
          <w:szCs w:val="24"/>
        </w:rPr>
        <w:t xml:space="preserve"> </w:t>
      </w:r>
      <w:r>
        <w:rPr>
          <w:rFonts w:hint="eastAsia" w:ascii="仿宋_GB2312" w:hAnsi="仿宋_GB2312" w:eastAsia="仿宋_GB2312" w:cs="仿宋_GB2312"/>
          <w:spacing w:val="8"/>
          <w:sz w:val="24"/>
          <w:szCs w:val="24"/>
          <w14:textOutline w14:w="5791" w14:cap="sq" w14:cmpd="sng" w14:algn="ctr">
            <w14:solidFill>
              <w14:srgbClr w14:val="000000"/>
            </w14:solidFill>
            <w14:prstDash w14:val="solid"/>
            <w14:bevel/>
          </w14:textOutline>
        </w:rPr>
        <w:t>任务列表</w:t>
      </w:r>
    </w:p>
    <w:p w14:paraId="19C2A5AE">
      <w:pPr>
        <w:spacing w:line="206" w:lineRule="exact"/>
        <w:rPr>
          <w:rFonts w:hint="eastAsia" w:ascii="仿宋_GB2312" w:hAnsi="仿宋_GB2312" w:eastAsia="仿宋_GB2312" w:cs="仿宋_GB2312"/>
          <w:sz w:val="24"/>
          <w:szCs w:val="24"/>
        </w:rPr>
      </w:pPr>
    </w:p>
    <w:tbl>
      <w:tblPr>
        <w:tblStyle w:val="16"/>
        <w:tblW w:w="904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0"/>
        <w:gridCol w:w="8193"/>
      </w:tblGrid>
      <w:tr w14:paraId="31298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850" w:type="dxa"/>
          </w:tcPr>
          <w:p w14:paraId="5B5ABD74">
            <w:pPr>
              <w:spacing w:before="42" w:line="222" w:lineRule="auto"/>
              <w:ind w:left="123"/>
              <w:rPr>
                <w:rFonts w:hint="eastAsia" w:ascii="仿宋_GB2312" w:hAnsi="仿宋_GB2312" w:eastAsia="仿宋_GB2312" w:cs="仿宋_GB2312"/>
                <w:kern w:val="0"/>
                <w:sz w:val="24"/>
                <w:szCs w:val="24"/>
              </w:rPr>
            </w:pPr>
            <w:r>
              <w:rPr>
                <w:rFonts w:hint="eastAsia" w:ascii="仿宋_GB2312" w:hAnsi="仿宋_GB2312" w:eastAsia="仿宋_GB2312" w:cs="仿宋_GB2312"/>
                <w:spacing w:val="-8"/>
                <w:kern w:val="0"/>
                <w:sz w:val="24"/>
                <w:szCs w:val="24"/>
                <w14:textOutline w14:w="4356" w14:cap="sq" w14:cmpd="sng" w14:algn="ctr">
                  <w14:solidFill>
                    <w14:srgbClr w14:val="000000"/>
                  </w14:solidFill>
                  <w14:prstDash w14:val="solid"/>
                  <w14:bevel/>
                </w14:textOutline>
              </w:rPr>
              <w:t>序号</w:t>
            </w:r>
          </w:p>
        </w:tc>
        <w:tc>
          <w:tcPr>
            <w:tcW w:w="8193" w:type="dxa"/>
          </w:tcPr>
          <w:p w14:paraId="432302A7">
            <w:pPr>
              <w:spacing w:before="42" w:line="220" w:lineRule="auto"/>
              <w:ind w:left="3630"/>
              <w:rPr>
                <w:rFonts w:hint="eastAsia" w:ascii="仿宋_GB2312" w:hAnsi="仿宋_GB2312" w:eastAsia="仿宋_GB2312" w:cs="仿宋_GB2312"/>
                <w:kern w:val="0"/>
                <w:sz w:val="24"/>
                <w:szCs w:val="24"/>
              </w:rPr>
            </w:pPr>
            <w:r>
              <w:rPr>
                <w:rFonts w:hint="eastAsia" w:ascii="仿宋_GB2312" w:hAnsi="仿宋_GB2312" w:eastAsia="仿宋_GB2312" w:cs="仿宋_GB2312"/>
                <w:spacing w:val="-5"/>
                <w:kern w:val="0"/>
                <w:sz w:val="24"/>
                <w:szCs w:val="24"/>
                <w14:textOutline w14:w="4356" w14:cap="sq" w14:cmpd="sng" w14:algn="ctr">
                  <w14:solidFill>
                    <w14:srgbClr w14:val="000000"/>
                  </w14:solidFill>
                  <w14:prstDash w14:val="solid"/>
                  <w14:bevel/>
                </w14:textOutline>
              </w:rPr>
              <w:t>作业内容</w:t>
            </w:r>
          </w:p>
        </w:tc>
      </w:tr>
      <w:tr w14:paraId="5F9F6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50" w:type="dxa"/>
          </w:tcPr>
          <w:p w14:paraId="227871A7">
            <w:pPr>
              <w:pStyle w:val="20"/>
              <w:spacing w:before="72" w:line="184" w:lineRule="auto"/>
              <w:ind w:left="389"/>
              <w:rPr>
                <w:rFonts w:hint="eastAsia" w:ascii="仿宋_GB2312" w:hAnsi="仿宋_GB2312" w:eastAsia="仿宋_GB2312" w:cs="仿宋_GB2312"/>
              </w:rPr>
            </w:pPr>
            <w:r>
              <w:rPr>
                <w:rFonts w:hint="eastAsia" w:ascii="仿宋_GB2312" w:hAnsi="仿宋_GB2312" w:eastAsia="仿宋_GB2312" w:cs="仿宋_GB2312"/>
              </w:rPr>
              <w:t>1</w:t>
            </w:r>
          </w:p>
        </w:tc>
        <w:tc>
          <w:tcPr>
            <w:tcW w:w="8193" w:type="dxa"/>
          </w:tcPr>
          <w:p w14:paraId="01ACDCCD">
            <w:pPr>
              <w:pStyle w:val="20"/>
              <w:spacing w:before="36" w:line="220" w:lineRule="auto"/>
              <w:ind w:left="114"/>
              <w:rPr>
                <w:rFonts w:hint="eastAsia" w:ascii="仿宋_GB2312" w:hAnsi="仿宋_GB2312" w:eastAsia="仿宋_GB2312" w:cs="仿宋_GB2312"/>
                <w:lang w:eastAsia="zh-CN"/>
              </w:rPr>
            </w:pPr>
            <w:r>
              <w:rPr>
                <w:rFonts w:hint="eastAsia" w:ascii="仿宋_GB2312" w:hAnsi="仿宋_GB2312" w:eastAsia="仿宋_GB2312" w:cs="仿宋_GB2312"/>
                <w:lang w:eastAsia="zh-CN"/>
              </w:rPr>
              <w:t>检查智能钥匙外观及指示灯情况，用智能钥匙控</w:t>
            </w:r>
            <w:r>
              <w:rPr>
                <w:rFonts w:hint="eastAsia" w:ascii="仿宋_GB2312" w:hAnsi="仿宋_GB2312" w:eastAsia="仿宋_GB2312" w:cs="仿宋_GB2312"/>
                <w:spacing w:val="-1"/>
                <w:lang w:eastAsia="zh-CN"/>
              </w:rPr>
              <w:t>制开、闭车门是否正常。</w:t>
            </w:r>
          </w:p>
        </w:tc>
      </w:tr>
      <w:tr w14:paraId="70A86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jc w:val="center"/>
        </w:trPr>
        <w:tc>
          <w:tcPr>
            <w:tcW w:w="850" w:type="dxa"/>
          </w:tcPr>
          <w:p w14:paraId="009BC455">
            <w:pPr>
              <w:pStyle w:val="20"/>
              <w:spacing w:before="74" w:line="183" w:lineRule="auto"/>
              <w:ind w:left="374"/>
              <w:rPr>
                <w:rFonts w:hint="eastAsia" w:ascii="仿宋_GB2312" w:hAnsi="仿宋_GB2312" w:eastAsia="仿宋_GB2312" w:cs="仿宋_GB2312"/>
              </w:rPr>
            </w:pPr>
            <w:r>
              <w:rPr>
                <w:rFonts w:hint="eastAsia" w:ascii="仿宋_GB2312" w:hAnsi="仿宋_GB2312" w:eastAsia="仿宋_GB2312" w:cs="仿宋_GB2312"/>
              </w:rPr>
              <w:t>2</w:t>
            </w:r>
          </w:p>
        </w:tc>
        <w:tc>
          <w:tcPr>
            <w:tcW w:w="8193" w:type="dxa"/>
          </w:tcPr>
          <w:p w14:paraId="72C7A8EC">
            <w:pPr>
              <w:pStyle w:val="20"/>
              <w:spacing w:before="37" w:line="219" w:lineRule="auto"/>
              <w:ind w:left="113"/>
              <w:rPr>
                <w:rFonts w:hint="eastAsia" w:ascii="仿宋_GB2312" w:hAnsi="仿宋_GB2312" w:eastAsia="仿宋_GB2312" w:cs="仿宋_GB2312"/>
                <w:lang w:eastAsia="zh-CN"/>
              </w:rPr>
            </w:pPr>
            <w:r>
              <w:rPr>
                <w:rFonts w:hint="eastAsia" w:ascii="仿宋_GB2312" w:hAnsi="仿宋_GB2312" w:eastAsia="仿宋_GB2312" w:cs="仿宋_GB2312"/>
                <w:spacing w:val="-1"/>
                <w:lang w:eastAsia="zh-CN"/>
              </w:rPr>
              <w:t>记录车辆型号、车辆识别码、电机型号、SOC、工作电压。</w:t>
            </w:r>
          </w:p>
        </w:tc>
      </w:tr>
      <w:tr w14:paraId="424A68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850" w:type="dxa"/>
          </w:tcPr>
          <w:p w14:paraId="06980E45">
            <w:pPr>
              <w:pStyle w:val="20"/>
              <w:spacing w:before="229" w:line="183" w:lineRule="auto"/>
              <w:ind w:left="376"/>
              <w:rPr>
                <w:rFonts w:hint="eastAsia" w:ascii="仿宋_GB2312" w:hAnsi="仿宋_GB2312" w:eastAsia="仿宋_GB2312" w:cs="仿宋_GB2312"/>
              </w:rPr>
            </w:pPr>
            <w:r>
              <w:rPr>
                <w:rFonts w:hint="eastAsia" w:ascii="仿宋_GB2312" w:hAnsi="仿宋_GB2312" w:eastAsia="仿宋_GB2312" w:cs="仿宋_GB2312"/>
              </w:rPr>
              <w:t>3</w:t>
            </w:r>
          </w:p>
        </w:tc>
        <w:tc>
          <w:tcPr>
            <w:tcW w:w="8193" w:type="dxa"/>
          </w:tcPr>
          <w:p w14:paraId="126831C7">
            <w:pPr>
              <w:pStyle w:val="20"/>
              <w:spacing w:before="39" w:line="229" w:lineRule="auto"/>
              <w:ind w:left="123" w:right="147" w:hanging="9"/>
              <w:rPr>
                <w:rFonts w:hint="eastAsia" w:ascii="仿宋_GB2312" w:hAnsi="仿宋_GB2312" w:eastAsia="仿宋_GB2312" w:cs="仿宋_GB2312"/>
                <w:lang w:eastAsia="zh-CN"/>
              </w:rPr>
            </w:pPr>
            <w:r>
              <w:rPr>
                <w:rFonts w:hint="eastAsia" w:ascii="仿宋_GB2312" w:hAnsi="仿宋_GB2312" w:eastAsia="仿宋_GB2312" w:cs="仿宋_GB2312"/>
                <w:spacing w:val="2"/>
                <w:lang w:eastAsia="zh-CN"/>
              </w:rPr>
              <w:t>检查制动液液位、电机（电控）系统冷却液液位、</w:t>
            </w:r>
            <w:r>
              <w:rPr>
                <w:rFonts w:hint="eastAsia" w:ascii="仿宋_GB2312" w:hAnsi="仿宋_GB2312" w:eastAsia="仿宋_GB2312" w:cs="仿宋_GB2312"/>
                <w:lang w:eastAsia="zh-CN"/>
              </w:rPr>
              <w:t>PTC</w:t>
            </w:r>
            <w:r>
              <w:rPr>
                <w:rFonts w:hint="eastAsia" w:ascii="仿宋_GB2312" w:hAnsi="仿宋_GB2312" w:eastAsia="仿宋_GB2312" w:cs="仿宋_GB2312"/>
                <w:spacing w:val="-49"/>
                <w:lang w:eastAsia="zh-CN"/>
              </w:rPr>
              <w:t xml:space="preserve"> </w:t>
            </w:r>
            <w:r>
              <w:rPr>
                <w:rFonts w:hint="eastAsia" w:ascii="仿宋_GB2312" w:hAnsi="仿宋_GB2312" w:eastAsia="仿宋_GB2312" w:cs="仿宋_GB2312"/>
                <w:spacing w:val="1"/>
                <w:lang w:eastAsia="zh-CN"/>
              </w:rPr>
              <w:t>加热补偿水桶液位、</w:t>
            </w:r>
            <w:r>
              <w:rPr>
                <w:rFonts w:hint="eastAsia" w:ascii="仿宋_GB2312" w:hAnsi="仿宋_GB2312" w:eastAsia="仿宋_GB2312" w:cs="仿宋_GB2312"/>
                <w:lang w:eastAsia="zh-CN"/>
              </w:rPr>
              <w:t xml:space="preserve"> </w:t>
            </w:r>
            <w:r>
              <w:rPr>
                <w:rFonts w:hint="eastAsia" w:ascii="仿宋_GB2312" w:hAnsi="仿宋_GB2312" w:eastAsia="仿宋_GB2312" w:cs="仿宋_GB2312"/>
                <w:spacing w:val="-2"/>
                <w:lang w:eastAsia="zh-CN"/>
              </w:rPr>
              <w:t>雨刮液位是否正常或液体是否变质。</w:t>
            </w:r>
          </w:p>
        </w:tc>
      </w:tr>
      <w:tr w14:paraId="5FD04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850" w:type="dxa"/>
          </w:tcPr>
          <w:p w14:paraId="3B94DBDD">
            <w:pPr>
              <w:pStyle w:val="20"/>
              <w:spacing w:before="78" w:line="183" w:lineRule="auto"/>
              <w:ind w:left="370"/>
              <w:rPr>
                <w:rFonts w:hint="eastAsia" w:ascii="仿宋_GB2312" w:hAnsi="仿宋_GB2312" w:eastAsia="仿宋_GB2312" w:cs="仿宋_GB2312"/>
              </w:rPr>
            </w:pPr>
            <w:r>
              <w:rPr>
                <w:rFonts w:hint="eastAsia" w:ascii="仿宋_GB2312" w:hAnsi="仿宋_GB2312" w:eastAsia="仿宋_GB2312" w:cs="仿宋_GB2312"/>
              </w:rPr>
              <w:t>4</w:t>
            </w:r>
          </w:p>
        </w:tc>
        <w:tc>
          <w:tcPr>
            <w:tcW w:w="8193" w:type="dxa"/>
          </w:tcPr>
          <w:p w14:paraId="58C384F3">
            <w:pPr>
              <w:pStyle w:val="20"/>
              <w:spacing w:before="40" w:line="220" w:lineRule="auto"/>
              <w:ind w:left="114"/>
              <w:rPr>
                <w:rFonts w:hint="eastAsia" w:ascii="仿宋_GB2312" w:hAnsi="仿宋_GB2312" w:eastAsia="仿宋_GB2312" w:cs="仿宋_GB2312"/>
                <w:lang w:eastAsia="zh-CN"/>
              </w:rPr>
            </w:pPr>
            <w:r>
              <w:rPr>
                <w:rFonts w:hint="eastAsia" w:ascii="仿宋_GB2312" w:hAnsi="仿宋_GB2312" w:eastAsia="仿宋_GB2312" w:cs="仿宋_GB2312"/>
                <w:lang w:eastAsia="zh-CN"/>
              </w:rPr>
              <w:t>检查前舱热管理系统各软管的安装、连接情况及</w:t>
            </w:r>
            <w:r>
              <w:rPr>
                <w:rFonts w:hint="eastAsia" w:ascii="仿宋_GB2312" w:hAnsi="仿宋_GB2312" w:eastAsia="仿宋_GB2312" w:cs="仿宋_GB2312"/>
                <w:spacing w:val="-1"/>
                <w:lang w:eastAsia="zh-CN"/>
              </w:rPr>
              <w:t>有无裂纹、损伤和泄漏。</w:t>
            </w:r>
          </w:p>
        </w:tc>
      </w:tr>
      <w:tr w14:paraId="771B1A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50" w:type="dxa"/>
          </w:tcPr>
          <w:p w14:paraId="5502462B">
            <w:pPr>
              <w:pStyle w:val="20"/>
              <w:spacing w:before="77" w:line="182" w:lineRule="auto"/>
              <w:ind w:left="376"/>
              <w:rPr>
                <w:rFonts w:hint="eastAsia" w:ascii="仿宋_GB2312" w:hAnsi="仿宋_GB2312" w:eastAsia="仿宋_GB2312" w:cs="仿宋_GB2312"/>
              </w:rPr>
            </w:pPr>
            <w:r>
              <w:rPr>
                <w:rFonts w:hint="eastAsia" w:ascii="仿宋_GB2312" w:hAnsi="仿宋_GB2312" w:eastAsia="仿宋_GB2312" w:cs="仿宋_GB2312"/>
              </w:rPr>
              <w:t>5</w:t>
            </w:r>
          </w:p>
        </w:tc>
        <w:tc>
          <w:tcPr>
            <w:tcW w:w="8193" w:type="dxa"/>
          </w:tcPr>
          <w:p w14:paraId="534AC958">
            <w:pPr>
              <w:pStyle w:val="20"/>
              <w:spacing w:before="38" w:line="220" w:lineRule="auto"/>
              <w:ind w:left="114"/>
              <w:rPr>
                <w:rFonts w:hint="eastAsia" w:ascii="仿宋_GB2312" w:hAnsi="仿宋_GB2312" w:eastAsia="仿宋_GB2312" w:cs="仿宋_GB2312"/>
                <w:lang w:eastAsia="zh-CN"/>
              </w:rPr>
            </w:pPr>
            <w:r>
              <w:rPr>
                <w:rFonts w:hint="eastAsia" w:ascii="仿宋_GB2312" w:hAnsi="仿宋_GB2312" w:eastAsia="仿宋_GB2312" w:cs="仿宋_GB2312"/>
                <w:spacing w:val="-1"/>
                <w:lang w:eastAsia="zh-CN"/>
              </w:rPr>
              <w:t>检查充配电总成外观是否变形。</w:t>
            </w:r>
          </w:p>
        </w:tc>
      </w:tr>
      <w:tr w14:paraId="27E96C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50" w:type="dxa"/>
          </w:tcPr>
          <w:p w14:paraId="65C5F957">
            <w:pPr>
              <w:pStyle w:val="20"/>
              <w:spacing w:before="76" w:line="183" w:lineRule="auto"/>
              <w:ind w:left="373"/>
              <w:rPr>
                <w:rFonts w:hint="eastAsia" w:ascii="仿宋_GB2312" w:hAnsi="仿宋_GB2312" w:eastAsia="仿宋_GB2312" w:cs="仿宋_GB2312"/>
              </w:rPr>
            </w:pPr>
            <w:r>
              <w:rPr>
                <w:rFonts w:hint="eastAsia" w:ascii="仿宋_GB2312" w:hAnsi="仿宋_GB2312" w:eastAsia="仿宋_GB2312" w:cs="仿宋_GB2312"/>
              </w:rPr>
              <w:t>6</w:t>
            </w:r>
          </w:p>
        </w:tc>
        <w:tc>
          <w:tcPr>
            <w:tcW w:w="8193" w:type="dxa"/>
          </w:tcPr>
          <w:p w14:paraId="76FB75F7">
            <w:pPr>
              <w:pStyle w:val="20"/>
              <w:spacing w:before="38" w:line="220" w:lineRule="auto"/>
              <w:ind w:left="114"/>
              <w:rPr>
                <w:rFonts w:hint="eastAsia" w:ascii="仿宋_GB2312" w:hAnsi="仿宋_GB2312" w:eastAsia="仿宋_GB2312" w:cs="仿宋_GB2312"/>
                <w:lang w:eastAsia="zh-CN"/>
              </w:rPr>
            </w:pPr>
            <w:r>
              <w:rPr>
                <w:rFonts w:hint="eastAsia" w:ascii="仿宋_GB2312" w:hAnsi="仿宋_GB2312" w:eastAsia="仿宋_GB2312" w:cs="仿宋_GB2312"/>
                <w:spacing w:val="-1"/>
                <w:lang w:eastAsia="zh-CN"/>
              </w:rPr>
              <w:t>检查前舱各高低压线束或插接件是否松动。</w:t>
            </w:r>
          </w:p>
        </w:tc>
      </w:tr>
      <w:tr w14:paraId="0EE8D9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850" w:type="dxa"/>
          </w:tcPr>
          <w:p w14:paraId="40E6214E">
            <w:pPr>
              <w:pStyle w:val="20"/>
              <w:spacing w:before="88" w:line="187" w:lineRule="auto"/>
              <w:ind w:left="382"/>
              <w:rPr>
                <w:rFonts w:hint="eastAsia" w:ascii="仿宋_GB2312" w:hAnsi="仿宋_GB2312" w:eastAsia="仿宋_GB2312" w:cs="仿宋_GB2312"/>
              </w:rPr>
            </w:pPr>
            <w:r>
              <w:rPr>
                <w:rFonts w:hint="eastAsia" w:ascii="仿宋_GB2312" w:hAnsi="仿宋_GB2312" w:eastAsia="仿宋_GB2312" w:cs="仿宋_GB2312"/>
              </w:rPr>
              <w:t>7</w:t>
            </w:r>
          </w:p>
        </w:tc>
        <w:tc>
          <w:tcPr>
            <w:tcW w:w="8193" w:type="dxa"/>
          </w:tcPr>
          <w:p w14:paraId="579875B7">
            <w:pPr>
              <w:pStyle w:val="20"/>
              <w:spacing w:before="39" w:line="219" w:lineRule="auto"/>
              <w:ind w:left="115"/>
              <w:rPr>
                <w:rFonts w:hint="eastAsia" w:ascii="仿宋_GB2312" w:hAnsi="仿宋_GB2312" w:eastAsia="仿宋_GB2312" w:cs="仿宋_GB2312"/>
                <w:lang w:eastAsia="zh-CN"/>
              </w:rPr>
            </w:pPr>
            <w:r>
              <w:rPr>
                <w:rFonts w:hint="eastAsia" w:ascii="仿宋_GB2312" w:hAnsi="仿宋_GB2312" w:eastAsia="仿宋_GB2312" w:cs="仿宋_GB2312"/>
                <w:spacing w:val="-5"/>
                <w:lang w:eastAsia="zh-CN"/>
              </w:rPr>
              <w:t>测量并记录低压电源系统电压（静态、上电后）。</w:t>
            </w:r>
          </w:p>
        </w:tc>
      </w:tr>
      <w:tr w14:paraId="2DF9C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3" w:hRule="atLeast"/>
          <w:jc w:val="center"/>
        </w:trPr>
        <w:tc>
          <w:tcPr>
            <w:tcW w:w="850" w:type="dxa"/>
          </w:tcPr>
          <w:p w14:paraId="15DF87AF">
            <w:pPr>
              <w:pStyle w:val="20"/>
              <w:spacing w:before="233" w:line="183" w:lineRule="auto"/>
              <w:ind w:left="372"/>
              <w:rPr>
                <w:rFonts w:hint="eastAsia" w:ascii="仿宋_GB2312" w:hAnsi="仿宋_GB2312" w:eastAsia="仿宋_GB2312" w:cs="仿宋_GB2312"/>
              </w:rPr>
            </w:pPr>
            <w:r>
              <w:rPr>
                <w:rFonts w:hint="eastAsia" w:ascii="仿宋_GB2312" w:hAnsi="仿宋_GB2312" w:eastAsia="仿宋_GB2312" w:cs="仿宋_GB2312"/>
              </w:rPr>
              <w:t>8</w:t>
            </w:r>
          </w:p>
        </w:tc>
        <w:tc>
          <w:tcPr>
            <w:tcW w:w="8193" w:type="dxa"/>
          </w:tcPr>
          <w:p w14:paraId="3B65083C">
            <w:pPr>
              <w:pStyle w:val="20"/>
              <w:spacing w:before="39" w:line="230" w:lineRule="auto"/>
              <w:ind w:left="114" w:right="105"/>
              <w:rPr>
                <w:rFonts w:hint="eastAsia" w:ascii="仿宋_GB2312" w:hAnsi="仿宋_GB2312" w:eastAsia="仿宋_GB2312" w:cs="仿宋_GB2312"/>
                <w:lang w:eastAsia="zh-CN"/>
              </w:rPr>
            </w:pPr>
            <w:r>
              <w:rPr>
                <w:rFonts w:hint="eastAsia" w:ascii="仿宋_GB2312" w:hAnsi="仿宋_GB2312" w:eastAsia="仿宋_GB2312" w:cs="仿宋_GB2312"/>
                <w:spacing w:val="1"/>
                <w:lang w:eastAsia="zh-CN"/>
              </w:rPr>
              <w:t>检查充电系统接地线束紧固情况；充电口是否有异物、烧蚀等；充电座机械</w:t>
            </w:r>
            <w:r>
              <w:rPr>
                <w:rFonts w:hint="eastAsia" w:ascii="仿宋_GB2312" w:hAnsi="仿宋_GB2312" w:eastAsia="仿宋_GB2312" w:cs="仿宋_GB2312"/>
                <w:spacing w:val="14"/>
                <w:lang w:eastAsia="zh-CN"/>
              </w:rPr>
              <w:t xml:space="preserve"> </w:t>
            </w:r>
            <w:r>
              <w:rPr>
                <w:rFonts w:hint="eastAsia" w:ascii="仿宋_GB2312" w:hAnsi="仿宋_GB2312" w:eastAsia="仿宋_GB2312" w:cs="仿宋_GB2312"/>
                <w:spacing w:val="-1"/>
                <w:lang w:eastAsia="zh-CN"/>
              </w:rPr>
              <w:t>锁功能是否正常；车辆能否正常充电及充电时仪表显示是否正常。</w:t>
            </w:r>
          </w:p>
        </w:tc>
      </w:tr>
    </w:tbl>
    <w:p w14:paraId="61594076">
      <w:pPr>
        <w:pStyle w:val="6"/>
        <w:rPr>
          <w:rFonts w:hint="eastAsia" w:ascii="仿宋_GB2312" w:hAnsi="仿宋_GB2312" w:eastAsia="仿宋_GB2312" w:cs="仿宋_GB2312"/>
          <w:sz w:val="24"/>
          <w:szCs w:val="24"/>
          <w:lang w:eastAsia="zh-CN"/>
        </w:rPr>
      </w:pPr>
    </w:p>
    <w:p w14:paraId="380AE7A7">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p>
    <w:p w14:paraId="1565C404">
      <w:pPr>
        <w:tabs>
          <w:tab w:val="left" w:pos="3402"/>
        </w:tabs>
        <w:spacing w:line="28" w:lineRule="exact"/>
        <w:rPr>
          <w:rFonts w:hint="eastAsia" w:ascii="仿宋_GB2312" w:hAnsi="仿宋_GB2312" w:eastAsia="仿宋_GB2312" w:cs="仿宋_GB2312"/>
          <w:sz w:val="24"/>
          <w:szCs w:val="24"/>
        </w:rPr>
      </w:pPr>
    </w:p>
    <w:tbl>
      <w:tblPr>
        <w:tblStyle w:val="16"/>
        <w:tblpPr w:leftFromText="180" w:rightFromText="180" w:vertAnchor="page" w:horzAnchor="margin" w:tblpXSpec="center" w:tblpY="1678"/>
        <w:tblW w:w="5000" w:type="pct"/>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autofit"/>
        <w:tblCellMar>
          <w:top w:w="0" w:type="dxa"/>
          <w:left w:w="0" w:type="dxa"/>
          <w:bottom w:w="0" w:type="dxa"/>
          <w:right w:w="0" w:type="dxa"/>
        </w:tblCellMar>
      </w:tblPr>
      <w:tblGrid>
        <w:gridCol w:w="8312"/>
      </w:tblGrid>
      <w:tr w14:paraId="167CF2E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860" w:hRule="atLeast"/>
        </w:trPr>
        <w:tc>
          <w:tcPr>
            <w:tcW w:w="5000" w:type="pct"/>
          </w:tcPr>
          <w:p w14:paraId="7C1D98D4">
            <w:pPr>
              <w:pStyle w:val="20"/>
              <w:spacing w:before="271" w:line="224" w:lineRule="auto"/>
              <w:ind w:left="3261"/>
              <w:rPr>
                <w:rFonts w:hint="eastAsia" w:ascii="仿宋_GB2312" w:hAnsi="仿宋_GB2312" w:eastAsia="仿宋_GB2312" w:cs="仿宋_GB2312"/>
                <w:sz w:val="30"/>
                <w:szCs w:val="30"/>
              </w:rPr>
            </w:pPr>
            <w:r>
              <w:rPr>
                <w:rFonts w:hint="eastAsia" w:ascii="仿宋_GB2312" w:hAnsi="仿宋_GB2312" w:eastAsia="仿宋_GB2312" w:cs="仿宋_GB2312"/>
                <w:spacing w:val="7"/>
                <w:sz w:val="30"/>
                <w:szCs w:val="30"/>
              </w:rPr>
              <w:t>检测报告单</w:t>
            </w:r>
          </w:p>
        </w:tc>
      </w:tr>
    </w:tbl>
    <w:p w14:paraId="527E70F0">
      <w:pPr>
        <w:pStyle w:val="6"/>
        <w:spacing w:line="322" w:lineRule="auto"/>
        <w:rPr>
          <w:rFonts w:hint="eastAsia" w:ascii="仿宋_GB2312" w:hAnsi="宋体" w:eastAsia="仿宋_GB2312" w:cs="仿宋_GB2312"/>
          <w:sz w:val="24"/>
          <w:szCs w:val="24"/>
        </w:rPr>
      </w:pPr>
    </w:p>
    <w:p w14:paraId="57BF80CD">
      <w:pPr>
        <w:spacing w:before="78" w:line="220" w:lineRule="auto"/>
        <w:ind w:left="154"/>
        <w:outlineLvl w:val="2"/>
        <w:rPr>
          <w:rFonts w:hint="eastAsia" w:ascii="仿宋_GB2312" w:hAnsi="宋体" w:eastAsia="仿宋_GB2312" w:cs="仿宋_GB2312"/>
          <w:color w:val="FF0000"/>
          <w:sz w:val="24"/>
          <w:szCs w:val="24"/>
        </w:rPr>
      </w:pPr>
      <w:bookmarkStart w:id="93" w:name="_Toc15810"/>
      <w:r>
        <w:rPr>
          <w:rFonts w:hint="eastAsia" w:ascii="仿宋_GB2312" w:hAnsi="宋体" w:eastAsia="仿宋_GB2312" w:cs="仿宋_GB2312"/>
          <w:sz w:val="24"/>
          <w:szCs w:val="24"/>
          <w14:textOutline w14:w="4356" w14:cap="sq" w14:cmpd="sng" w14:algn="ctr">
            <w14:solidFill>
              <w14:srgbClr w14:val="000000"/>
            </w14:solidFill>
            <w14:prstDash w14:val="solid"/>
            <w14:bevel/>
          </w14:textOutline>
        </w:rPr>
        <w:t>1、车辆</w:t>
      </w:r>
      <w:r>
        <w:rPr>
          <w:rFonts w:hint="eastAsia" w:ascii="仿宋_GB2312" w:hAnsi="宋体" w:eastAsia="仿宋_GB2312" w:cs="仿宋_GB2312"/>
          <w:spacing w:val="-52"/>
          <w:sz w:val="24"/>
          <w:szCs w:val="24"/>
        </w:rPr>
        <w:t xml:space="preserve"> </w:t>
      </w:r>
      <w:r>
        <w:rPr>
          <w:rFonts w:hint="eastAsia" w:ascii="仿宋_GB2312" w:hAnsi="宋体" w:eastAsia="仿宋_GB2312" w:cs="仿宋_GB2312"/>
          <w:sz w:val="24"/>
          <w:szCs w:val="24"/>
          <w14:textOutline w14:w="4356" w14:cap="sq" w14:cmpd="sng" w14:algn="ctr">
            <w14:solidFill>
              <w14:srgbClr w14:val="000000"/>
            </w14:solidFill>
            <w14:prstDash w14:val="solid"/>
            <w14:bevel/>
          </w14:textOutline>
        </w:rPr>
        <w:t>PDI（测量）结果记录表（只记录指定项目</w:t>
      </w:r>
      <w:r>
        <w:rPr>
          <w:rFonts w:hint="eastAsia" w:ascii="仿宋_GB2312" w:hAnsi="宋体" w:eastAsia="仿宋_GB2312" w:cs="仿宋_GB2312"/>
          <w:spacing w:val="-1"/>
          <w:sz w:val="24"/>
          <w:szCs w:val="24"/>
          <w14:textOutline w14:w="4356" w14:cap="sq" w14:cmpd="sng" w14:algn="ctr">
            <w14:solidFill>
              <w14:srgbClr w14:val="000000"/>
            </w14:solidFill>
            <w14:prstDash w14:val="solid"/>
            <w14:bevel/>
          </w14:textOutline>
        </w:rPr>
        <w:t>数据及异常数据）</w:t>
      </w:r>
      <w:bookmarkEnd w:id="93"/>
    </w:p>
    <w:p w14:paraId="68BD1B9A">
      <w:pPr>
        <w:spacing w:line="111" w:lineRule="exact"/>
        <w:rPr>
          <w:rFonts w:hint="eastAsia" w:ascii="仿宋_GB2312" w:hAnsi="宋体" w:eastAsia="仿宋_GB2312" w:cs="仿宋_GB2312"/>
          <w:sz w:val="24"/>
          <w:szCs w:val="24"/>
        </w:rPr>
      </w:pPr>
    </w:p>
    <w:tbl>
      <w:tblPr>
        <w:tblStyle w:val="16"/>
        <w:tblW w:w="491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896"/>
        <w:gridCol w:w="3207"/>
        <w:gridCol w:w="2061"/>
      </w:tblGrid>
      <w:tr w14:paraId="5CF6C3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774" w:type="pct"/>
          </w:tcPr>
          <w:p w14:paraId="39D8C8B3">
            <w:pPr>
              <w:pStyle w:val="20"/>
              <w:spacing w:before="36" w:line="221" w:lineRule="auto"/>
              <w:ind w:left="282"/>
              <w:rPr>
                <w:rFonts w:hint="eastAsia" w:ascii="仿宋_GB2312" w:eastAsia="仿宋_GB2312" w:cs="仿宋_GB2312"/>
              </w:rPr>
            </w:pPr>
            <w:r>
              <w:rPr>
                <w:rFonts w:hint="eastAsia" w:ascii="仿宋_GB2312" w:eastAsia="仿宋_GB2312" w:cs="仿宋_GB2312"/>
                <w:spacing w:val="-1"/>
                <w14:textOutline w14:w="4013" w14:cap="sq" w14:cmpd="sng" w14:algn="ctr">
                  <w14:solidFill>
                    <w14:srgbClr w14:val="000000"/>
                  </w14:solidFill>
                  <w14:prstDash w14:val="solid"/>
                  <w14:bevel/>
                </w14:textOutline>
              </w:rPr>
              <w:t>检测（检查）项目</w:t>
            </w:r>
          </w:p>
        </w:tc>
        <w:tc>
          <w:tcPr>
            <w:tcW w:w="1964" w:type="pct"/>
          </w:tcPr>
          <w:p w14:paraId="4C984821">
            <w:pPr>
              <w:pStyle w:val="20"/>
              <w:spacing w:before="36" w:line="221" w:lineRule="auto"/>
              <w:ind w:left="312"/>
              <w:rPr>
                <w:rFonts w:hint="eastAsia" w:ascii="仿宋_GB2312" w:eastAsia="仿宋_GB2312" w:cs="仿宋_GB2312"/>
                <w:lang w:eastAsia="zh-CN"/>
              </w:rPr>
            </w:pPr>
            <w:r>
              <w:rPr>
                <w:rFonts w:hint="eastAsia" w:ascii="仿宋_GB2312" w:eastAsia="仿宋_GB2312" w:cs="仿宋_GB2312"/>
                <w:spacing w:val="-1"/>
                <w:lang w:eastAsia="zh-CN"/>
                <w14:textOutline w14:w="4013" w14:cap="sq" w14:cmpd="sng" w14:algn="ctr">
                  <w14:solidFill>
                    <w14:srgbClr w14:val="000000"/>
                  </w14:solidFill>
                  <w14:prstDash w14:val="solid"/>
                  <w14:bevel/>
                </w14:textOutline>
              </w:rPr>
              <w:t>检测（数据记录）结果</w:t>
            </w:r>
          </w:p>
        </w:tc>
        <w:tc>
          <w:tcPr>
            <w:tcW w:w="1262" w:type="pct"/>
          </w:tcPr>
          <w:p w14:paraId="0913F04F">
            <w:pPr>
              <w:pStyle w:val="20"/>
              <w:spacing w:before="36" w:line="221" w:lineRule="auto"/>
              <w:ind w:left="481"/>
              <w:rPr>
                <w:rFonts w:hint="eastAsia" w:ascii="仿宋_GB2312" w:eastAsia="仿宋_GB2312" w:cs="仿宋_GB2312"/>
              </w:rPr>
            </w:pPr>
            <w:r>
              <w:rPr>
                <w:rFonts w:hint="eastAsia" w:ascii="仿宋_GB2312" w:eastAsia="仿宋_GB2312" w:cs="仿宋_GB2312"/>
                <w:lang w:eastAsia="zh-CN"/>
              </w:rPr>
              <w:t>备注</w:t>
            </w:r>
          </w:p>
        </w:tc>
      </w:tr>
      <w:tr w14:paraId="2F362E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774" w:type="pct"/>
          </w:tcPr>
          <w:p w14:paraId="01C11178">
            <w:pPr>
              <w:rPr>
                <w:rFonts w:hint="eastAsia" w:ascii="仿宋_GB2312" w:hAnsi="宋体" w:eastAsia="仿宋_GB2312" w:cs="仿宋_GB2312"/>
                <w:kern w:val="0"/>
                <w:sz w:val="24"/>
                <w:szCs w:val="24"/>
              </w:rPr>
            </w:pPr>
          </w:p>
        </w:tc>
        <w:tc>
          <w:tcPr>
            <w:tcW w:w="1964" w:type="pct"/>
          </w:tcPr>
          <w:p w14:paraId="66C7E535">
            <w:pPr>
              <w:rPr>
                <w:rFonts w:hint="eastAsia" w:ascii="仿宋_GB2312" w:hAnsi="宋体" w:eastAsia="仿宋_GB2312" w:cs="仿宋_GB2312"/>
                <w:kern w:val="0"/>
                <w:sz w:val="24"/>
                <w:szCs w:val="24"/>
              </w:rPr>
            </w:pPr>
          </w:p>
        </w:tc>
        <w:tc>
          <w:tcPr>
            <w:tcW w:w="1262" w:type="pct"/>
          </w:tcPr>
          <w:p w14:paraId="1DB12070">
            <w:pPr>
              <w:rPr>
                <w:rFonts w:hint="eastAsia" w:ascii="仿宋_GB2312" w:hAnsi="宋体" w:eastAsia="仿宋_GB2312" w:cs="仿宋_GB2312"/>
                <w:kern w:val="0"/>
                <w:sz w:val="24"/>
                <w:szCs w:val="24"/>
              </w:rPr>
            </w:pPr>
          </w:p>
        </w:tc>
      </w:tr>
      <w:tr w14:paraId="6045FF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774" w:type="pct"/>
          </w:tcPr>
          <w:p w14:paraId="4CA948FC">
            <w:pPr>
              <w:rPr>
                <w:rFonts w:hint="eastAsia" w:ascii="仿宋_GB2312" w:hAnsi="宋体" w:eastAsia="仿宋_GB2312" w:cs="仿宋_GB2312"/>
                <w:kern w:val="0"/>
                <w:sz w:val="24"/>
                <w:szCs w:val="24"/>
              </w:rPr>
            </w:pPr>
          </w:p>
        </w:tc>
        <w:tc>
          <w:tcPr>
            <w:tcW w:w="1964" w:type="pct"/>
          </w:tcPr>
          <w:p w14:paraId="1561D6D9">
            <w:pPr>
              <w:rPr>
                <w:rFonts w:hint="eastAsia" w:ascii="仿宋_GB2312" w:hAnsi="宋体" w:eastAsia="仿宋_GB2312" w:cs="仿宋_GB2312"/>
                <w:kern w:val="0"/>
                <w:sz w:val="24"/>
                <w:szCs w:val="24"/>
              </w:rPr>
            </w:pPr>
          </w:p>
        </w:tc>
        <w:tc>
          <w:tcPr>
            <w:tcW w:w="1262" w:type="pct"/>
          </w:tcPr>
          <w:p w14:paraId="657BFA80">
            <w:pPr>
              <w:rPr>
                <w:rFonts w:hint="eastAsia" w:ascii="仿宋_GB2312" w:hAnsi="宋体" w:eastAsia="仿宋_GB2312" w:cs="仿宋_GB2312"/>
                <w:kern w:val="0"/>
                <w:sz w:val="24"/>
                <w:szCs w:val="24"/>
              </w:rPr>
            </w:pPr>
          </w:p>
        </w:tc>
      </w:tr>
      <w:tr w14:paraId="2911A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74" w:type="pct"/>
          </w:tcPr>
          <w:p w14:paraId="78596DC6">
            <w:pPr>
              <w:rPr>
                <w:rFonts w:hint="eastAsia" w:ascii="仿宋_GB2312" w:hAnsi="宋体" w:eastAsia="仿宋_GB2312" w:cs="仿宋_GB2312"/>
                <w:kern w:val="0"/>
                <w:sz w:val="24"/>
                <w:szCs w:val="24"/>
              </w:rPr>
            </w:pPr>
          </w:p>
        </w:tc>
        <w:tc>
          <w:tcPr>
            <w:tcW w:w="1964" w:type="pct"/>
          </w:tcPr>
          <w:p w14:paraId="19D54E80">
            <w:pPr>
              <w:rPr>
                <w:rFonts w:hint="eastAsia" w:ascii="仿宋_GB2312" w:hAnsi="宋体" w:eastAsia="仿宋_GB2312" w:cs="仿宋_GB2312"/>
                <w:kern w:val="0"/>
                <w:sz w:val="24"/>
                <w:szCs w:val="24"/>
              </w:rPr>
            </w:pPr>
          </w:p>
        </w:tc>
        <w:tc>
          <w:tcPr>
            <w:tcW w:w="1262" w:type="pct"/>
          </w:tcPr>
          <w:p w14:paraId="27314ADC">
            <w:pPr>
              <w:rPr>
                <w:rFonts w:hint="eastAsia" w:ascii="仿宋_GB2312" w:hAnsi="宋体" w:eastAsia="仿宋_GB2312" w:cs="仿宋_GB2312"/>
                <w:kern w:val="0"/>
                <w:sz w:val="24"/>
                <w:szCs w:val="24"/>
              </w:rPr>
            </w:pPr>
          </w:p>
        </w:tc>
      </w:tr>
      <w:tr w14:paraId="159E3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74" w:type="pct"/>
          </w:tcPr>
          <w:p w14:paraId="24A34E9D">
            <w:pPr>
              <w:rPr>
                <w:rFonts w:hint="eastAsia" w:ascii="仿宋_GB2312" w:hAnsi="宋体" w:eastAsia="仿宋_GB2312" w:cs="仿宋_GB2312"/>
                <w:kern w:val="0"/>
                <w:sz w:val="24"/>
                <w:szCs w:val="24"/>
              </w:rPr>
            </w:pPr>
          </w:p>
        </w:tc>
        <w:tc>
          <w:tcPr>
            <w:tcW w:w="1964" w:type="pct"/>
          </w:tcPr>
          <w:p w14:paraId="280B9695">
            <w:pPr>
              <w:rPr>
                <w:rFonts w:hint="eastAsia" w:ascii="仿宋_GB2312" w:hAnsi="宋体" w:eastAsia="仿宋_GB2312" w:cs="仿宋_GB2312"/>
                <w:kern w:val="0"/>
                <w:sz w:val="24"/>
                <w:szCs w:val="24"/>
              </w:rPr>
            </w:pPr>
          </w:p>
        </w:tc>
        <w:tc>
          <w:tcPr>
            <w:tcW w:w="1262" w:type="pct"/>
          </w:tcPr>
          <w:p w14:paraId="5F9C98C9">
            <w:pPr>
              <w:rPr>
                <w:rFonts w:hint="eastAsia" w:ascii="仿宋_GB2312" w:hAnsi="宋体" w:eastAsia="仿宋_GB2312" w:cs="仿宋_GB2312"/>
                <w:kern w:val="0"/>
                <w:sz w:val="24"/>
                <w:szCs w:val="24"/>
              </w:rPr>
            </w:pPr>
          </w:p>
        </w:tc>
      </w:tr>
      <w:tr w14:paraId="63FE6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74" w:type="pct"/>
          </w:tcPr>
          <w:p w14:paraId="726BC694">
            <w:pPr>
              <w:rPr>
                <w:rFonts w:hint="eastAsia" w:ascii="仿宋_GB2312" w:hAnsi="宋体" w:eastAsia="仿宋_GB2312" w:cs="仿宋_GB2312"/>
                <w:kern w:val="0"/>
                <w:sz w:val="24"/>
                <w:szCs w:val="24"/>
              </w:rPr>
            </w:pPr>
          </w:p>
        </w:tc>
        <w:tc>
          <w:tcPr>
            <w:tcW w:w="1964" w:type="pct"/>
          </w:tcPr>
          <w:p w14:paraId="2BAE238A">
            <w:pPr>
              <w:rPr>
                <w:rFonts w:hint="eastAsia" w:ascii="仿宋_GB2312" w:hAnsi="宋体" w:eastAsia="仿宋_GB2312" w:cs="仿宋_GB2312"/>
                <w:kern w:val="0"/>
                <w:sz w:val="24"/>
                <w:szCs w:val="24"/>
              </w:rPr>
            </w:pPr>
          </w:p>
        </w:tc>
        <w:tc>
          <w:tcPr>
            <w:tcW w:w="1262" w:type="pct"/>
          </w:tcPr>
          <w:p w14:paraId="52961DB4">
            <w:pPr>
              <w:rPr>
                <w:rFonts w:hint="eastAsia" w:ascii="仿宋_GB2312" w:hAnsi="宋体" w:eastAsia="仿宋_GB2312" w:cs="仿宋_GB2312"/>
                <w:kern w:val="0"/>
                <w:sz w:val="24"/>
                <w:szCs w:val="24"/>
              </w:rPr>
            </w:pPr>
          </w:p>
        </w:tc>
      </w:tr>
      <w:tr w14:paraId="1D951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774" w:type="pct"/>
          </w:tcPr>
          <w:p w14:paraId="30F12BED">
            <w:pPr>
              <w:rPr>
                <w:rFonts w:hint="eastAsia" w:ascii="仿宋_GB2312" w:hAnsi="宋体" w:eastAsia="仿宋_GB2312" w:cs="仿宋_GB2312"/>
                <w:kern w:val="0"/>
                <w:sz w:val="24"/>
                <w:szCs w:val="24"/>
              </w:rPr>
            </w:pPr>
          </w:p>
        </w:tc>
        <w:tc>
          <w:tcPr>
            <w:tcW w:w="1964" w:type="pct"/>
          </w:tcPr>
          <w:p w14:paraId="2F2EE470">
            <w:pPr>
              <w:rPr>
                <w:rFonts w:hint="eastAsia" w:ascii="仿宋_GB2312" w:hAnsi="宋体" w:eastAsia="仿宋_GB2312" w:cs="仿宋_GB2312"/>
                <w:kern w:val="0"/>
                <w:sz w:val="24"/>
                <w:szCs w:val="24"/>
              </w:rPr>
            </w:pPr>
          </w:p>
        </w:tc>
        <w:tc>
          <w:tcPr>
            <w:tcW w:w="1262" w:type="pct"/>
          </w:tcPr>
          <w:p w14:paraId="34FE5F26">
            <w:pPr>
              <w:rPr>
                <w:rFonts w:hint="eastAsia" w:ascii="仿宋_GB2312" w:hAnsi="宋体" w:eastAsia="仿宋_GB2312" w:cs="仿宋_GB2312"/>
                <w:kern w:val="0"/>
                <w:sz w:val="24"/>
                <w:szCs w:val="24"/>
              </w:rPr>
            </w:pPr>
          </w:p>
        </w:tc>
      </w:tr>
    </w:tbl>
    <w:p w14:paraId="1C4C20FD">
      <w:pPr>
        <w:pStyle w:val="6"/>
        <w:rPr>
          <w:rFonts w:hint="eastAsia" w:ascii="仿宋_GB2312" w:hAnsi="仿宋_GB2312" w:eastAsia="仿宋_GB2312" w:cs="仿宋_GB2312"/>
          <w:color w:val="FF0000"/>
          <w:sz w:val="24"/>
          <w:szCs w:val="24"/>
          <w:lang w:eastAsia="zh-CN"/>
          <w14:textOutline w14:w="4356" w14:cap="sq" w14:cmpd="sng" w14:algn="ctr">
            <w14:solidFill>
              <w14:srgbClr w14:val="000000"/>
            </w14:solidFill>
            <w14:prstDash w14:val="solid"/>
            <w14:bevel/>
          </w14:textOutline>
        </w:rPr>
      </w:pPr>
      <w:r>
        <w:rPr>
          <w:rFonts w:hint="eastAsia" w:ascii="仿宋_GB2312" w:eastAsia="仿宋_GB2312"/>
          <w:lang w:eastAsia="zh-CN"/>
        </w:rPr>
        <w:br w:type="page"/>
      </w:r>
      <w:r>
        <w:rPr>
          <w:rFonts w:hint="eastAsia" w:ascii="仿宋_GB2312" w:hAnsi="仿宋_GB2312" w:eastAsia="仿宋_GB2312" w:cs="仿宋_GB2312"/>
          <w:sz w:val="24"/>
          <w:szCs w:val="24"/>
          <w:lang w:eastAsia="zh-CN"/>
          <w14:textOutline w14:w="4356" w14:cap="sq" w14:cmpd="sng" w14:algn="ctr">
            <w14:solidFill>
              <w14:srgbClr w14:val="000000"/>
            </w14:solidFill>
            <w14:prstDash w14:val="solid"/>
            <w14:bevel/>
          </w14:textOutline>
        </w:rPr>
        <w:t>2、故障点故障诊断与排除</w:t>
      </w:r>
    </w:p>
    <w:p w14:paraId="3D85C32A">
      <w:pPr>
        <w:pStyle w:val="6"/>
        <w:rPr>
          <w:rFonts w:hint="eastAsia" w:ascii="仿宋_GB2312" w:hAnsi="仿宋_GB2312" w:eastAsia="仿宋_GB2312" w:cs="仿宋_GB2312"/>
          <w:sz w:val="24"/>
          <w:szCs w:val="24"/>
          <w:lang w:eastAsia="zh-CN"/>
          <w14:textOutline w14:w="4356" w14:cap="sq" w14:cmpd="sng" w14:algn="ctr">
            <w14:solidFill>
              <w14:srgbClr w14:val="000000"/>
            </w14:solidFill>
            <w14:prstDash w14:val="solid"/>
            <w14:bevel/>
          </w14:textOutline>
        </w:rPr>
      </w:pPr>
      <w:r>
        <w:rPr>
          <w:rFonts w:hint="eastAsia" w:ascii="仿宋_GB2312" w:hAnsi="仿宋_GB2312" w:eastAsia="仿宋_GB2312" w:cs="仿宋_GB2312"/>
          <w:color w:val="FF0000"/>
          <w:sz w:val="24"/>
          <w:szCs w:val="24"/>
          <w:lang w:eastAsia="zh-CN"/>
          <w14:textOutline w14:w="4356" w14:cap="sq" w14:cmpd="sng" w14:algn="ctr">
            <w14:solidFill>
              <w14:srgbClr w14:val="000000"/>
            </w14:solidFill>
            <w14:prstDash w14:val="solid"/>
            <w14:bevel/>
          </w14:textOutline>
        </w:rPr>
        <w:t>故障点1：</w:t>
      </w:r>
    </w:p>
    <w:p w14:paraId="2F9A5956">
      <w:pPr>
        <w:spacing w:line="120" w:lineRule="exact"/>
        <w:rPr>
          <w:rFonts w:hint="eastAsia" w:ascii="仿宋_GB2312" w:hAnsi="仿宋_GB2312" w:eastAsia="仿宋_GB2312" w:cs="仿宋_GB2312"/>
          <w:sz w:val="22"/>
        </w:rPr>
      </w:pPr>
    </w:p>
    <w:tbl>
      <w:tblPr>
        <w:tblStyle w:val="16"/>
        <w:tblW w:w="488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27"/>
        <w:gridCol w:w="3381"/>
        <w:gridCol w:w="1403"/>
        <w:gridCol w:w="1608"/>
      </w:tblGrid>
      <w:tr w14:paraId="5A2D0E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064" w:type="pct"/>
            <w:vMerge w:val="restart"/>
            <w:tcBorders>
              <w:bottom w:val="nil"/>
            </w:tcBorders>
            <w:vAlign w:val="center"/>
          </w:tcPr>
          <w:p w14:paraId="7DB61FD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14:textOutline w14:w="4013" w14:cap="sq" w14:cmpd="sng" w14:algn="ctr">
                  <w14:solidFill>
                    <w14:srgbClr w14:val="000000"/>
                  </w14:solidFill>
                  <w14:prstDash w14:val="solid"/>
                  <w14:bevel/>
                </w14:textOutline>
              </w:rPr>
              <w:t>故障现象确</w:t>
            </w:r>
            <w:r>
              <w:rPr>
                <w:rFonts w:hint="eastAsia" w:ascii="仿宋_GB2312" w:hAnsi="仿宋_GB2312" w:eastAsia="仿宋_GB2312" w:cs="仿宋_GB2312"/>
                <w:sz w:val="22"/>
                <w:szCs w:val="22"/>
                <w14:textOutline w14:w="4013" w14:cap="sq" w14:cmpd="sng" w14:algn="ctr">
                  <w14:solidFill>
                    <w14:srgbClr w14:val="000000"/>
                  </w14:solidFill>
                  <w14:prstDash w14:val="solid"/>
                  <w14:bevel/>
                </w14:textOutline>
              </w:rPr>
              <w:t>认</w:t>
            </w:r>
          </w:p>
        </w:tc>
        <w:tc>
          <w:tcPr>
            <w:tcW w:w="3936" w:type="pct"/>
            <w:gridSpan w:val="3"/>
            <w:vMerge w:val="restart"/>
            <w:tcBorders>
              <w:bottom w:val="nil"/>
            </w:tcBorders>
            <w:vAlign w:val="center"/>
          </w:tcPr>
          <w:p w14:paraId="4EEFA22A">
            <w:pPr>
              <w:jc w:val="center"/>
              <w:rPr>
                <w:rFonts w:hint="eastAsia" w:ascii="仿宋_GB2312" w:hAnsi="仿宋_GB2312" w:eastAsia="仿宋_GB2312" w:cs="仿宋_GB2312"/>
                <w:kern w:val="0"/>
                <w:sz w:val="22"/>
                <w:szCs w:val="22"/>
              </w:rPr>
            </w:pPr>
          </w:p>
        </w:tc>
      </w:tr>
      <w:tr w14:paraId="482C0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064" w:type="pct"/>
            <w:vMerge w:val="continue"/>
            <w:tcBorders>
              <w:top w:val="nil"/>
              <w:bottom w:val="single" w:color="auto" w:sz="4" w:space="0"/>
            </w:tcBorders>
            <w:vAlign w:val="center"/>
          </w:tcPr>
          <w:p w14:paraId="0D87D9A2">
            <w:pPr>
              <w:jc w:val="center"/>
              <w:rPr>
                <w:rFonts w:hint="eastAsia" w:ascii="仿宋_GB2312" w:hAnsi="仿宋_GB2312" w:eastAsia="仿宋_GB2312" w:cs="仿宋_GB2312"/>
                <w:kern w:val="0"/>
                <w:sz w:val="22"/>
                <w:szCs w:val="22"/>
              </w:rPr>
            </w:pPr>
          </w:p>
        </w:tc>
        <w:tc>
          <w:tcPr>
            <w:tcW w:w="3936" w:type="pct"/>
            <w:gridSpan w:val="3"/>
            <w:vMerge w:val="continue"/>
            <w:tcBorders>
              <w:top w:val="nil"/>
            </w:tcBorders>
            <w:vAlign w:val="center"/>
          </w:tcPr>
          <w:p w14:paraId="2FB4DA6B">
            <w:pPr>
              <w:jc w:val="center"/>
              <w:rPr>
                <w:rFonts w:hint="eastAsia" w:ascii="仿宋_GB2312" w:hAnsi="仿宋_GB2312" w:eastAsia="仿宋_GB2312" w:cs="仿宋_GB2312"/>
                <w:kern w:val="0"/>
                <w:sz w:val="22"/>
                <w:szCs w:val="22"/>
              </w:rPr>
            </w:pPr>
          </w:p>
        </w:tc>
      </w:tr>
      <w:tr w14:paraId="0B929E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064" w:type="pct"/>
            <w:vMerge w:val="restart"/>
            <w:tcBorders>
              <w:top w:val="single" w:color="auto" w:sz="4" w:space="0"/>
              <w:bottom w:val="nil"/>
            </w:tcBorders>
            <w:vAlign w:val="center"/>
          </w:tcPr>
          <w:p w14:paraId="5C3D91A5">
            <w:pPr>
              <w:rPr>
                <w:rFonts w:hint="eastAsia" w:ascii="仿宋_GB2312" w:hAnsi="仿宋_GB2312" w:eastAsia="仿宋_GB2312" w:cs="仿宋_GB2312"/>
                <w:kern w:val="0"/>
                <w:sz w:val="22"/>
                <w:szCs w:val="22"/>
              </w:rPr>
            </w:pPr>
          </w:p>
          <w:p w14:paraId="41094640">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部件</w:t>
            </w:r>
            <w:r>
              <w:rPr>
                <w:rFonts w:hint="eastAsia" w:ascii="仿宋_GB2312" w:hAnsi="仿宋_GB2312" w:eastAsia="仿宋_GB2312" w:cs="仿宋_GB2312"/>
                <w:spacing w:val="-47"/>
                <w:sz w:val="22"/>
                <w:szCs w:val="22"/>
              </w:rPr>
              <w:t xml:space="preserve"> </w:t>
            </w: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/电路</w:t>
            </w:r>
            <w:r>
              <w:rPr>
                <w:rFonts w:hint="eastAsia" w:ascii="仿宋_GB2312" w:hAnsi="仿宋_GB2312" w:eastAsia="仿宋_GB2312" w:cs="仿宋_GB2312"/>
                <w:spacing w:val="-4"/>
                <w:sz w:val="22"/>
                <w:szCs w:val="22"/>
                <w14:textOutline w14:w="4013" w14:cap="sq" w14:cmpd="sng" w14:algn="ctr">
                  <w14:solidFill>
                    <w14:srgbClr w14:val="000000"/>
                  </w14:solidFill>
                  <w14:prstDash w14:val="solid"/>
                  <w14:bevel/>
                </w14:textOutline>
              </w:rPr>
              <w:t>测试</w:t>
            </w:r>
          </w:p>
        </w:tc>
        <w:tc>
          <w:tcPr>
            <w:tcW w:w="2082" w:type="pct"/>
            <w:vAlign w:val="center"/>
          </w:tcPr>
          <w:p w14:paraId="1BD8E0E4">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14:textOutline w14:w="3797" w14:cap="sq" w14:cmpd="sng" w14:algn="ctr">
                  <w14:solidFill>
                    <w14:srgbClr w14:val="000000"/>
                  </w14:solidFill>
                  <w14:prstDash w14:val="solid"/>
                  <w14:bevel/>
                </w14:textOutline>
              </w:rPr>
              <w:t>部件/线路范围</w:t>
            </w:r>
          </w:p>
        </w:tc>
        <w:tc>
          <w:tcPr>
            <w:tcW w:w="1854" w:type="pct"/>
            <w:gridSpan w:val="2"/>
            <w:vAlign w:val="center"/>
          </w:tcPr>
          <w:p w14:paraId="6A3843EC">
            <w:pPr>
              <w:pStyle w:val="20"/>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pacing w:val="9"/>
                <w:sz w:val="22"/>
                <w:szCs w:val="22"/>
                <w:lang w:eastAsia="zh-CN"/>
                <w14:textOutline w14:w="3797" w14:cap="sq" w14:cmpd="sng" w14:algn="ctr">
                  <w14:solidFill>
                    <w14:srgbClr w14:val="000000"/>
                  </w14:solidFill>
                  <w14:prstDash w14:val="solid"/>
                  <w14:bevel/>
                </w14:textOutline>
              </w:rPr>
              <w:t>检查或测试后的结</w:t>
            </w:r>
            <w:r>
              <w:rPr>
                <w:rFonts w:hint="eastAsia" w:ascii="仿宋_GB2312" w:hAnsi="仿宋_GB2312" w:eastAsia="仿宋_GB2312" w:cs="仿宋_GB2312"/>
                <w:spacing w:val="3"/>
                <w:sz w:val="22"/>
                <w:szCs w:val="22"/>
                <w:lang w:eastAsia="zh-CN"/>
              </w:rPr>
              <w:t xml:space="preserve"> </w:t>
            </w:r>
            <w:r>
              <w:rPr>
                <w:rFonts w:hint="eastAsia" w:ascii="仿宋_GB2312" w:hAnsi="仿宋_GB2312" w:eastAsia="仿宋_GB2312" w:cs="仿宋_GB2312"/>
                <w:spacing w:val="6"/>
                <w:sz w:val="22"/>
                <w:szCs w:val="22"/>
                <w:lang w:eastAsia="zh-CN"/>
                <w14:textOutline w14:w="3797" w14:cap="sq" w14:cmpd="sng" w14:algn="ctr">
                  <w14:solidFill>
                    <w14:srgbClr w14:val="000000"/>
                  </w14:solidFill>
                  <w14:prstDash w14:val="solid"/>
                  <w14:bevel/>
                </w14:textOutline>
              </w:rPr>
              <w:t>果判断</w:t>
            </w:r>
          </w:p>
        </w:tc>
      </w:tr>
      <w:tr w14:paraId="538AC9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64" w:type="pct"/>
            <w:vMerge w:val="continue"/>
            <w:tcBorders>
              <w:top w:val="nil"/>
              <w:bottom w:val="nil"/>
            </w:tcBorders>
            <w:vAlign w:val="center"/>
          </w:tcPr>
          <w:p w14:paraId="12D013EB">
            <w:pPr>
              <w:jc w:val="center"/>
              <w:rPr>
                <w:rFonts w:hint="eastAsia" w:ascii="仿宋_GB2312" w:hAnsi="仿宋_GB2312" w:eastAsia="仿宋_GB2312" w:cs="仿宋_GB2312"/>
                <w:kern w:val="0"/>
                <w:sz w:val="22"/>
                <w:szCs w:val="22"/>
              </w:rPr>
            </w:pPr>
          </w:p>
        </w:tc>
        <w:tc>
          <w:tcPr>
            <w:tcW w:w="2082" w:type="pct"/>
            <w:vAlign w:val="center"/>
          </w:tcPr>
          <w:p w14:paraId="5398E255">
            <w:pPr>
              <w:jc w:val="center"/>
              <w:rPr>
                <w:rFonts w:hint="eastAsia" w:ascii="仿宋_GB2312" w:hAnsi="仿宋_GB2312" w:eastAsia="仿宋_GB2312" w:cs="仿宋_GB2312"/>
                <w:kern w:val="0"/>
                <w:sz w:val="22"/>
                <w:szCs w:val="22"/>
              </w:rPr>
            </w:pPr>
          </w:p>
        </w:tc>
        <w:tc>
          <w:tcPr>
            <w:tcW w:w="864" w:type="pct"/>
            <w:vAlign w:val="center"/>
          </w:tcPr>
          <w:p w14:paraId="2B2FA70E">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5E288532">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1D7F3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0E5F050A">
            <w:pPr>
              <w:jc w:val="center"/>
              <w:rPr>
                <w:rFonts w:hint="eastAsia" w:ascii="仿宋_GB2312" w:hAnsi="仿宋_GB2312" w:eastAsia="仿宋_GB2312" w:cs="仿宋_GB2312"/>
                <w:kern w:val="0"/>
                <w:sz w:val="22"/>
                <w:szCs w:val="22"/>
              </w:rPr>
            </w:pPr>
          </w:p>
        </w:tc>
        <w:tc>
          <w:tcPr>
            <w:tcW w:w="2082" w:type="pct"/>
            <w:vAlign w:val="center"/>
          </w:tcPr>
          <w:p w14:paraId="6E511650">
            <w:pPr>
              <w:jc w:val="center"/>
              <w:rPr>
                <w:rFonts w:hint="eastAsia" w:ascii="仿宋_GB2312" w:hAnsi="仿宋_GB2312" w:eastAsia="仿宋_GB2312" w:cs="仿宋_GB2312"/>
                <w:kern w:val="0"/>
                <w:sz w:val="22"/>
                <w:szCs w:val="22"/>
              </w:rPr>
            </w:pPr>
          </w:p>
        </w:tc>
        <w:tc>
          <w:tcPr>
            <w:tcW w:w="864" w:type="pct"/>
            <w:vAlign w:val="center"/>
          </w:tcPr>
          <w:p w14:paraId="37D1F86B">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0D33F65E">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1774D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3392C61D">
            <w:pPr>
              <w:jc w:val="center"/>
              <w:rPr>
                <w:rFonts w:hint="eastAsia" w:ascii="仿宋_GB2312" w:hAnsi="仿宋_GB2312" w:eastAsia="仿宋_GB2312" w:cs="仿宋_GB2312"/>
                <w:kern w:val="0"/>
                <w:sz w:val="22"/>
                <w:szCs w:val="22"/>
              </w:rPr>
            </w:pPr>
          </w:p>
        </w:tc>
        <w:tc>
          <w:tcPr>
            <w:tcW w:w="2082" w:type="pct"/>
            <w:vAlign w:val="center"/>
          </w:tcPr>
          <w:p w14:paraId="20C72566">
            <w:pPr>
              <w:jc w:val="center"/>
              <w:rPr>
                <w:rFonts w:hint="eastAsia" w:ascii="仿宋_GB2312" w:hAnsi="仿宋_GB2312" w:eastAsia="仿宋_GB2312" w:cs="仿宋_GB2312"/>
                <w:kern w:val="0"/>
                <w:sz w:val="22"/>
                <w:szCs w:val="22"/>
              </w:rPr>
            </w:pPr>
          </w:p>
        </w:tc>
        <w:tc>
          <w:tcPr>
            <w:tcW w:w="864" w:type="pct"/>
            <w:vAlign w:val="center"/>
          </w:tcPr>
          <w:p w14:paraId="12F26BE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9218EEC">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3374F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7904BADE">
            <w:pPr>
              <w:jc w:val="center"/>
              <w:rPr>
                <w:rFonts w:hint="eastAsia" w:ascii="仿宋_GB2312" w:hAnsi="仿宋_GB2312" w:eastAsia="仿宋_GB2312" w:cs="仿宋_GB2312"/>
                <w:kern w:val="0"/>
                <w:sz w:val="22"/>
                <w:szCs w:val="22"/>
              </w:rPr>
            </w:pPr>
          </w:p>
        </w:tc>
        <w:tc>
          <w:tcPr>
            <w:tcW w:w="2082" w:type="pct"/>
            <w:vAlign w:val="center"/>
          </w:tcPr>
          <w:p w14:paraId="4581D07B">
            <w:pPr>
              <w:jc w:val="center"/>
              <w:rPr>
                <w:rFonts w:hint="eastAsia" w:ascii="仿宋_GB2312" w:hAnsi="仿宋_GB2312" w:eastAsia="仿宋_GB2312" w:cs="仿宋_GB2312"/>
                <w:kern w:val="0"/>
                <w:sz w:val="22"/>
                <w:szCs w:val="22"/>
              </w:rPr>
            </w:pPr>
          </w:p>
        </w:tc>
        <w:tc>
          <w:tcPr>
            <w:tcW w:w="864" w:type="pct"/>
            <w:vAlign w:val="center"/>
          </w:tcPr>
          <w:p w14:paraId="2027E60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35AFC71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4911A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64" w:type="pct"/>
            <w:vMerge w:val="continue"/>
            <w:tcBorders>
              <w:top w:val="nil"/>
              <w:bottom w:val="nil"/>
            </w:tcBorders>
            <w:vAlign w:val="center"/>
          </w:tcPr>
          <w:p w14:paraId="28378AB8">
            <w:pPr>
              <w:jc w:val="center"/>
              <w:rPr>
                <w:rFonts w:hint="eastAsia" w:ascii="仿宋_GB2312" w:hAnsi="仿宋_GB2312" w:eastAsia="仿宋_GB2312" w:cs="仿宋_GB2312"/>
                <w:kern w:val="0"/>
                <w:sz w:val="22"/>
                <w:szCs w:val="22"/>
              </w:rPr>
            </w:pPr>
          </w:p>
        </w:tc>
        <w:tc>
          <w:tcPr>
            <w:tcW w:w="2082" w:type="pct"/>
            <w:vAlign w:val="center"/>
          </w:tcPr>
          <w:p w14:paraId="75D16C83">
            <w:pPr>
              <w:jc w:val="center"/>
              <w:rPr>
                <w:rFonts w:hint="eastAsia" w:ascii="仿宋_GB2312" w:hAnsi="仿宋_GB2312" w:eastAsia="仿宋_GB2312" w:cs="仿宋_GB2312"/>
                <w:kern w:val="0"/>
                <w:sz w:val="22"/>
                <w:szCs w:val="22"/>
              </w:rPr>
            </w:pPr>
          </w:p>
        </w:tc>
        <w:tc>
          <w:tcPr>
            <w:tcW w:w="864" w:type="pct"/>
            <w:vAlign w:val="center"/>
          </w:tcPr>
          <w:p w14:paraId="7E3CDC37">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FD92948">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02C76F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44424809">
            <w:pPr>
              <w:jc w:val="center"/>
              <w:rPr>
                <w:rFonts w:hint="eastAsia" w:ascii="仿宋_GB2312" w:hAnsi="仿宋_GB2312" w:eastAsia="仿宋_GB2312" w:cs="仿宋_GB2312"/>
                <w:kern w:val="0"/>
                <w:sz w:val="22"/>
                <w:szCs w:val="22"/>
              </w:rPr>
            </w:pPr>
          </w:p>
        </w:tc>
        <w:tc>
          <w:tcPr>
            <w:tcW w:w="2082" w:type="pct"/>
            <w:vAlign w:val="center"/>
          </w:tcPr>
          <w:p w14:paraId="3DD24DD9">
            <w:pPr>
              <w:jc w:val="center"/>
              <w:rPr>
                <w:rFonts w:hint="eastAsia" w:ascii="仿宋_GB2312" w:hAnsi="仿宋_GB2312" w:eastAsia="仿宋_GB2312" w:cs="仿宋_GB2312"/>
                <w:kern w:val="0"/>
                <w:sz w:val="22"/>
                <w:szCs w:val="22"/>
              </w:rPr>
            </w:pPr>
          </w:p>
        </w:tc>
        <w:tc>
          <w:tcPr>
            <w:tcW w:w="864" w:type="pct"/>
            <w:vAlign w:val="center"/>
          </w:tcPr>
          <w:p w14:paraId="480149BC">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4768B35">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49C8A2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38040C52">
            <w:pPr>
              <w:jc w:val="center"/>
              <w:rPr>
                <w:rFonts w:hint="eastAsia" w:ascii="仿宋_GB2312" w:hAnsi="仿宋_GB2312" w:eastAsia="仿宋_GB2312" w:cs="仿宋_GB2312"/>
                <w:kern w:val="0"/>
                <w:sz w:val="22"/>
                <w:szCs w:val="22"/>
              </w:rPr>
            </w:pPr>
          </w:p>
        </w:tc>
        <w:tc>
          <w:tcPr>
            <w:tcW w:w="2082" w:type="pct"/>
            <w:vAlign w:val="center"/>
          </w:tcPr>
          <w:p w14:paraId="0E597B5D">
            <w:pPr>
              <w:jc w:val="center"/>
              <w:rPr>
                <w:rFonts w:hint="eastAsia" w:ascii="仿宋_GB2312" w:hAnsi="仿宋_GB2312" w:eastAsia="仿宋_GB2312" w:cs="仿宋_GB2312"/>
                <w:kern w:val="0"/>
                <w:sz w:val="22"/>
                <w:szCs w:val="22"/>
              </w:rPr>
            </w:pPr>
          </w:p>
        </w:tc>
        <w:tc>
          <w:tcPr>
            <w:tcW w:w="864" w:type="pct"/>
            <w:vAlign w:val="center"/>
          </w:tcPr>
          <w:p w14:paraId="19DE538A">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013783D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65B604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3113825C">
            <w:pPr>
              <w:jc w:val="center"/>
              <w:rPr>
                <w:rFonts w:hint="eastAsia" w:ascii="仿宋_GB2312" w:hAnsi="仿宋_GB2312" w:eastAsia="仿宋_GB2312" w:cs="仿宋_GB2312"/>
                <w:kern w:val="0"/>
                <w:sz w:val="22"/>
                <w:szCs w:val="22"/>
              </w:rPr>
            </w:pPr>
          </w:p>
        </w:tc>
        <w:tc>
          <w:tcPr>
            <w:tcW w:w="2082" w:type="pct"/>
            <w:vAlign w:val="center"/>
          </w:tcPr>
          <w:p w14:paraId="547CC522">
            <w:pPr>
              <w:jc w:val="center"/>
              <w:rPr>
                <w:rFonts w:hint="eastAsia" w:ascii="仿宋_GB2312" w:hAnsi="仿宋_GB2312" w:eastAsia="仿宋_GB2312" w:cs="仿宋_GB2312"/>
                <w:kern w:val="0"/>
                <w:sz w:val="22"/>
                <w:szCs w:val="22"/>
              </w:rPr>
            </w:pPr>
          </w:p>
        </w:tc>
        <w:tc>
          <w:tcPr>
            <w:tcW w:w="864" w:type="pct"/>
            <w:vAlign w:val="center"/>
          </w:tcPr>
          <w:p w14:paraId="51A38EA7">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0AA48CB0">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4FB468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nil"/>
            </w:tcBorders>
            <w:vAlign w:val="center"/>
          </w:tcPr>
          <w:p w14:paraId="12DC0295">
            <w:pPr>
              <w:jc w:val="center"/>
              <w:rPr>
                <w:rFonts w:hint="eastAsia" w:ascii="仿宋_GB2312" w:hAnsi="仿宋_GB2312" w:eastAsia="仿宋_GB2312" w:cs="仿宋_GB2312"/>
                <w:kern w:val="0"/>
                <w:sz w:val="22"/>
                <w:szCs w:val="22"/>
              </w:rPr>
            </w:pPr>
          </w:p>
        </w:tc>
        <w:tc>
          <w:tcPr>
            <w:tcW w:w="2082" w:type="pct"/>
            <w:vAlign w:val="center"/>
          </w:tcPr>
          <w:p w14:paraId="1D5BD829">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rPr>
              <w:t>波形采集（不用者不填）</w:t>
            </w:r>
          </w:p>
        </w:tc>
        <w:tc>
          <w:tcPr>
            <w:tcW w:w="864" w:type="pct"/>
            <w:vAlign w:val="center"/>
          </w:tcPr>
          <w:p w14:paraId="6780620D">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tcBorders>
              <w:right w:val="single" w:color="auto" w:sz="4" w:space="0"/>
            </w:tcBorders>
            <w:vAlign w:val="center"/>
          </w:tcPr>
          <w:p w14:paraId="433E7FAA">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6803C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single" w:color="auto" w:sz="4" w:space="0"/>
            </w:tcBorders>
            <w:vAlign w:val="center"/>
          </w:tcPr>
          <w:p w14:paraId="571FF54F">
            <w:pPr>
              <w:jc w:val="center"/>
              <w:rPr>
                <w:rFonts w:hint="eastAsia" w:ascii="仿宋_GB2312" w:hAnsi="仿宋_GB2312" w:eastAsia="仿宋_GB2312" w:cs="仿宋_GB2312"/>
                <w:kern w:val="0"/>
                <w:sz w:val="22"/>
                <w:szCs w:val="22"/>
              </w:rPr>
            </w:pPr>
          </w:p>
        </w:tc>
        <w:tc>
          <w:tcPr>
            <w:tcW w:w="3936" w:type="pct"/>
            <w:gridSpan w:val="3"/>
            <w:tcBorders>
              <w:right w:val="single" w:color="auto" w:sz="4" w:space="0"/>
            </w:tcBorders>
            <w:vAlign w:val="center"/>
          </w:tcPr>
          <w:p w14:paraId="0012B058">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8"/>
                <w:sz w:val="22"/>
                <w:szCs w:val="22"/>
                <w:lang w:eastAsia="zh-CN"/>
              </w:rPr>
              <w:t>※注明测试条件、插件代码和编号，控制单元针脚代号以及测量结果</w:t>
            </w:r>
          </w:p>
        </w:tc>
      </w:tr>
      <w:tr w14:paraId="26E74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tcBorders>
              <w:top w:val="single" w:color="auto" w:sz="4" w:space="0"/>
              <w:bottom w:val="single" w:color="auto" w:sz="4" w:space="0"/>
            </w:tcBorders>
            <w:vAlign w:val="center"/>
          </w:tcPr>
          <w:p w14:paraId="752435F9">
            <w:pP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故障点和故障类型确认（同时需要在维修手册上指出故障位置）</w:t>
            </w:r>
          </w:p>
        </w:tc>
        <w:tc>
          <w:tcPr>
            <w:tcW w:w="3936" w:type="pct"/>
            <w:gridSpan w:val="3"/>
            <w:tcBorders>
              <w:right w:val="single" w:color="auto" w:sz="4" w:space="0"/>
            </w:tcBorders>
            <w:vAlign w:val="center"/>
          </w:tcPr>
          <w:p w14:paraId="09378DB1">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2"/>
                <w:sz w:val="22"/>
                <w:szCs w:val="22"/>
                <w:lang w:eastAsia="zh-CN"/>
              </w:rPr>
              <w:t>※电路图上指出最小故障线路范围或故障部件</w:t>
            </w:r>
          </w:p>
          <w:p w14:paraId="33437912">
            <w:pPr>
              <w:pStyle w:val="20"/>
              <w:jc w:val="center"/>
              <w:rPr>
                <w:rFonts w:hint="eastAsia" w:ascii="仿宋_GB2312" w:hAnsi="仿宋_GB2312" w:eastAsia="仿宋_GB2312" w:cs="仿宋_GB2312"/>
                <w:spacing w:val="2"/>
                <w:sz w:val="22"/>
                <w:szCs w:val="22"/>
                <w:lang w:eastAsia="zh-CN"/>
              </w:rPr>
            </w:pPr>
          </w:p>
          <w:p w14:paraId="3E88831A">
            <w:pPr>
              <w:pStyle w:val="20"/>
              <w:jc w:val="center"/>
              <w:rPr>
                <w:rFonts w:hint="eastAsia" w:ascii="仿宋_GB2312" w:hAnsi="仿宋_GB2312" w:eastAsia="仿宋_GB2312" w:cs="仿宋_GB2312"/>
                <w:spacing w:val="2"/>
                <w:sz w:val="22"/>
                <w:szCs w:val="22"/>
                <w:lang w:eastAsia="zh-CN"/>
              </w:rPr>
            </w:pPr>
          </w:p>
          <w:p w14:paraId="161A54F0">
            <w:pPr>
              <w:pStyle w:val="20"/>
              <w:jc w:val="center"/>
              <w:rPr>
                <w:rFonts w:hint="eastAsia" w:ascii="仿宋_GB2312" w:hAnsi="仿宋_GB2312" w:eastAsia="仿宋_GB2312" w:cs="仿宋_GB2312"/>
                <w:spacing w:val="2"/>
                <w:sz w:val="22"/>
                <w:szCs w:val="22"/>
                <w:lang w:eastAsia="zh-CN"/>
              </w:rPr>
            </w:pPr>
          </w:p>
          <w:p w14:paraId="0B394286">
            <w:pPr>
              <w:pStyle w:val="20"/>
              <w:jc w:val="center"/>
              <w:rPr>
                <w:rFonts w:hint="eastAsia" w:ascii="仿宋_GB2312" w:hAnsi="仿宋_GB2312" w:eastAsia="仿宋_GB2312" w:cs="仿宋_GB2312"/>
                <w:spacing w:val="2"/>
                <w:sz w:val="22"/>
                <w:szCs w:val="22"/>
                <w:lang w:eastAsia="zh-CN"/>
              </w:rPr>
            </w:pPr>
          </w:p>
          <w:p w14:paraId="2EB9BF29">
            <w:pPr>
              <w:pStyle w:val="20"/>
              <w:jc w:val="center"/>
              <w:rPr>
                <w:rFonts w:hint="eastAsia" w:ascii="仿宋_GB2312" w:hAnsi="仿宋_GB2312" w:eastAsia="仿宋_GB2312" w:cs="仿宋_GB2312"/>
                <w:spacing w:val="2"/>
                <w:sz w:val="22"/>
                <w:szCs w:val="22"/>
                <w:lang w:eastAsia="zh-CN"/>
              </w:rPr>
            </w:pPr>
          </w:p>
        </w:tc>
      </w:tr>
    </w:tbl>
    <w:p w14:paraId="6FFBBE3C">
      <w:pPr>
        <w:widowControl/>
        <w:jc w:val="left"/>
        <w:rPr>
          <w:rFonts w:hint="eastAsia" w:ascii="宋体" w:hAnsi="宋体" w:eastAsia="宋体"/>
          <w:b/>
          <w:bCs/>
          <w:sz w:val="24"/>
          <w:szCs w:val="24"/>
        </w:rPr>
      </w:pPr>
    </w:p>
    <w:p w14:paraId="6D70DEA9">
      <w:pPr>
        <w:pStyle w:val="6"/>
        <w:rPr>
          <w:rFonts w:hint="eastAsia" w:ascii="仿宋_GB2312" w:hAnsi="仿宋_GB2312" w:eastAsia="仿宋_GB2312" w:cs="仿宋_GB2312"/>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b/>
          <w:bCs/>
          <w:sz w:val="24"/>
          <w:szCs w:val="24"/>
          <w:lang w:eastAsia="zh-CN"/>
        </w:rPr>
        <w:br w:type="page"/>
      </w:r>
      <w:r>
        <w:rPr>
          <w:rFonts w:hint="eastAsia" w:ascii="仿宋_GB2312" w:hAnsi="仿宋_GB2312" w:eastAsia="仿宋_GB2312" w:cs="仿宋_GB2312"/>
          <w:color w:val="FF0000"/>
          <w:sz w:val="24"/>
          <w:szCs w:val="24"/>
          <w:lang w:eastAsia="zh-CN"/>
          <w14:textOutline w14:w="4356" w14:cap="sq" w14:cmpd="sng" w14:algn="ctr">
            <w14:solidFill>
              <w14:srgbClr w14:val="000000"/>
            </w14:solidFill>
            <w14:prstDash w14:val="solid"/>
            <w14:bevel/>
          </w14:textOutline>
        </w:rPr>
        <w:t>故障点2：</w:t>
      </w:r>
    </w:p>
    <w:p w14:paraId="1E1AE119">
      <w:pPr>
        <w:spacing w:line="120" w:lineRule="exact"/>
        <w:rPr>
          <w:rFonts w:hint="eastAsia" w:ascii="仿宋_GB2312" w:hAnsi="仿宋_GB2312" w:eastAsia="仿宋_GB2312" w:cs="仿宋_GB2312"/>
          <w:sz w:val="22"/>
        </w:rPr>
      </w:pPr>
    </w:p>
    <w:tbl>
      <w:tblPr>
        <w:tblStyle w:val="16"/>
        <w:tblW w:w="488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27"/>
        <w:gridCol w:w="3381"/>
        <w:gridCol w:w="1403"/>
        <w:gridCol w:w="1608"/>
      </w:tblGrid>
      <w:tr w14:paraId="2E543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064" w:type="pct"/>
            <w:vMerge w:val="restart"/>
            <w:tcBorders>
              <w:bottom w:val="nil"/>
            </w:tcBorders>
            <w:vAlign w:val="center"/>
          </w:tcPr>
          <w:p w14:paraId="083A3E8C">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14:textOutline w14:w="4013" w14:cap="sq" w14:cmpd="sng" w14:algn="ctr">
                  <w14:solidFill>
                    <w14:srgbClr w14:val="000000"/>
                  </w14:solidFill>
                  <w14:prstDash w14:val="solid"/>
                  <w14:bevel/>
                </w14:textOutline>
              </w:rPr>
              <w:t>故障现象确</w:t>
            </w:r>
            <w:r>
              <w:rPr>
                <w:rFonts w:hint="eastAsia" w:ascii="仿宋_GB2312" w:hAnsi="仿宋_GB2312" w:eastAsia="仿宋_GB2312" w:cs="仿宋_GB2312"/>
                <w:sz w:val="22"/>
                <w:szCs w:val="22"/>
                <w14:textOutline w14:w="4013" w14:cap="sq" w14:cmpd="sng" w14:algn="ctr">
                  <w14:solidFill>
                    <w14:srgbClr w14:val="000000"/>
                  </w14:solidFill>
                  <w14:prstDash w14:val="solid"/>
                  <w14:bevel/>
                </w14:textOutline>
              </w:rPr>
              <w:t>认</w:t>
            </w:r>
          </w:p>
        </w:tc>
        <w:tc>
          <w:tcPr>
            <w:tcW w:w="3936" w:type="pct"/>
            <w:gridSpan w:val="3"/>
            <w:vMerge w:val="restart"/>
            <w:tcBorders>
              <w:bottom w:val="nil"/>
            </w:tcBorders>
            <w:vAlign w:val="center"/>
          </w:tcPr>
          <w:p w14:paraId="3D7E38C2">
            <w:pPr>
              <w:jc w:val="center"/>
              <w:rPr>
                <w:rFonts w:hint="eastAsia" w:ascii="仿宋_GB2312" w:hAnsi="仿宋_GB2312" w:eastAsia="仿宋_GB2312" w:cs="仿宋_GB2312"/>
                <w:kern w:val="0"/>
                <w:sz w:val="22"/>
                <w:szCs w:val="22"/>
              </w:rPr>
            </w:pPr>
          </w:p>
        </w:tc>
      </w:tr>
      <w:tr w14:paraId="683D4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064" w:type="pct"/>
            <w:vMerge w:val="continue"/>
            <w:tcBorders>
              <w:top w:val="nil"/>
              <w:bottom w:val="single" w:color="auto" w:sz="4" w:space="0"/>
            </w:tcBorders>
            <w:vAlign w:val="center"/>
          </w:tcPr>
          <w:p w14:paraId="6EF389F2">
            <w:pPr>
              <w:jc w:val="center"/>
              <w:rPr>
                <w:rFonts w:hint="eastAsia" w:ascii="仿宋_GB2312" w:hAnsi="仿宋_GB2312" w:eastAsia="仿宋_GB2312" w:cs="仿宋_GB2312"/>
                <w:kern w:val="0"/>
                <w:sz w:val="22"/>
                <w:szCs w:val="22"/>
              </w:rPr>
            </w:pPr>
          </w:p>
        </w:tc>
        <w:tc>
          <w:tcPr>
            <w:tcW w:w="3936" w:type="pct"/>
            <w:gridSpan w:val="3"/>
            <w:vMerge w:val="continue"/>
            <w:tcBorders>
              <w:top w:val="nil"/>
            </w:tcBorders>
            <w:vAlign w:val="center"/>
          </w:tcPr>
          <w:p w14:paraId="0FFFED3F">
            <w:pPr>
              <w:jc w:val="center"/>
              <w:rPr>
                <w:rFonts w:hint="eastAsia" w:ascii="仿宋_GB2312" w:hAnsi="仿宋_GB2312" w:eastAsia="仿宋_GB2312" w:cs="仿宋_GB2312"/>
                <w:kern w:val="0"/>
                <w:sz w:val="22"/>
                <w:szCs w:val="22"/>
              </w:rPr>
            </w:pPr>
          </w:p>
        </w:tc>
      </w:tr>
      <w:tr w14:paraId="561155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064" w:type="pct"/>
            <w:vMerge w:val="restart"/>
            <w:tcBorders>
              <w:top w:val="single" w:color="auto" w:sz="4" w:space="0"/>
              <w:bottom w:val="nil"/>
            </w:tcBorders>
            <w:vAlign w:val="center"/>
          </w:tcPr>
          <w:p w14:paraId="11A9DBFA">
            <w:pPr>
              <w:rPr>
                <w:rFonts w:hint="eastAsia" w:ascii="仿宋_GB2312" w:hAnsi="仿宋_GB2312" w:eastAsia="仿宋_GB2312" w:cs="仿宋_GB2312"/>
                <w:kern w:val="0"/>
                <w:sz w:val="22"/>
                <w:szCs w:val="22"/>
              </w:rPr>
            </w:pPr>
          </w:p>
          <w:p w14:paraId="3C68B7A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部件</w:t>
            </w:r>
            <w:r>
              <w:rPr>
                <w:rFonts w:hint="eastAsia" w:ascii="仿宋_GB2312" w:hAnsi="仿宋_GB2312" w:eastAsia="仿宋_GB2312" w:cs="仿宋_GB2312"/>
                <w:spacing w:val="-47"/>
                <w:sz w:val="22"/>
                <w:szCs w:val="22"/>
              </w:rPr>
              <w:t xml:space="preserve"> </w:t>
            </w: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/电路</w:t>
            </w:r>
            <w:r>
              <w:rPr>
                <w:rFonts w:hint="eastAsia" w:ascii="仿宋_GB2312" w:hAnsi="仿宋_GB2312" w:eastAsia="仿宋_GB2312" w:cs="仿宋_GB2312"/>
                <w:spacing w:val="-4"/>
                <w:sz w:val="22"/>
                <w:szCs w:val="22"/>
                <w14:textOutline w14:w="4013" w14:cap="sq" w14:cmpd="sng" w14:algn="ctr">
                  <w14:solidFill>
                    <w14:srgbClr w14:val="000000"/>
                  </w14:solidFill>
                  <w14:prstDash w14:val="solid"/>
                  <w14:bevel/>
                </w14:textOutline>
              </w:rPr>
              <w:t>测试</w:t>
            </w:r>
          </w:p>
        </w:tc>
        <w:tc>
          <w:tcPr>
            <w:tcW w:w="2082" w:type="pct"/>
            <w:vAlign w:val="center"/>
          </w:tcPr>
          <w:p w14:paraId="185A2D2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14:textOutline w14:w="3797" w14:cap="sq" w14:cmpd="sng" w14:algn="ctr">
                  <w14:solidFill>
                    <w14:srgbClr w14:val="000000"/>
                  </w14:solidFill>
                  <w14:prstDash w14:val="solid"/>
                  <w14:bevel/>
                </w14:textOutline>
              </w:rPr>
              <w:t>部件/线路范围</w:t>
            </w:r>
          </w:p>
        </w:tc>
        <w:tc>
          <w:tcPr>
            <w:tcW w:w="1854" w:type="pct"/>
            <w:gridSpan w:val="2"/>
            <w:vAlign w:val="center"/>
          </w:tcPr>
          <w:p w14:paraId="56820BF3">
            <w:pPr>
              <w:pStyle w:val="20"/>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pacing w:val="9"/>
                <w:sz w:val="22"/>
                <w:szCs w:val="22"/>
                <w:lang w:eastAsia="zh-CN"/>
                <w14:textOutline w14:w="3797" w14:cap="sq" w14:cmpd="sng" w14:algn="ctr">
                  <w14:solidFill>
                    <w14:srgbClr w14:val="000000"/>
                  </w14:solidFill>
                  <w14:prstDash w14:val="solid"/>
                  <w14:bevel/>
                </w14:textOutline>
              </w:rPr>
              <w:t>检查或测试后的结</w:t>
            </w:r>
            <w:r>
              <w:rPr>
                <w:rFonts w:hint="eastAsia" w:ascii="仿宋_GB2312" w:hAnsi="仿宋_GB2312" w:eastAsia="仿宋_GB2312" w:cs="仿宋_GB2312"/>
                <w:spacing w:val="3"/>
                <w:sz w:val="22"/>
                <w:szCs w:val="22"/>
                <w:lang w:eastAsia="zh-CN"/>
              </w:rPr>
              <w:t xml:space="preserve"> </w:t>
            </w:r>
            <w:r>
              <w:rPr>
                <w:rFonts w:hint="eastAsia" w:ascii="仿宋_GB2312" w:hAnsi="仿宋_GB2312" w:eastAsia="仿宋_GB2312" w:cs="仿宋_GB2312"/>
                <w:spacing w:val="6"/>
                <w:sz w:val="22"/>
                <w:szCs w:val="22"/>
                <w:lang w:eastAsia="zh-CN"/>
                <w14:textOutline w14:w="3797" w14:cap="sq" w14:cmpd="sng" w14:algn="ctr">
                  <w14:solidFill>
                    <w14:srgbClr w14:val="000000"/>
                  </w14:solidFill>
                  <w14:prstDash w14:val="solid"/>
                  <w14:bevel/>
                </w14:textOutline>
              </w:rPr>
              <w:t>果判断</w:t>
            </w:r>
          </w:p>
        </w:tc>
      </w:tr>
      <w:tr w14:paraId="4FAFAD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64" w:type="pct"/>
            <w:vMerge w:val="continue"/>
            <w:tcBorders>
              <w:top w:val="nil"/>
              <w:bottom w:val="nil"/>
            </w:tcBorders>
            <w:vAlign w:val="center"/>
          </w:tcPr>
          <w:p w14:paraId="720EA7A0">
            <w:pPr>
              <w:jc w:val="center"/>
              <w:rPr>
                <w:rFonts w:hint="eastAsia" w:ascii="仿宋_GB2312" w:hAnsi="仿宋_GB2312" w:eastAsia="仿宋_GB2312" w:cs="仿宋_GB2312"/>
                <w:kern w:val="0"/>
                <w:sz w:val="22"/>
                <w:szCs w:val="22"/>
              </w:rPr>
            </w:pPr>
          </w:p>
        </w:tc>
        <w:tc>
          <w:tcPr>
            <w:tcW w:w="2082" w:type="pct"/>
            <w:vAlign w:val="center"/>
          </w:tcPr>
          <w:p w14:paraId="3741906C">
            <w:pPr>
              <w:jc w:val="center"/>
              <w:rPr>
                <w:rFonts w:hint="eastAsia" w:ascii="仿宋_GB2312" w:hAnsi="仿宋_GB2312" w:eastAsia="仿宋_GB2312" w:cs="仿宋_GB2312"/>
                <w:kern w:val="0"/>
                <w:sz w:val="22"/>
                <w:szCs w:val="22"/>
              </w:rPr>
            </w:pPr>
          </w:p>
        </w:tc>
        <w:tc>
          <w:tcPr>
            <w:tcW w:w="864" w:type="pct"/>
            <w:vAlign w:val="center"/>
          </w:tcPr>
          <w:p w14:paraId="694E5D44">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E5CF854">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31690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21A65C67">
            <w:pPr>
              <w:jc w:val="center"/>
              <w:rPr>
                <w:rFonts w:hint="eastAsia" w:ascii="仿宋_GB2312" w:hAnsi="仿宋_GB2312" w:eastAsia="仿宋_GB2312" w:cs="仿宋_GB2312"/>
                <w:kern w:val="0"/>
                <w:sz w:val="22"/>
                <w:szCs w:val="22"/>
              </w:rPr>
            </w:pPr>
          </w:p>
        </w:tc>
        <w:tc>
          <w:tcPr>
            <w:tcW w:w="2082" w:type="pct"/>
            <w:vAlign w:val="center"/>
          </w:tcPr>
          <w:p w14:paraId="0633A8BF">
            <w:pPr>
              <w:jc w:val="center"/>
              <w:rPr>
                <w:rFonts w:hint="eastAsia" w:ascii="仿宋_GB2312" w:hAnsi="仿宋_GB2312" w:eastAsia="仿宋_GB2312" w:cs="仿宋_GB2312"/>
                <w:kern w:val="0"/>
                <w:sz w:val="22"/>
                <w:szCs w:val="22"/>
              </w:rPr>
            </w:pPr>
          </w:p>
        </w:tc>
        <w:tc>
          <w:tcPr>
            <w:tcW w:w="864" w:type="pct"/>
            <w:vAlign w:val="center"/>
          </w:tcPr>
          <w:p w14:paraId="06DD6C40">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78E83F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19786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24CC5909">
            <w:pPr>
              <w:jc w:val="center"/>
              <w:rPr>
                <w:rFonts w:hint="eastAsia" w:ascii="仿宋_GB2312" w:hAnsi="仿宋_GB2312" w:eastAsia="仿宋_GB2312" w:cs="仿宋_GB2312"/>
                <w:kern w:val="0"/>
                <w:sz w:val="22"/>
                <w:szCs w:val="22"/>
              </w:rPr>
            </w:pPr>
          </w:p>
        </w:tc>
        <w:tc>
          <w:tcPr>
            <w:tcW w:w="2082" w:type="pct"/>
            <w:vAlign w:val="center"/>
          </w:tcPr>
          <w:p w14:paraId="4E80759A">
            <w:pPr>
              <w:jc w:val="center"/>
              <w:rPr>
                <w:rFonts w:hint="eastAsia" w:ascii="仿宋_GB2312" w:hAnsi="仿宋_GB2312" w:eastAsia="仿宋_GB2312" w:cs="仿宋_GB2312"/>
                <w:kern w:val="0"/>
                <w:sz w:val="22"/>
                <w:szCs w:val="22"/>
              </w:rPr>
            </w:pPr>
          </w:p>
        </w:tc>
        <w:tc>
          <w:tcPr>
            <w:tcW w:w="864" w:type="pct"/>
            <w:vAlign w:val="center"/>
          </w:tcPr>
          <w:p w14:paraId="312C6BCA">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102FEBDE">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73D24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3A56E56A">
            <w:pPr>
              <w:jc w:val="center"/>
              <w:rPr>
                <w:rFonts w:hint="eastAsia" w:ascii="仿宋_GB2312" w:hAnsi="仿宋_GB2312" w:eastAsia="仿宋_GB2312" w:cs="仿宋_GB2312"/>
                <w:kern w:val="0"/>
                <w:sz w:val="22"/>
                <w:szCs w:val="22"/>
              </w:rPr>
            </w:pPr>
          </w:p>
        </w:tc>
        <w:tc>
          <w:tcPr>
            <w:tcW w:w="2082" w:type="pct"/>
            <w:vAlign w:val="center"/>
          </w:tcPr>
          <w:p w14:paraId="32ABF909">
            <w:pPr>
              <w:jc w:val="center"/>
              <w:rPr>
                <w:rFonts w:hint="eastAsia" w:ascii="仿宋_GB2312" w:hAnsi="仿宋_GB2312" w:eastAsia="仿宋_GB2312" w:cs="仿宋_GB2312"/>
                <w:kern w:val="0"/>
                <w:sz w:val="22"/>
                <w:szCs w:val="22"/>
              </w:rPr>
            </w:pPr>
          </w:p>
        </w:tc>
        <w:tc>
          <w:tcPr>
            <w:tcW w:w="864" w:type="pct"/>
            <w:vAlign w:val="center"/>
          </w:tcPr>
          <w:p w14:paraId="0A7DACD5">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125C23B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03477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64" w:type="pct"/>
            <w:vMerge w:val="continue"/>
            <w:tcBorders>
              <w:top w:val="nil"/>
              <w:bottom w:val="nil"/>
            </w:tcBorders>
            <w:vAlign w:val="center"/>
          </w:tcPr>
          <w:p w14:paraId="64D320EB">
            <w:pPr>
              <w:jc w:val="center"/>
              <w:rPr>
                <w:rFonts w:hint="eastAsia" w:ascii="仿宋_GB2312" w:hAnsi="仿宋_GB2312" w:eastAsia="仿宋_GB2312" w:cs="仿宋_GB2312"/>
                <w:kern w:val="0"/>
                <w:sz w:val="22"/>
                <w:szCs w:val="22"/>
              </w:rPr>
            </w:pPr>
          </w:p>
        </w:tc>
        <w:tc>
          <w:tcPr>
            <w:tcW w:w="2082" w:type="pct"/>
            <w:vAlign w:val="center"/>
          </w:tcPr>
          <w:p w14:paraId="12A2D1E2">
            <w:pPr>
              <w:jc w:val="center"/>
              <w:rPr>
                <w:rFonts w:hint="eastAsia" w:ascii="仿宋_GB2312" w:hAnsi="仿宋_GB2312" w:eastAsia="仿宋_GB2312" w:cs="仿宋_GB2312"/>
                <w:kern w:val="0"/>
                <w:sz w:val="22"/>
                <w:szCs w:val="22"/>
              </w:rPr>
            </w:pPr>
          </w:p>
        </w:tc>
        <w:tc>
          <w:tcPr>
            <w:tcW w:w="864" w:type="pct"/>
            <w:vAlign w:val="center"/>
          </w:tcPr>
          <w:p w14:paraId="0B5A7DE8">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299CE69A">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4E502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682282AA">
            <w:pPr>
              <w:jc w:val="center"/>
              <w:rPr>
                <w:rFonts w:hint="eastAsia" w:ascii="仿宋_GB2312" w:hAnsi="仿宋_GB2312" w:eastAsia="仿宋_GB2312" w:cs="仿宋_GB2312"/>
                <w:kern w:val="0"/>
                <w:sz w:val="22"/>
                <w:szCs w:val="22"/>
              </w:rPr>
            </w:pPr>
          </w:p>
        </w:tc>
        <w:tc>
          <w:tcPr>
            <w:tcW w:w="2082" w:type="pct"/>
            <w:vAlign w:val="center"/>
          </w:tcPr>
          <w:p w14:paraId="0EFB9F36">
            <w:pPr>
              <w:jc w:val="center"/>
              <w:rPr>
                <w:rFonts w:hint="eastAsia" w:ascii="仿宋_GB2312" w:hAnsi="仿宋_GB2312" w:eastAsia="仿宋_GB2312" w:cs="仿宋_GB2312"/>
                <w:kern w:val="0"/>
                <w:sz w:val="22"/>
                <w:szCs w:val="22"/>
              </w:rPr>
            </w:pPr>
          </w:p>
        </w:tc>
        <w:tc>
          <w:tcPr>
            <w:tcW w:w="864" w:type="pct"/>
            <w:vAlign w:val="center"/>
          </w:tcPr>
          <w:p w14:paraId="661790DD">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311D5B9B">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3BFF1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73755992">
            <w:pPr>
              <w:jc w:val="center"/>
              <w:rPr>
                <w:rFonts w:hint="eastAsia" w:ascii="仿宋_GB2312" w:hAnsi="仿宋_GB2312" w:eastAsia="仿宋_GB2312" w:cs="仿宋_GB2312"/>
                <w:kern w:val="0"/>
                <w:sz w:val="22"/>
                <w:szCs w:val="22"/>
              </w:rPr>
            </w:pPr>
          </w:p>
        </w:tc>
        <w:tc>
          <w:tcPr>
            <w:tcW w:w="2082" w:type="pct"/>
            <w:vAlign w:val="center"/>
          </w:tcPr>
          <w:p w14:paraId="77FA18F1">
            <w:pPr>
              <w:jc w:val="center"/>
              <w:rPr>
                <w:rFonts w:hint="eastAsia" w:ascii="仿宋_GB2312" w:hAnsi="仿宋_GB2312" w:eastAsia="仿宋_GB2312" w:cs="仿宋_GB2312"/>
                <w:kern w:val="0"/>
                <w:sz w:val="22"/>
                <w:szCs w:val="22"/>
              </w:rPr>
            </w:pPr>
          </w:p>
        </w:tc>
        <w:tc>
          <w:tcPr>
            <w:tcW w:w="864" w:type="pct"/>
            <w:vAlign w:val="center"/>
          </w:tcPr>
          <w:p w14:paraId="509BCCC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040B2E62">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22EAF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44CB01EE">
            <w:pPr>
              <w:jc w:val="center"/>
              <w:rPr>
                <w:rFonts w:hint="eastAsia" w:ascii="仿宋_GB2312" w:hAnsi="仿宋_GB2312" w:eastAsia="仿宋_GB2312" w:cs="仿宋_GB2312"/>
                <w:kern w:val="0"/>
                <w:sz w:val="22"/>
                <w:szCs w:val="22"/>
              </w:rPr>
            </w:pPr>
          </w:p>
        </w:tc>
        <w:tc>
          <w:tcPr>
            <w:tcW w:w="2082" w:type="pct"/>
            <w:vAlign w:val="center"/>
          </w:tcPr>
          <w:p w14:paraId="3B15D430">
            <w:pPr>
              <w:jc w:val="center"/>
              <w:rPr>
                <w:rFonts w:hint="eastAsia" w:ascii="仿宋_GB2312" w:hAnsi="仿宋_GB2312" w:eastAsia="仿宋_GB2312" w:cs="仿宋_GB2312"/>
                <w:kern w:val="0"/>
                <w:sz w:val="22"/>
                <w:szCs w:val="22"/>
              </w:rPr>
            </w:pPr>
          </w:p>
        </w:tc>
        <w:tc>
          <w:tcPr>
            <w:tcW w:w="864" w:type="pct"/>
            <w:vAlign w:val="center"/>
          </w:tcPr>
          <w:p w14:paraId="4F7A0F47">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18A8E878">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0C2A5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nil"/>
            </w:tcBorders>
            <w:vAlign w:val="center"/>
          </w:tcPr>
          <w:p w14:paraId="2B03FFFD">
            <w:pPr>
              <w:jc w:val="center"/>
              <w:rPr>
                <w:rFonts w:hint="eastAsia" w:ascii="仿宋_GB2312" w:hAnsi="仿宋_GB2312" w:eastAsia="仿宋_GB2312" w:cs="仿宋_GB2312"/>
                <w:kern w:val="0"/>
                <w:sz w:val="22"/>
                <w:szCs w:val="22"/>
              </w:rPr>
            </w:pPr>
          </w:p>
        </w:tc>
        <w:tc>
          <w:tcPr>
            <w:tcW w:w="2082" w:type="pct"/>
            <w:vAlign w:val="center"/>
          </w:tcPr>
          <w:p w14:paraId="538058A9">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rPr>
              <w:t>波形采集（不用者不填）</w:t>
            </w:r>
          </w:p>
        </w:tc>
        <w:tc>
          <w:tcPr>
            <w:tcW w:w="864" w:type="pct"/>
            <w:vAlign w:val="center"/>
          </w:tcPr>
          <w:p w14:paraId="7DD63DBB">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tcBorders>
              <w:right w:val="single" w:color="auto" w:sz="4" w:space="0"/>
            </w:tcBorders>
            <w:vAlign w:val="center"/>
          </w:tcPr>
          <w:p w14:paraId="1F0B362E">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28A84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single" w:color="auto" w:sz="4" w:space="0"/>
            </w:tcBorders>
            <w:vAlign w:val="center"/>
          </w:tcPr>
          <w:p w14:paraId="4F6427F2">
            <w:pPr>
              <w:jc w:val="center"/>
              <w:rPr>
                <w:rFonts w:hint="eastAsia" w:ascii="仿宋_GB2312" w:hAnsi="仿宋_GB2312" w:eastAsia="仿宋_GB2312" w:cs="仿宋_GB2312"/>
                <w:kern w:val="0"/>
                <w:sz w:val="22"/>
                <w:szCs w:val="22"/>
              </w:rPr>
            </w:pPr>
          </w:p>
        </w:tc>
        <w:tc>
          <w:tcPr>
            <w:tcW w:w="3936" w:type="pct"/>
            <w:gridSpan w:val="3"/>
            <w:tcBorders>
              <w:right w:val="single" w:color="auto" w:sz="4" w:space="0"/>
            </w:tcBorders>
            <w:vAlign w:val="center"/>
          </w:tcPr>
          <w:p w14:paraId="505D5C3C">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8"/>
                <w:sz w:val="22"/>
                <w:szCs w:val="22"/>
                <w:lang w:eastAsia="zh-CN"/>
              </w:rPr>
              <w:t>※注明测试条件、插件代码和编号，控制单元针脚代号以及测量结果</w:t>
            </w:r>
          </w:p>
        </w:tc>
      </w:tr>
      <w:tr w14:paraId="64241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tcBorders>
              <w:top w:val="single" w:color="auto" w:sz="4" w:space="0"/>
              <w:bottom w:val="single" w:color="auto" w:sz="4" w:space="0"/>
            </w:tcBorders>
            <w:vAlign w:val="center"/>
          </w:tcPr>
          <w:p w14:paraId="5A4BB4FB">
            <w:pP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故障点和故障类型确认（同时需要在维修手册上指出故障位置）</w:t>
            </w:r>
          </w:p>
        </w:tc>
        <w:tc>
          <w:tcPr>
            <w:tcW w:w="3936" w:type="pct"/>
            <w:gridSpan w:val="3"/>
            <w:tcBorders>
              <w:right w:val="single" w:color="auto" w:sz="4" w:space="0"/>
            </w:tcBorders>
            <w:vAlign w:val="center"/>
          </w:tcPr>
          <w:p w14:paraId="256AE417">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2"/>
                <w:sz w:val="22"/>
                <w:szCs w:val="22"/>
                <w:lang w:eastAsia="zh-CN"/>
              </w:rPr>
              <w:t>※电路图上指出最小故障线路范围或故障部件</w:t>
            </w:r>
          </w:p>
          <w:p w14:paraId="10BD1735">
            <w:pPr>
              <w:pStyle w:val="20"/>
              <w:jc w:val="center"/>
              <w:rPr>
                <w:rFonts w:hint="eastAsia" w:ascii="仿宋_GB2312" w:hAnsi="仿宋_GB2312" w:eastAsia="仿宋_GB2312" w:cs="仿宋_GB2312"/>
                <w:spacing w:val="2"/>
                <w:sz w:val="22"/>
                <w:szCs w:val="22"/>
                <w:lang w:eastAsia="zh-CN"/>
              </w:rPr>
            </w:pPr>
          </w:p>
          <w:p w14:paraId="412FFF5B">
            <w:pPr>
              <w:pStyle w:val="20"/>
              <w:jc w:val="center"/>
              <w:rPr>
                <w:rFonts w:hint="eastAsia" w:ascii="仿宋_GB2312" w:hAnsi="仿宋_GB2312" w:eastAsia="仿宋_GB2312" w:cs="仿宋_GB2312"/>
                <w:spacing w:val="2"/>
                <w:sz w:val="22"/>
                <w:szCs w:val="22"/>
                <w:lang w:eastAsia="zh-CN"/>
              </w:rPr>
            </w:pPr>
          </w:p>
          <w:p w14:paraId="69641B40">
            <w:pPr>
              <w:pStyle w:val="20"/>
              <w:jc w:val="center"/>
              <w:rPr>
                <w:rFonts w:hint="eastAsia" w:ascii="仿宋_GB2312" w:hAnsi="仿宋_GB2312" w:eastAsia="仿宋_GB2312" w:cs="仿宋_GB2312"/>
                <w:spacing w:val="2"/>
                <w:sz w:val="22"/>
                <w:szCs w:val="22"/>
                <w:lang w:eastAsia="zh-CN"/>
              </w:rPr>
            </w:pPr>
          </w:p>
          <w:p w14:paraId="4076543F">
            <w:pPr>
              <w:pStyle w:val="20"/>
              <w:jc w:val="center"/>
              <w:rPr>
                <w:rFonts w:hint="eastAsia" w:ascii="仿宋_GB2312" w:hAnsi="仿宋_GB2312" w:eastAsia="仿宋_GB2312" w:cs="仿宋_GB2312"/>
                <w:spacing w:val="2"/>
                <w:sz w:val="22"/>
                <w:szCs w:val="22"/>
                <w:lang w:eastAsia="zh-CN"/>
              </w:rPr>
            </w:pPr>
          </w:p>
          <w:p w14:paraId="168AC13E">
            <w:pPr>
              <w:pStyle w:val="20"/>
              <w:jc w:val="center"/>
              <w:rPr>
                <w:rFonts w:hint="eastAsia" w:ascii="仿宋_GB2312" w:hAnsi="仿宋_GB2312" w:eastAsia="仿宋_GB2312" w:cs="仿宋_GB2312"/>
                <w:spacing w:val="2"/>
                <w:sz w:val="22"/>
                <w:szCs w:val="22"/>
                <w:lang w:eastAsia="zh-CN"/>
              </w:rPr>
            </w:pPr>
          </w:p>
        </w:tc>
      </w:tr>
    </w:tbl>
    <w:p w14:paraId="58B3BA98">
      <w:pPr>
        <w:widowControl/>
        <w:jc w:val="left"/>
        <w:rPr>
          <w:rFonts w:hint="eastAsia" w:ascii="宋体" w:hAnsi="宋体" w:eastAsia="宋体"/>
          <w:b/>
          <w:bCs/>
          <w:sz w:val="24"/>
          <w:szCs w:val="24"/>
        </w:rPr>
      </w:pPr>
    </w:p>
    <w:p w14:paraId="43A037EF">
      <w:pPr>
        <w:widowControl/>
        <w:jc w:val="left"/>
        <w:rPr>
          <w:rFonts w:hint="eastAsia" w:ascii="仿宋_GB2312" w:hAnsi="仿宋_GB2312" w:eastAsia="仿宋_GB2312" w:cs="仿宋_GB2312"/>
          <w:snapToGrid w:val="0"/>
          <w:color w:val="FF0000"/>
          <w:kern w:val="0"/>
          <w:sz w:val="24"/>
          <w:szCs w:val="24"/>
          <w14:textOutline w14:w="4356" w14:cap="sq" w14:cmpd="sng" w14:algn="ctr">
            <w14:solidFill>
              <w14:srgbClr w14:val="000000"/>
            </w14:solidFill>
            <w14:prstDash w14:val="solid"/>
            <w14:bevel/>
          </w14:textOutline>
        </w:rPr>
      </w:pPr>
      <w:r>
        <w:rPr>
          <w:rFonts w:hint="eastAsia" w:ascii="仿宋_GB2312" w:hAnsi="仿宋_GB2312" w:eastAsia="仿宋_GB2312" w:cs="仿宋_GB2312"/>
          <w:color w:val="FF0000"/>
          <w:sz w:val="24"/>
          <w:szCs w:val="24"/>
          <w14:textOutline w14:w="4356" w14:cap="sq" w14:cmpd="sng" w14:algn="ctr">
            <w14:solidFill>
              <w14:srgbClr w14:val="000000"/>
            </w14:solidFill>
            <w14:prstDash w14:val="solid"/>
            <w14:bevel/>
          </w14:textOutline>
        </w:rPr>
        <w:br w:type="page"/>
      </w:r>
    </w:p>
    <w:p w14:paraId="2836779F">
      <w:pPr>
        <w:pStyle w:val="6"/>
        <w:rPr>
          <w:rFonts w:hint="eastAsia" w:ascii="仿宋_GB2312" w:hAnsi="仿宋_GB2312" w:eastAsia="仿宋_GB2312" w:cs="仿宋_GB2312"/>
          <w:sz w:val="24"/>
          <w:szCs w:val="24"/>
          <w:lang w:eastAsia="zh-CN"/>
          <w14:textOutline w14:w="4356" w14:cap="sq" w14:cmpd="sng" w14:algn="ctr">
            <w14:solidFill>
              <w14:srgbClr w14:val="000000"/>
            </w14:solidFill>
            <w14:prstDash w14:val="solid"/>
            <w14:bevel/>
          </w14:textOutline>
        </w:rPr>
      </w:pPr>
      <w:r>
        <w:rPr>
          <w:rFonts w:hint="eastAsia" w:ascii="仿宋_GB2312" w:hAnsi="仿宋_GB2312" w:eastAsia="仿宋_GB2312" w:cs="仿宋_GB2312"/>
          <w:color w:val="FF0000"/>
          <w:sz w:val="24"/>
          <w:szCs w:val="24"/>
          <w:lang w:eastAsia="zh-CN"/>
          <w14:textOutline w14:w="4356" w14:cap="sq" w14:cmpd="sng" w14:algn="ctr">
            <w14:solidFill>
              <w14:srgbClr w14:val="000000"/>
            </w14:solidFill>
            <w14:prstDash w14:val="solid"/>
            <w14:bevel/>
          </w14:textOutline>
        </w:rPr>
        <w:t>故障点3：</w:t>
      </w:r>
    </w:p>
    <w:p w14:paraId="4C97E634">
      <w:pPr>
        <w:spacing w:line="120" w:lineRule="exact"/>
        <w:rPr>
          <w:rFonts w:hint="eastAsia" w:ascii="仿宋_GB2312" w:hAnsi="仿宋_GB2312" w:eastAsia="仿宋_GB2312" w:cs="仿宋_GB2312"/>
          <w:sz w:val="22"/>
        </w:rPr>
      </w:pPr>
    </w:p>
    <w:tbl>
      <w:tblPr>
        <w:tblStyle w:val="16"/>
        <w:tblW w:w="488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27"/>
        <w:gridCol w:w="3381"/>
        <w:gridCol w:w="1403"/>
        <w:gridCol w:w="1608"/>
      </w:tblGrid>
      <w:tr w14:paraId="08411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064" w:type="pct"/>
            <w:vMerge w:val="restart"/>
            <w:tcBorders>
              <w:bottom w:val="nil"/>
            </w:tcBorders>
            <w:vAlign w:val="center"/>
          </w:tcPr>
          <w:p w14:paraId="7A6731C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14:textOutline w14:w="4013" w14:cap="sq" w14:cmpd="sng" w14:algn="ctr">
                  <w14:solidFill>
                    <w14:srgbClr w14:val="000000"/>
                  </w14:solidFill>
                  <w14:prstDash w14:val="solid"/>
                  <w14:bevel/>
                </w14:textOutline>
              </w:rPr>
              <w:t>故障现象确</w:t>
            </w:r>
            <w:r>
              <w:rPr>
                <w:rFonts w:hint="eastAsia" w:ascii="仿宋_GB2312" w:hAnsi="仿宋_GB2312" w:eastAsia="仿宋_GB2312" w:cs="仿宋_GB2312"/>
                <w:sz w:val="22"/>
                <w:szCs w:val="22"/>
                <w14:textOutline w14:w="4013" w14:cap="sq" w14:cmpd="sng" w14:algn="ctr">
                  <w14:solidFill>
                    <w14:srgbClr w14:val="000000"/>
                  </w14:solidFill>
                  <w14:prstDash w14:val="solid"/>
                  <w14:bevel/>
                </w14:textOutline>
              </w:rPr>
              <w:t>认</w:t>
            </w:r>
          </w:p>
        </w:tc>
        <w:tc>
          <w:tcPr>
            <w:tcW w:w="3936" w:type="pct"/>
            <w:gridSpan w:val="3"/>
            <w:vMerge w:val="restart"/>
            <w:tcBorders>
              <w:bottom w:val="nil"/>
            </w:tcBorders>
            <w:vAlign w:val="center"/>
          </w:tcPr>
          <w:p w14:paraId="63ECA349">
            <w:pPr>
              <w:jc w:val="center"/>
              <w:rPr>
                <w:rFonts w:hint="eastAsia" w:ascii="仿宋_GB2312" w:hAnsi="仿宋_GB2312" w:eastAsia="仿宋_GB2312" w:cs="仿宋_GB2312"/>
                <w:kern w:val="0"/>
                <w:sz w:val="22"/>
                <w:szCs w:val="22"/>
              </w:rPr>
            </w:pPr>
          </w:p>
        </w:tc>
      </w:tr>
      <w:tr w14:paraId="445C2A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064" w:type="pct"/>
            <w:vMerge w:val="continue"/>
            <w:tcBorders>
              <w:top w:val="nil"/>
              <w:bottom w:val="single" w:color="auto" w:sz="4" w:space="0"/>
            </w:tcBorders>
            <w:vAlign w:val="center"/>
          </w:tcPr>
          <w:p w14:paraId="43171E7D">
            <w:pPr>
              <w:jc w:val="center"/>
              <w:rPr>
                <w:rFonts w:hint="eastAsia" w:ascii="仿宋_GB2312" w:hAnsi="仿宋_GB2312" w:eastAsia="仿宋_GB2312" w:cs="仿宋_GB2312"/>
                <w:kern w:val="0"/>
                <w:sz w:val="22"/>
                <w:szCs w:val="22"/>
              </w:rPr>
            </w:pPr>
          </w:p>
        </w:tc>
        <w:tc>
          <w:tcPr>
            <w:tcW w:w="3936" w:type="pct"/>
            <w:gridSpan w:val="3"/>
            <w:vMerge w:val="continue"/>
            <w:tcBorders>
              <w:top w:val="nil"/>
            </w:tcBorders>
            <w:vAlign w:val="center"/>
          </w:tcPr>
          <w:p w14:paraId="68F97075">
            <w:pPr>
              <w:jc w:val="center"/>
              <w:rPr>
                <w:rFonts w:hint="eastAsia" w:ascii="仿宋_GB2312" w:hAnsi="仿宋_GB2312" w:eastAsia="仿宋_GB2312" w:cs="仿宋_GB2312"/>
                <w:kern w:val="0"/>
                <w:sz w:val="22"/>
                <w:szCs w:val="22"/>
              </w:rPr>
            </w:pPr>
          </w:p>
        </w:tc>
      </w:tr>
      <w:tr w14:paraId="6CE7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064" w:type="pct"/>
            <w:vMerge w:val="restart"/>
            <w:tcBorders>
              <w:top w:val="single" w:color="auto" w:sz="4" w:space="0"/>
              <w:bottom w:val="nil"/>
            </w:tcBorders>
            <w:vAlign w:val="center"/>
          </w:tcPr>
          <w:p w14:paraId="1ED901DF">
            <w:pPr>
              <w:rPr>
                <w:rFonts w:hint="eastAsia" w:ascii="仿宋_GB2312" w:hAnsi="仿宋_GB2312" w:eastAsia="仿宋_GB2312" w:cs="仿宋_GB2312"/>
                <w:kern w:val="0"/>
                <w:sz w:val="22"/>
                <w:szCs w:val="22"/>
              </w:rPr>
            </w:pPr>
          </w:p>
          <w:p w14:paraId="062986A8">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部件</w:t>
            </w:r>
            <w:r>
              <w:rPr>
                <w:rFonts w:hint="eastAsia" w:ascii="仿宋_GB2312" w:hAnsi="仿宋_GB2312" w:eastAsia="仿宋_GB2312" w:cs="仿宋_GB2312"/>
                <w:spacing w:val="-47"/>
                <w:sz w:val="22"/>
                <w:szCs w:val="22"/>
              </w:rPr>
              <w:t xml:space="preserve"> </w:t>
            </w: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/电路</w:t>
            </w:r>
            <w:r>
              <w:rPr>
                <w:rFonts w:hint="eastAsia" w:ascii="仿宋_GB2312" w:hAnsi="仿宋_GB2312" w:eastAsia="仿宋_GB2312" w:cs="仿宋_GB2312"/>
                <w:spacing w:val="-4"/>
                <w:sz w:val="22"/>
                <w:szCs w:val="22"/>
                <w14:textOutline w14:w="4013" w14:cap="sq" w14:cmpd="sng" w14:algn="ctr">
                  <w14:solidFill>
                    <w14:srgbClr w14:val="000000"/>
                  </w14:solidFill>
                  <w14:prstDash w14:val="solid"/>
                  <w14:bevel/>
                </w14:textOutline>
              </w:rPr>
              <w:t>测试</w:t>
            </w:r>
          </w:p>
        </w:tc>
        <w:tc>
          <w:tcPr>
            <w:tcW w:w="2082" w:type="pct"/>
            <w:vAlign w:val="center"/>
          </w:tcPr>
          <w:p w14:paraId="021F88D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14:textOutline w14:w="3797" w14:cap="sq" w14:cmpd="sng" w14:algn="ctr">
                  <w14:solidFill>
                    <w14:srgbClr w14:val="000000"/>
                  </w14:solidFill>
                  <w14:prstDash w14:val="solid"/>
                  <w14:bevel/>
                </w14:textOutline>
              </w:rPr>
              <w:t>部件/线路范围</w:t>
            </w:r>
          </w:p>
        </w:tc>
        <w:tc>
          <w:tcPr>
            <w:tcW w:w="1854" w:type="pct"/>
            <w:gridSpan w:val="2"/>
            <w:vAlign w:val="center"/>
          </w:tcPr>
          <w:p w14:paraId="0ED06CBB">
            <w:pPr>
              <w:pStyle w:val="20"/>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pacing w:val="9"/>
                <w:sz w:val="22"/>
                <w:szCs w:val="22"/>
                <w:lang w:eastAsia="zh-CN"/>
                <w14:textOutline w14:w="3797" w14:cap="sq" w14:cmpd="sng" w14:algn="ctr">
                  <w14:solidFill>
                    <w14:srgbClr w14:val="000000"/>
                  </w14:solidFill>
                  <w14:prstDash w14:val="solid"/>
                  <w14:bevel/>
                </w14:textOutline>
              </w:rPr>
              <w:t>检查或测试后的结</w:t>
            </w:r>
            <w:r>
              <w:rPr>
                <w:rFonts w:hint="eastAsia" w:ascii="仿宋_GB2312" w:hAnsi="仿宋_GB2312" w:eastAsia="仿宋_GB2312" w:cs="仿宋_GB2312"/>
                <w:spacing w:val="3"/>
                <w:sz w:val="22"/>
                <w:szCs w:val="22"/>
                <w:lang w:eastAsia="zh-CN"/>
              </w:rPr>
              <w:t xml:space="preserve"> </w:t>
            </w:r>
            <w:r>
              <w:rPr>
                <w:rFonts w:hint="eastAsia" w:ascii="仿宋_GB2312" w:hAnsi="仿宋_GB2312" w:eastAsia="仿宋_GB2312" w:cs="仿宋_GB2312"/>
                <w:spacing w:val="6"/>
                <w:sz w:val="22"/>
                <w:szCs w:val="22"/>
                <w:lang w:eastAsia="zh-CN"/>
                <w14:textOutline w14:w="3797" w14:cap="sq" w14:cmpd="sng" w14:algn="ctr">
                  <w14:solidFill>
                    <w14:srgbClr w14:val="000000"/>
                  </w14:solidFill>
                  <w14:prstDash w14:val="solid"/>
                  <w14:bevel/>
                </w14:textOutline>
              </w:rPr>
              <w:t>果判断</w:t>
            </w:r>
          </w:p>
        </w:tc>
      </w:tr>
      <w:tr w14:paraId="04083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64" w:type="pct"/>
            <w:vMerge w:val="continue"/>
            <w:tcBorders>
              <w:top w:val="nil"/>
              <w:bottom w:val="nil"/>
            </w:tcBorders>
            <w:vAlign w:val="center"/>
          </w:tcPr>
          <w:p w14:paraId="1A9EDBBC">
            <w:pPr>
              <w:jc w:val="center"/>
              <w:rPr>
                <w:rFonts w:hint="eastAsia" w:ascii="仿宋_GB2312" w:hAnsi="仿宋_GB2312" w:eastAsia="仿宋_GB2312" w:cs="仿宋_GB2312"/>
                <w:kern w:val="0"/>
                <w:sz w:val="22"/>
                <w:szCs w:val="22"/>
              </w:rPr>
            </w:pPr>
          </w:p>
        </w:tc>
        <w:tc>
          <w:tcPr>
            <w:tcW w:w="2082" w:type="pct"/>
            <w:vAlign w:val="center"/>
          </w:tcPr>
          <w:p w14:paraId="5B607D28">
            <w:pPr>
              <w:jc w:val="center"/>
              <w:rPr>
                <w:rFonts w:hint="eastAsia" w:ascii="仿宋_GB2312" w:hAnsi="仿宋_GB2312" w:eastAsia="仿宋_GB2312" w:cs="仿宋_GB2312"/>
                <w:kern w:val="0"/>
                <w:sz w:val="22"/>
                <w:szCs w:val="22"/>
              </w:rPr>
            </w:pPr>
          </w:p>
        </w:tc>
        <w:tc>
          <w:tcPr>
            <w:tcW w:w="864" w:type="pct"/>
            <w:vAlign w:val="center"/>
          </w:tcPr>
          <w:p w14:paraId="1FAE5AC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EDD1F57">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05A9D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4B01EF31">
            <w:pPr>
              <w:jc w:val="center"/>
              <w:rPr>
                <w:rFonts w:hint="eastAsia" w:ascii="仿宋_GB2312" w:hAnsi="仿宋_GB2312" w:eastAsia="仿宋_GB2312" w:cs="仿宋_GB2312"/>
                <w:kern w:val="0"/>
                <w:sz w:val="22"/>
                <w:szCs w:val="22"/>
              </w:rPr>
            </w:pPr>
          </w:p>
        </w:tc>
        <w:tc>
          <w:tcPr>
            <w:tcW w:w="2082" w:type="pct"/>
            <w:vAlign w:val="center"/>
          </w:tcPr>
          <w:p w14:paraId="24421859">
            <w:pPr>
              <w:jc w:val="center"/>
              <w:rPr>
                <w:rFonts w:hint="eastAsia" w:ascii="仿宋_GB2312" w:hAnsi="仿宋_GB2312" w:eastAsia="仿宋_GB2312" w:cs="仿宋_GB2312"/>
                <w:kern w:val="0"/>
                <w:sz w:val="22"/>
                <w:szCs w:val="22"/>
              </w:rPr>
            </w:pPr>
          </w:p>
        </w:tc>
        <w:tc>
          <w:tcPr>
            <w:tcW w:w="864" w:type="pct"/>
            <w:vAlign w:val="center"/>
          </w:tcPr>
          <w:p w14:paraId="16ACD73D">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FCA0EE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768EF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5FD556B5">
            <w:pPr>
              <w:jc w:val="center"/>
              <w:rPr>
                <w:rFonts w:hint="eastAsia" w:ascii="仿宋_GB2312" w:hAnsi="仿宋_GB2312" w:eastAsia="仿宋_GB2312" w:cs="仿宋_GB2312"/>
                <w:kern w:val="0"/>
                <w:sz w:val="22"/>
                <w:szCs w:val="22"/>
              </w:rPr>
            </w:pPr>
          </w:p>
        </w:tc>
        <w:tc>
          <w:tcPr>
            <w:tcW w:w="2082" w:type="pct"/>
            <w:vAlign w:val="center"/>
          </w:tcPr>
          <w:p w14:paraId="166C4D1A">
            <w:pPr>
              <w:jc w:val="center"/>
              <w:rPr>
                <w:rFonts w:hint="eastAsia" w:ascii="仿宋_GB2312" w:hAnsi="仿宋_GB2312" w:eastAsia="仿宋_GB2312" w:cs="仿宋_GB2312"/>
                <w:kern w:val="0"/>
                <w:sz w:val="22"/>
                <w:szCs w:val="22"/>
              </w:rPr>
            </w:pPr>
          </w:p>
        </w:tc>
        <w:tc>
          <w:tcPr>
            <w:tcW w:w="864" w:type="pct"/>
            <w:vAlign w:val="center"/>
          </w:tcPr>
          <w:p w14:paraId="53D68EC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693021D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69983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665D4CB1">
            <w:pPr>
              <w:jc w:val="center"/>
              <w:rPr>
                <w:rFonts w:hint="eastAsia" w:ascii="仿宋_GB2312" w:hAnsi="仿宋_GB2312" w:eastAsia="仿宋_GB2312" w:cs="仿宋_GB2312"/>
                <w:kern w:val="0"/>
                <w:sz w:val="22"/>
                <w:szCs w:val="22"/>
              </w:rPr>
            </w:pPr>
          </w:p>
        </w:tc>
        <w:tc>
          <w:tcPr>
            <w:tcW w:w="2082" w:type="pct"/>
            <w:vAlign w:val="center"/>
          </w:tcPr>
          <w:p w14:paraId="24540F06">
            <w:pPr>
              <w:jc w:val="center"/>
              <w:rPr>
                <w:rFonts w:hint="eastAsia" w:ascii="仿宋_GB2312" w:hAnsi="仿宋_GB2312" w:eastAsia="仿宋_GB2312" w:cs="仿宋_GB2312"/>
                <w:kern w:val="0"/>
                <w:sz w:val="22"/>
                <w:szCs w:val="22"/>
              </w:rPr>
            </w:pPr>
          </w:p>
        </w:tc>
        <w:tc>
          <w:tcPr>
            <w:tcW w:w="864" w:type="pct"/>
            <w:vAlign w:val="center"/>
          </w:tcPr>
          <w:p w14:paraId="47D12229">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3D18559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2393C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65" w:hRule="atLeast"/>
        </w:trPr>
        <w:tc>
          <w:tcPr>
            <w:tcW w:w="1064" w:type="pct"/>
            <w:vMerge w:val="continue"/>
            <w:tcBorders>
              <w:top w:val="nil"/>
              <w:bottom w:val="nil"/>
            </w:tcBorders>
            <w:vAlign w:val="center"/>
          </w:tcPr>
          <w:p w14:paraId="102BA514">
            <w:pPr>
              <w:jc w:val="center"/>
              <w:rPr>
                <w:rFonts w:hint="eastAsia" w:ascii="仿宋_GB2312" w:hAnsi="仿宋_GB2312" w:eastAsia="仿宋_GB2312" w:cs="仿宋_GB2312"/>
                <w:kern w:val="0"/>
                <w:sz w:val="22"/>
                <w:szCs w:val="22"/>
              </w:rPr>
            </w:pPr>
          </w:p>
        </w:tc>
        <w:tc>
          <w:tcPr>
            <w:tcW w:w="2082" w:type="pct"/>
            <w:vAlign w:val="center"/>
          </w:tcPr>
          <w:p w14:paraId="7568AEC1">
            <w:pPr>
              <w:jc w:val="center"/>
              <w:rPr>
                <w:rFonts w:hint="eastAsia" w:ascii="仿宋_GB2312" w:hAnsi="仿宋_GB2312" w:eastAsia="仿宋_GB2312" w:cs="仿宋_GB2312"/>
                <w:kern w:val="0"/>
                <w:sz w:val="22"/>
                <w:szCs w:val="22"/>
              </w:rPr>
            </w:pPr>
          </w:p>
        </w:tc>
        <w:tc>
          <w:tcPr>
            <w:tcW w:w="864" w:type="pct"/>
            <w:vAlign w:val="center"/>
          </w:tcPr>
          <w:p w14:paraId="4C050EAF">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911310E">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53099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780583F2">
            <w:pPr>
              <w:jc w:val="center"/>
              <w:rPr>
                <w:rFonts w:hint="eastAsia" w:ascii="仿宋_GB2312" w:hAnsi="仿宋_GB2312" w:eastAsia="仿宋_GB2312" w:cs="仿宋_GB2312"/>
                <w:kern w:val="0"/>
                <w:sz w:val="22"/>
                <w:szCs w:val="22"/>
              </w:rPr>
            </w:pPr>
          </w:p>
        </w:tc>
        <w:tc>
          <w:tcPr>
            <w:tcW w:w="2082" w:type="pct"/>
            <w:vAlign w:val="center"/>
          </w:tcPr>
          <w:p w14:paraId="06A3CF5B">
            <w:pPr>
              <w:jc w:val="center"/>
              <w:rPr>
                <w:rFonts w:hint="eastAsia" w:ascii="仿宋_GB2312" w:hAnsi="仿宋_GB2312" w:eastAsia="仿宋_GB2312" w:cs="仿宋_GB2312"/>
                <w:kern w:val="0"/>
                <w:sz w:val="22"/>
                <w:szCs w:val="22"/>
              </w:rPr>
            </w:pPr>
          </w:p>
        </w:tc>
        <w:tc>
          <w:tcPr>
            <w:tcW w:w="864" w:type="pct"/>
            <w:vAlign w:val="center"/>
          </w:tcPr>
          <w:p w14:paraId="5556940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5798C55">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572E2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31F7CFBD">
            <w:pPr>
              <w:jc w:val="center"/>
              <w:rPr>
                <w:rFonts w:hint="eastAsia" w:ascii="仿宋_GB2312" w:hAnsi="仿宋_GB2312" w:eastAsia="仿宋_GB2312" w:cs="仿宋_GB2312"/>
                <w:kern w:val="0"/>
                <w:sz w:val="22"/>
                <w:szCs w:val="22"/>
              </w:rPr>
            </w:pPr>
          </w:p>
        </w:tc>
        <w:tc>
          <w:tcPr>
            <w:tcW w:w="2082" w:type="pct"/>
            <w:vAlign w:val="center"/>
          </w:tcPr>
          <w:p w14:paraId="0AE95E14">
            <w:pPr>
              <w:jc w:val="center"/>
              <w:rPr>
                <w:rFonts w:hint="eastAsia" w:ascii="仿宋_GB2312" w:hAnsi="仿宋_GB2312" w:eastAsia="仿宋_GB2312" w:cs="仿宋_GB2312"/>
                <w:kern w:val="0"/>
                <w:sz w:val="22"/>
                <w:szCs w:val="22"/>
              </w:rPr>
            </w:pPr>
          </w:p>
        </w:tc>
        <w:tc>
          <w:tcPr>
            <w:tcW w:w="864" w:type="pct"/>
            <w:vAlign w:val="center"/>
          </w:tcPr>
          <w:p w14:paraId="35CAE5A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43D82C74">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17FEC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2057CA30">
            <w:pPr>
              <w:jc w:val="center"/>
              <w:rPr>
                <w:rFonts w:hint="eastAsia" w:ascii="仿宋_GB2312" w:hAnsi="仿宋_GB2312" w:eastAsia="仿宋_GB2312" w:cs="仿宋_GB2312"/>
                <w:kern w:val="0"/>
                <w:sz w:val="22"/>
                <w:szCs w:val="22"/>
              </w:rPr>
            </w:pPr>
          </w:p>
        </w:tc>
        <w:tc>
          <w:tcPr>
            <w:tcW w:w="2082" w:type="pct"/>
            <w:vAlign w:val="center"/>
          </w:tcPr>
          <w:p w14:paraId="62F46748">
            <w:pPr>
              <w:jc w:val="center"/>
              <w:rPr>
                <w:rFonts w:hint="eastAsia" w:ascii="仿宋_GB2312" w:hAnsi="仿宋_GB2312" w:eastAsia="仿宋_GB2312" w:cs="仿宋_GB2312"/>
                <w:kern w:val="0"/>
                <w:sz w:val="22"/>
                <w:szCs w:val="22"/>
              </w:rPr>
            </w:pPr>
          </w:p>
        </w:tc>
        <w:tc>
          <w:tcPr>
            <w:tcW w:w="864" w:type="pct"/>
            <w:vAlign w:val="center"/>
          </w:tcPr>
          <w:p w14:paraId="552B18CF">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7163AD5D">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5F9E9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nil"/>
            </w:tcBorders>
            <w:vAlign w:val="center"/>
          </w:tcPr>
          <w:p w14:paraId="23F5C925">
            <w:pPr>
              <w:jc w:val="center"/>
              <w:rPr>
                <w:rFonts w:hint="eastAsia" w:ascii="仿宋_GB2312" w:hAnsi="仿宋_GB2312" w:eastAsia="仿宋_GB2312" w:cs="仿宋_GB2312"/>
                <w:kern w:val="0"/>
                <w:sz w:val="22"/>
                <w:szCs w:val="22"/>
              </w:rPr>
            </w:pPr>
          </w:p>
        </w:tc>
        <w:tc>
          <w:tcPr>
            <w:tcW w:w="2082" w:type="pct"/>
            <w:vAlign w:val="center"/>
          </w:tcPr>
          <w:p w14:paraId="27325B39">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rPr>
              <w:t>波形采集（不用者不填）</w:t>
            </w:r>
          </w:p>
        </w:tc>
        <w:tc>
          <w:tcPr>
            <w:tcW w:w="864" w:type="pct"/>
            <w:vAlign w:val="center"/>
          </w:tcPr>
          <w:p w14:paraId="51E257D2">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tcBorders>
              <w:right w:val="single" w:color="auto" w:sz="4" w:space="0"/>
            </w:tcBorders>
            <w:vAlign w:val="center"/>
          </w:tcPr>
          <w:p w14:paraId="7350036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587D7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single" w:color="auto" w:sz="4" w:space="0"/>
            </w:tcBorders>
            <w:vAlign w:val="center"/>
          </w:tcPr>
          <w:p w14:paraId="61F6F262">
            <w:pPr>
              <w:jc w:val="center"/>
              <w:rPr>
                <w:rFonts w:hint="eastAsia" w:ascii="仿宋_GB2312" w:hAnsi="仿宋_GB2312" w:eastAsia="仿宋_GB2312" w:cs="仿宋_GB2312"/>
                <w:kern w:val="0"/>
                <w:sz w:val="22"/>
                <w:szCs w:val="22"/>
              </w:rPr>
            </w:pPr>
          </w:p>
        </w:tc>
        <w:tc>
          <w:tcPr>
            <w:tcW w:w="3936" w:type="pct"/>
            <w:gridSpan w:val="3"/>
            <w:tcBorders>
              <w:right w:val="single" w:color="auto" w:sz="4" w:space="0"/>
            </w:tcBorders>
            <w:vAlign w:val="center"/>
          </w:tcPr>
          <w:p w14:paraId="59BD9156">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8"/>
                <w:sz w:val="22"/>
                <w:szCs w:val="22"/>
                <w:lang w:eastAsia="zh-CN"/>
              </w:rPr>
              <w:t>※注明测试条件、插件代码和编号，控制单元针脚代号以及测量结果</w:t>
            </w:r>
          </w:p>
        </w:tc>
      </w:tr>
      <w:tr w14:paraId="13597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tcBorders>
              <w:top w:val="single" w:color="auto" w:sz="4" w:space="0"/>
              <w:bottom w:val="single" w:color="auto" w:sz="4" w:space="0"/>
            </w:tcBorders>
            <w:vAlign w:val="center"/>
          </w:tcPr>
          <w:p w14:paraId="5FDCA7F8">
            <w:pP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故障点和故障类型确认（同时需要在维修手册上指出故障位置）</w:t>
            </w:r>
          </w:p>
        </w:tc>
        <w:tc>
          <w:tcPr>
            <w:tcW w:w="3936" w:type="pct"/>
            <w:gridSpan w:val="3"/>
            <w:tcBorders>
              <w:right w:val="single" w:color="auto" w:sz="4" w:space="0"/>
            </w:tcBorders>
            <w:vAlign w:val="center"/>
          </w:tcPr>
          <w:p w14:paraId="2F24C5B6">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2"/>
                <w:sz w:val="22"/>
                <w:szCs w:val="22"/>
                <w:lang w:eastAsia="zh-CN"/>
              </w:rPr>
              <w:t>※电路图上指出最小故障线路范围或故障部件</w:t>
            </w:r>
          </w:p>
          <w:p w14:paraId="30C1B12F">
            <w:pPr>
              <w:pStyle w:val="20"/>
              <w:jc w:val="center"/>
              <w:rPr>
                <w:rFonts w:hint="eastAsia" w:ascii="仿宋_GB2312" w:hAnsi="仿宋_GB2312" w:eastAsia="仿宋_GB2312" w:cs="仿宋_GB2312"/>
                <w:spacing w:val="2"/>
                <w:sz w:val="22"/>
                <w:szCs w:val="22"/>
                <w:lang w:eastAsia="zh-CN"/>
              </w:rPr>
            </w:pPr>
          </w:p>
          <w:p w14:paraId="11B7184A">
            <w:pPr>
              <w:pStyle w:val="20"/>
              <w:jc w:val="center"/>
              <w:rPr>
                <w:rFonts w:hint="eastAsia" w:ascii="仿宋_GB2312" w:hAnsi="仿宋_GB2312" w:eastAsia="仿宋_GB2312" w:cs="仿宋_GB2312"/>
                <w:spacing w:val="2"/>
                <w:sz w:val="22"/>
                <w:szCs w:val="22"/>
                <w:lang w:eastAsia="zh-CN"/>
              </w:rPr>
            </w:pPr>
          </w:p>
          <w:p w14:paraId="382B9BE9">
            <w:pPr>
              <w:pStyle w:val="20"/>
              <w:jc w:val="center"/>
              <w:rPr>
                <w:rFonts w:hint="eastAsia" w:ascii="仿宋_GB2312" w:hAnsi="仿宋_GB2312" w:eastAsia="仿宋_GB2312" w:cs="仿宋_GB2312"/>
                <w:spacing w:val="2"/>
                <w:sz w:val="22"/>
                <w:szCs w:val="22"/>
                <w:lang w:eastAsia="zh-CN"/>
              </w:rPr>
            </w:pPr>
          </w:p>
          <w:p w14:paraId="7C0908FE">
            <w:pPr>
              <w:pStyle w:val="20"/>
              <w:jc w:val="center"/>
              <w:rPr>
                <w:rFonts w:hint="eastAsia" w:ascii="仿宋_GB2312" w:hAnsi="仿宋_GB2312" w:eastAsia="仿宋_GB2312" w:cs="仿宋_GB2312"/>
                <w:spacing w:val="2"/>
                <w:sz w:val="22"/>
                <w:szCs w:val="22"/>
                <w:lang w:eastAsia="zh-CN"/>
              </w:rPr>
            </w:pPr>
          </w:p>
          <w:p w14:paraId="01AADFD4">
            <w:pPr>
              <w:pStyle w:val="20"/>
              <w:jc w:val="center"/>
              <w:rPr>
                <w:rFonts w:hint="eastAsia" w:ascii="仿宋_GB2312" w:hAnsi="仿宋_GB2312" w:eastAsia="仿宋_GB2312" w:cs="仿宋_GB2312"/>
                <w:spacing w:val="2"/>
                <w:sz w:val="22"/>
                <w:szCs w:val="22"/>
                <w:lang w:eastAsia="zh-CN"/>
              </w:rPr>
            </w:pPr>
          </w:p>
        </w:tc>
      </w:tr>
    </w:tbl>
    <w:p w14:paraId="6B116060">
      <w:pPr>
        <w:widowControl/>
        <w:jc w:val="left"/>
        <w:rPr>
          <w:rFonts w:hint="eastAsia" w:ascii="宋体" w:hAnsi="宋体" w:eastAsia="宋体"/>
          <w:b/>
          <w:bCs/>
          <w:sz w:val="24"/>
          <w:szCs w:val="24"/>
        </w:rPr>
      </w:pPr>
    </w:p>
    <w:p w14:paraId="4DE45001">
      <w:pPr>
        <w:widowControl/>
        <w:jc w:val="left"/>
        <w:rPr>
          <w:rFonts w:hint="eastAsia" w:ascii="仿宋_GB2312" w:hAnsi="仿宋_GB2312" w:eastAsia="仿宋_GB2312" w:cs="仿宋_GB2312"/>
          <w:snapToGrid w:val="0"/>
          <w:color w:val="FF0000"/>
          <w:kern w:val="0"/>
          <w:sz w:val="24"/>
          <w:szCs w:val="24"/>
          <w14:textOutline w14:w="4356" w14:cap="sq" w14:cmpd="sng" w14:algn="ctr">
            <w14:solidFill>
              <w14:srgbClr w14:val="000000"/>
            </w14:solidFill>
            <w14:prstDash w14:val="solid"/>
            <w14:bevel/>
          </w14:textOutline>
        </w:rPr>
      </w:pPr>
      <w:r>
        <w:rPr>
          <w:rFonts w:hint="eastAsia" w:ascii="仿宋_GB2312" w:hAnsi="仿宋_GB2312" w:eastAsia="仿宋_GB2312" w:cs="仿宋_GB2312"/>
          <w:color w:val="FF0000"/>
          <w:sz w:val="24"/>
          <w:szCs w:val="24"/>
          <w14:textOutline w14:w="4356" w14:cap="sq" w14:cmpd="sng" w14:algn="ctr">
            <w14:solidFill>
              <w14:srgbClr w14:val="000000"/>
            </w14:solidFill>
            <w14:prstDash w14:val="solid"/>
            <w14:bevel/>
          </w14:textOutline>
        </w:rPr>
        <w:br w:type="page"/>
      </w:r>
    </w:p>
    <w:p w14:paraId="10AC1855">
      <w:pPr>
        <w:pStyle w:val="6"/>
        <w:rPr>
          <w:rFonts w:hint="eastAsia" w:ascii="仿宋_GB2312" w:hAnsi="仿宋_GB2312" w:eastAsia="仿宋_GB2312" w:cs="仿宋_GB2312"/>
          <w:sz w:val="24"/>
          <w:szCs w:val="24"/>
          <w:lang w:eastAsia="zh-CN"/>
          <w14:textOutline w14:w="4356" w14:cap="sq" w14:cmpd="sng" w14:algn="ctr">
            <w14:solidFill>
              <w14:srgbClr w14:val="000000"/>
            </w14:solidFill>
            <w14:prstDash w14:val="solid"/>
            <w14:bevel/>
          </w14:textOutline>
        </w:rPr>
      </w:pPr>
      <w:r>
        <w:rPr>
          <w:rFonts w:hint="eastAsia" w:ascii="仿宋_GB2312" w:hAnsi="仿宋_GB2312" w:eastAsia="仿宋_GB2312" w:cs="仿宋_GB2312"/>
          <w:color w:val="FF0000"/>
          <w:sz w:val="24"/>
          <w:szCs w:val="24"/>
          <w:lang w:eastAsia="zh-CN"/>
          <w14:textOutline w14:w="4356" w14:cap="sq" w14:cmpd="sng" w14:algn="ctr">
            <w14:solidFill>
              <w14:srgbClr w14:val="000000"/>
            </w14:solidFill>
            <w14:prstDash w14:val="solid"/>
            <w14:bevel/>
          </w14:textOutline>
        </w:rPr>
        <w:t>故障点4：</w:t>
      </w:r>
    </w:p>
    <w:p w14:paraId="352E255C">
      <w:pPr>
        <w:spacing w:line="120" w:lineRule="exact"/>
        <w:rPr>
          <w:rFonts w:hint="eastAsia" w:ascii="仿宋_GB2312" w:hAnsi="仿宋_GB2312" w:eastAsia="仿宋_GB2312" w:cs="仿宋_GB2312"/>
          <w:sz w:val="22"/>
        </w:rPr>
      </w:pPr>
    </w:p>
    <w:tbl>
      <w:tblPr>
        <w:tblStyle w:val="16"/>
        <w:tblW w:w="488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27"/>
        <w:gridCol w:w="3381"/>
        <w:gridCol w:w="1403"/>
        <w:gridCol w:w="1608"/>
      </w:tblGrid>
      <w:tr w14:paraId="72AF95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064" w:type="pct"/>
            <w:vMerge w:val="restart"/>
            <w:tcBorders>
              <w:bottom w:val="nil"/>
            </w:tcBorders>
            <w:vAlign w:val="center"/>
          </w:tcPr>
          <w:p w14:paraId="465C01E7">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14:textOutline w14:w="4013" w14:cap="sq" w14:cmpd="sng" w14:algn="ctr">
                  <w14:solidFill>
                    <w14:srgbClr w14:val="000000"/>
                  </w14:solidFill>
                  <w14:prstDash w14:val="solid"/>
                  <w14:bevel/>
                </w14:textOutline>
              </w:rPr>
              <w:t>故障现象确</w:t>
            </w:r>
            <w:r>
              <w:rPr>
                <w:rFonts w:hint="eastAsia" w:ascii="仿宋_GB2312" w:hAnsi="仿宋_GB2312" w:eastAsia="仿宋_GB2312" w:cs="仿宋_GB2312"/>
                <w:sz w:val="22"/>
                <w:szCs w:val="22"/>
                <w14:textOutline w14:w="4013" w14:cap="sq" w14:cmpd="sng" w14:algn="ctr">
                  <w14:solidFill>
                    <w14:srgbClr w14:val="000000"/>
                  </w14:solidFill>
                  <w14:prstDash w14:val="solid"/>
                  <w14:bevel/>
                </w14:textOutline>
              </w:rPr>
              <w:t>认</w:t>
            </w:r>
          </w:p>
        </w:tc>
        <w:tc>
          <w:tcPr>
            <w:tcW w:w="3936" w:type="pct"/>
            <w:gridSpan w:val="3"/>
            <w:vMerge w:val="restart"/>
            <w:tcBorders>
              <w:bottom w:val="nil"/>
            </w:tcBorders>
            <w:vAlign w:val="center"/>
          </w:tcPr>
          <w:p w14:paraId="52C1DFB2">
            <w:pPr>
              <w:jc w:val="center"/>
              <w:rPr>
                <w:rFonts w:hint="eastAsia" w:ascii="仿宋_GB2312" w:hAnsi="仿宋_GB2312" w:eastAsia="仿宋_GB2312" w:cs="仿宋_GB2312"/>
                <w:kern w:val="0"/>
                <w:sz w:val="22"/>
                <w:szCs w:val="22"/>
              </w:rPr>
            </w:pPr>
          </w:p>
        </w:tc>
      </w:tr>
      <w:tr w14:paraId="1E2AC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064" w:type="pct"/>
            <w:vMerge w:val="continue"/>
            <w:tcBorders>
              <w:top w:val="nil"/>
              <w:bottom w:val="single" w:color="auto" w:sz="4" w:space="0"/>
            </w:tcBorders>
            <w:vAlign w:val="center"/>
          </w:tcPr>
          <w:p w14:paraId="54FE373B">
            <w:pPr>
              <w:jc w:val="center"/>
              <w:rPr>
                <w:rFonts w:hint="eastAsia" w:ascii="仿宋_GB2312" w:hAnsi="仿宋_GB2312" w:eastAsia="仿宋_GB2312" w:cs="仿宋_GB2312"/>
                <w:kern w:val="0"/>
                <w:sz w:val="22"/>
                <w:szCs w:val="22"/>
              </w:rPr>
            </w:pPr>
          </w:p>
        </w:tc>
        <w:tc>
          <w:tcPr>
            <w:tcW w:w="3936" w:type="pct"/>
            <w:gridSpan w:val="3"/>
            <w:vMerge w:val="continue"/>
            <w:tcBorders>
              <w:top w:val="nil"/>
            </w:tcBorders>
            <w:vAlign w:val="center"/>
          </w:tcPr>
          <w:p w14:paraId="3799B112">
            <w:pPr>
              <w:jc w:val="center"/>
              <w:rPr>
                <w:rFonts w:hint="eastAsia" w:ascii="仿宋_GB2312" w:hAnsi="仿宋_GB2312" w:eastAsia="仿宋_GB2312" w:cs="仿宋_GB2312"/>
                <w:kern w:val="0"/>
                <w:sz w:val="22"/>
                <w:szCs w:val="22"/>
              </w:rPr>
            </w:pPr>
          </w:p>
        </w:tc>
      </w:tr>
      <w:tr w14:paraId="035BC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1064" w:type="pct"/>
            <w:vMerge w:val="restart"/>
            <w:tcBorders>
              <w:top w:val="single" w:color="auto" w:sz="4" w:space="0"/>
              <w:bottom w:val="nil"/>
            </w:tcBorders>
            <w:vAlign w:val="center"/>
          </w:tcPr>
          <w:p w14:paraId="6980F6D6">
            <w:pPr>
              <w:rPr>
                <w:rFonts w:hint="eastAsia" w:ascii="仿宋_GB2312" w:hAnsi="仿宋_GB2312" w:eastAsia="仿宋_GB2312" w:cs="仿宋_GB2312"/>
                <w:kern w:val="0"/>
                <w:sz w:val="22"/>
                <w:szCs w:val="22"/>
              </w:rPr>
            </w:pPr>
          </w:p>
          <w:p w14:paraId="138A55F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部件</w:t>
            </w:r>
            <w:r>
              <w:rPr>
                <w:rFonts w:hint="eastAsia" w:ascii="仿宋_GB2312" w:hAnsi="仿宋_GB2312" w:eastAsia="仿宋_GB2312" w:cs="仿宋_GB2312"/>
                <w:spacing w:val="-47"/>
                <w:sz w:val="22"/>
                <w:szCs w:val="22"/>
              </w:rPr>
              <w:t xml:space="preserve"> </w:t>
            </w:r>
            <w:r>
              <w:rPr>
                <w:rFonts w:hint="eastAsia" w:ascii="仿宋_GB2312" w:hAnsi="仿宋_GB2312" w:eastAsia="仿宋_GB2312" w:cs="仿宋_GB2312"/>
                <w:spacing w:val="-14"/>
                <w:sz w:val="22"/>
                <w:szCs w:val="22"/>
                <w14:textOutline w14:w="4013" w14:cap="sq" w14:cmpd="sng" w14:algn="ctr">
                  <w14:solidFill>
                    <w14:srgbClr w14:val="000000"/>
                  </w14:solidFill>
                  <w14:prstDash w14:val="solid"/>
                  <w14:bevel/>
                </w14:textOutline>
              </w:rPr>
              <w:t>/电路</w:t>
            </w:r>
            <w:r>
              <w:rPr>
                <w:rFonts w:hint="eastAsia" w:ascii="仿宋_GB2312" w:hAnsi="仿宋_GB2312" w:eastAsia="仿宋_GB2312" w:cs="仿宋_GB2312"/>
                <w:spacing w:val="-4"/>
                <w:sz w:val="22"/>
                <w:szCs w:val="22"/>
                <w14:textOutline w14:w="4013" w14:cap="sq" w14:cmpd="sng" w14:algn="ctr">
                  <w14:solidFill>
                    <w14:srgbClr w14:val="000000"/>
                  </w14:solidFill>
                  <w14:prstDash w14:val="solid"/>
                  <w14:bevel/>
                </w14:textOutline>
              </w:rPr>
              <w:t>测试</w:t>
            </w:r>
          </w:p>
        </w:tc>
        <w:tc>
          <w:tcPr>
            <w:tcW w:w="2082" w:type="pct"/>
            <w:vAlign w:val="center"/>
          </w:tcPr>
          <w:p w14:paraId="3D0FF57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14:textOutline w14:w="3797" w14:cap="sq" w14:cmpd="sng" w14:algn="ctr">
                  <w14:solidFill>
                    <w14:srgbClr w14:val="000000"/>
                  </w14:solidFill>
                  <w14:prstDash w14:val="solid"/>
                  <w14:bevel/>
                </w14:textOutline>
              </w:rPr>
              <w:t>部件/线路范围</w:t>
            </w:r>
          </w:p>
        </w:tc>
        <w:tc>
          <w:tcPr>
            <w:tcW w:w="1854" w:type="pct"/>
            <w:gridSpan w:val="2"/>
            <w:vAlign w:val="center"/>
          </w:tcPr>
          <w:p w14:paraId="284893D3">
            <w:pPr>
              <w:pStyle w:val="20"/>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pacing w:val="9"/>
                <w:sz w:val="22"/>
                <w:szCs w:val="22"/>
                <w:lang w:eastAsia="zh-CN"/>
                <w14:textOutline w14:w="3797" w14:cap="sq" w14:cmpd="sng" w14:algn="ctr">
                  <w14:solidFill>
                    <w14:srgbClr w14:val="000000"/>
                  </w14:solidFill>
                  <w14:prstDash w14:val="solid"/>
                  <w14:bevel/>
                </w14:textOutline>
              </w:rPr>
              <w:t>检查或测试后的结</w:t>
            </w:r>
            <w:r>
              <w:rPr>
                <w:rFonts w:hint="eastAsia" w:ascii="仿宋_GB2312" w:hAnsi="仿宋_GB2312" w:eastAsia="仿宋_GB2312" w:cs="仿宋_GB2312"/>
                <w:spacing w:val="3"/>
                <w:sz w:val="22"/>
                <w:szCs w:val="22"/>
                <w:lang w:eastAsia="zh-CN"/>
              </w:rPr>
              <w:t xml:space="preserve"> </w:t>
            </w:r>
            <w:r>
              <w:rPr>
                <w:rFonts w:hint="eastAsia" w:ascii="仿宋_GB2312" w:hAnsi="仿宋_GB2312" w:eastAsia="仿宋_GB2312" w:cs="仿宋_GB2312"/>
                <w:spacing w:val="6"/>
                <w:sz w:val="22"/>
                <w:szCs w:val="22"/>
                <w:lang w:eastAsia="zh-CN"/>
                <w14:textOutline w14:w="3797" w14:cap="sq" w14:cmpd="sng" w14:algn="ctr">
                  <w14:solidFill>
                    <w14:srgbClr w14:val="000000"/>
                  </w14:solidFill>
                  <w14:prstDash w14:val="solid"/>
                  <w14:bevel/>
                </w14:textOutline>
              </w:rPr>
              <w:t>果判断</w:t>
            </w:r>
          </w:p>
        </w:tc>
      </w:tr>
      <w:tr w14:paraId="280C4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64" w:type="pct"/>
            <w:vMerge w:val="continue"/>
            <w:tcBorders>
              <w:top w:val="nil"/>
              <w:bottom w:val="nil"/>
            </w:tcBorders>
            <w:vAlign w:val="center"/>
          </w:tcPr>
          <w:p w14:paraId="72A02439">
            <w:pPr>
              <w:jc w:val="center"/>
              <w:rPr>
                <w:rFonts w:hint="eastAsia" w:ascii="仿宋_GB2312" w:hAnsi="仿宋_GB2312" w:eastAsia="仿宋_GB2312" w:cs="仿宋_GB2312"/>
                <w:kern w:val="0"/>
                <w:sz w:val="22"/>
                <w:szCs w:val="22"/>
              </w:rPr>
            </w:pPr>
          </w:p>
        </w:tc>
        <w:tc>
          <w:tcPr>
            <w:tcW w:w="2082" w:type="pct"/>
            <w:vAlign w:val="center"/>
          </w:tcPr>
          <w:p w14:paraId="049A9F83">
            <w:pPr>
              <w:jc w:val="center"/>
              <w:rPr>
                <w:rFonts w:hint="eastAsia" w:ascii="仿宋_GB2312" w:hAnsi="仿宋_GB2312" w:eastAsia="仿宋_GB2312" w:cs="仿宋_GB2312"/>
                <w:kern w:val="0"/>
                <w:sz w:val="22"/>
                <w:szCs w:val="22"/>
              </w:rPr>
            </w:pPr>
          </w:p>
        </w:tc>
        <w:tc>
          <w:tcPr>
            <w:tcW w:w="864" w:type="pct"/>
            <w:vAlign w:val="center"/>
          </w:tcPr>
          <w:p w14:paraId="3AE6215B">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299A85D0">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3B9B9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7A72D512">
            <w:pPr>
              <w:jc w:val="center"/>
              <w:rPr>
                <w:rFonts w:hint="eastAsia" w:ascii="仿宋_GB2312" w:hAnsi="仿宋_GB2312" w:eastAsia="仿宋_GB2312" w:cs="仿宋_GB2312"/>
                <w:kern w:val="0"/>
                <w:sz w:val="22"/>
                <w:szCs w:val="22"/>
              </w:rPr>
            </w:pPr>
          </w:p>
        </w:tc>
        <w:tc>
          <w:tcPr>
            <w:tcW w:w="2082" w:type="pct"/>
            <w:vAlign w:val="center"/>
          </w:tcPr>
          <w:p w14:paraId="22651D56">
            <w:pPr>
              <w:jc w:val="center"/>
              <w:rPr>
                <w:rFonts w:hint="eastAsia" w:ascii="仿宋_GB2312" w:hAnsi="仿宋_GB2312" w:eastAsia="仿宋_GB2312" w:cs="仿宋_GB2312"/>
                <w:kern w:val="0"/>
                <w:sz w:val="22"/>
                <w:szCs w:val="22"/>
              </w:rPr>
            </w:pPr>
          </w:p>
        </w:tc>
        <w:tc>
          <w:tcPr>
            <w:tcW w:w="864" w:type="pct"/>
            <w:vAlign w:val="center"/>
          </w:tcPr>
          <w:p w14:paraId="1C232138">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0ABE24EF">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30D51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5A42DE3F">
            <w:pPr>
              <w:jc w:val="center"/>
              <w:rPr>
                <w:rFonts w:hint="eastAsia" w:ascii="仿宋_GB2312" w:hAnsi="仿宋_GB2312" w:eastAsia="仿宋_GB2312" w:cs="仿宋_GB2312"/>
                <w:kern w:val="0"/>
                <w:sz w:val="22"/>
                <w:szCs w:val="22"/>
              </w:rPr>
            </w:pPr>
          </w:p>
        </w:tc>
        <w:tc>
          <w:tcPr>
            <w:tcW w:w="2082" w:type="pct"/>
            <w:vAlign w:val="center"/>
          </w:tcPr>
          <w:p w14:paraId="52550F4C">
            <w:pPr>
              <w:jc w:val="center"/>
              <w:rPr>
                <w:rFonts w:hint="eastAsia" w:ascii="仿宋_GB2312" w:hAnsi="仿宋_GB2312" w:eastAsia="仿宋_GB2312" w:cs="仿宋_GB2312"/>
                <w:kern w:val="0"/>
                <w:sz w:val="22"/>
                <w:szCs w:val="22"/>
              </w:rPr>
            </w:pPr>
          </w:p>
        </w:tc>
        <w:tc>
          <w:tcPr>
            <w:tcW w:w="864" w:type="pct"/>
            <w:vAlign w:val="center"/>
          </w:tcPr>
          <w:p w14:paraId="2438AC7B">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2D3DA44E">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47D82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791EEB19">
            <w:pPr>
              <w:jc w:val="center"/>
              <w:rPr>
                <w:rFonts w:hint="eastAsia" w:ascii="仿宋_GB2312" w:hAnsi="仿宋_GB2312" w:eastAsia="仿宋_GB2312" w:cs="仿宋_GB2312"/>
                <w:kern w:val="0"/>
                <w:sz w:val="22"/>
                <w:szCs w:val="22"/>
              </w:rPr>
            </w:pPr>
          </w:p>
        </w:tc>
        <w:tc>
          <w:tcPr>
            <w:tcW w:w="2082" w:type="pct"/>
            <w:vAlign w:val="center"/>
          </w:tcPr>
          <w:p w14:paraId="322E0B07">
            <w:pPr>
              <w:jc w:val="center"/>
              <w:rPr>
                <w:rFonts w:hint="eastAsia" w:ascii="仿宋_GB2312" w:hAnsi="仿宋_GB2312" w:eastAsia="仿宋_GB2312" w:cs="仿宋_GB2312"/>
                <w:kern w:val="0"/>
                <w:sz w:val="22"/>
                <w:szCs w:val="22"/>
              </w:rPr>
            </w:pPr>
          </w:p>
        </w:tc>
        <w:tc>
          <w:tcPr>
            <w:tcW w:w="864" w:type="pct"/>
            <w:vAlign w:val="center"/>
          </w:tcPr>
          <w:p w14:paraId="2B69E994">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1932AB09">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65D71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64" w:type="pct"/>
            <w:vMerge w:val="continue"/>
            <w:tcBorders>
              <w:top w:val="nil"/>
              <w:bottom w:val="nil"/>
            </w:tcBorders>
            <w:vAlign w:val="center"/>
          </w:tcPr>
          <w:p w14:paraId="4AEAD1DE">
            <w:pPr>
              <w:jc w:val="center"/>
              <w:rPr>
                <w:rFonts w:hint="eastAsia" w:ascii="仿宋_GB2312" w:hAnsi="仿宋_GB2312" w:eastAsia="仿宋_GB2312" w:cs="仿宋_GB2312"/>
                <w:kern w:val="0"/>
                <w:sz w:val="22"/>
                <w:szCs w:val="22"/>
              </w:rPr>
            </w:pPr>
          </w:p>
        </w:tc>
        <w:tc>
          <w:tcPr>
            <w:tcW w:w="2082" w:type="pct"/>
            <w:vAlign w:val="center"/>
          </w:tcPr>
          <w:p w14:paraId="2D821E5F">
            <w:pPr>
              <w:jc w:val="center"/>
              <w:rPr>
                <w:rFonts w:hint="eastAsia" w:ascii="仿宋_GB2312" w:hAnsi="仿宋_GB2312" w:eastAsia="仿宋_GB2312" w:cs="仿宋_GB2312"/>
                <w:kern w:val="0"/>
                <w:sz w:val="22"/>
                <w:szCs w:val="22"/>
              </w:rPr>
            </w:pPr>
          </w:p>
        </w:tc>
        <w:tc>
          <w:tcPr>
            <w:tcW w:w="864" w:type="pct"/>
            <w:vAlign w:val="center"/>
          </w:tcPr>
          <w:p w14:paraId="73D3EB7D">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23FE1778">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2BD2E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0695DB9C">
            <w:pPr>
              <w:jc w:val="center"/>
              <w:rPr>
                <w:rFonts w:hint="eastAsia" w:ascii="仿宋_GB2312" w:hAnsi="仿宋_GB2312" w:eastAsia="仿宋_GB2312" w:cs="仿宋_GB2312"/>
                <w:kern w:val="0"/>
                <w:sz w:val="22"/>
                <w:szCs w:val="22"/>
              </w:rPr>
            </w:pPr>
          </w:p>
        </w:tc>
        <w:tc>
          <w:tcPr>
            <w:tcW w:w="2082" w:type="pct"/>
            <w:vAlign w:val="center"/>
          </w:tcPr>
          <w:p w14:paraId="3E16AA0B">
            <w:pPr>
              <w:jc w:val="center"/>
              <w:rPr>
                <w:rFonts w:hint="eastAsia" w:ascii="仿宋_GB2312" w:hAnsi="仿宋_GB2312" w:eastAsia="仿宋_GB2312" w:cs="仿宋_GB2312"/>
                <w:kern w:val="0"/>
                <w:sz w:val="22"/>
                <w:szCs w:val="22"/>
              </w:rPr>
            </w:pPr>
          </w:p>
        </w:tc>
        <w:tc>
          <w:tcPr>
            <w:tcW w:w="864" w:type="pct"/>
            <w:vAlign w:val="center"/>
          </w:tcPr>
          <w:p w14:paraId="06862E95">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64B5C1A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27880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560130AB">
            <w:pPr>
              <w:jc w:val="center"/>
              <w:rPr>
                <w:rFonts w:hint="eastAsia" w:ascii="仿宋_GB2312" w:hAnsi="仿宋_GB2312" w:eastAsia="仿宋_GB2312" w:cs="仿宋_GB2312"/>
                <w:kern w:val="0"/>
                <w:sz w:val="22"/>
                <w:szCs w:val="22"/>
              </w:rPr>
            </w:pPr>
          </w:p>
        </w:tc>
        <w:tc>
          <w:tcPr>
            <w:tcW w:w="2082" w:type="pct"/>
            <w:vAlign w:val="center"/>
          </w:tcPr>
          <w:p w14:paraId="06B4F295">
            <w:pPr>
              <w:jc w:val="center"/>
              <w:rPr>
                <w:rFonts w:hint="eastAsia" w:ascii="仿宋_GB2312" w:hAnsi="仿宋_GB2312" w:eastAsia="仿宋_GB2312" w:cs="仿宋_GB2312"/>
                <w:kern w:val="0"/>
                <w:sz w:val="22"/>
                <w:szCs w:val="22"/>
              </w:rPr>
            </w:pPr>
          </w:p>
        </w:tc>
        <w:tc>
          <w:tcPr>
            <w:tcW w:w="864" w:type="pct"/>
            <w:vAlign w:val="center"/>
          </w:tcPr>
          <w:p w14:paraId="66CAE52A">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10C66E74">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5D7AB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1064" w:type="pct"/>
            <w:vMerge w:val="continue"/>
            <w:tcBorders>
              <w:top w:val="nil"/>
              <w:bottom w:val="nil"/>
            </w:tcBorders>
            <w:vAlign w:val="center"/>
          </w:tcPr>
          <w:p w14:paraId="282A09F8">
            <w:pPr>
              <w:jc w:val="center"/>
              <w:rPr>
                <w:rFonts w:hint="eastAsia" w:ascii="仿宋_GB2312" w:hAnsi="仿宋_GB2312" w:eastAsia="仿宋_GB2312" w:cs="仿宋_GB2312"/>
                <w:kern w:val="0"/>
                <w:sz w:val="22"/>
                <w:szCs w:val="22"/>
              </w:rPr>
            </w:pPr>
          </w:p>
        </w:tc>
        <w:tc>
          <w:tcPr>
            <w:tcW w:w="2082" w:type="pct"/>
            <w:vAlign w:val="center"/>
          </w:tcPr>
          <w:p w14:paraId="6FCD43FC">
            <w:pPr>
              <w:jc w:val="center"/>
              <w:rPr>
                <w:rFonts w:hint="eastAsia" w:ascii="仿宋_GB2312" w:hAnsi="仿宋_GB2312" w:eastAsia="仿宋_GB2312" w:cs="仿宋_GB2312"/>
                <w:kern w:val="0"/>
                <w:sz w:val="22"/>
                <w:szCs w:val="22"/>
              </w:rPr>
            </w:pPr>
          </w:p>
        </w:tc>
        <w:tc>
          <w:tcPr>
            <w:tcW w:w="864" w:type="pct"/>
            <w:vAlign w:val="center"/>
          </w:tcPr>
          <w:p w14:paraId="30B61308">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vAlign w:val="center"/>
          </w:tcPr>
          <w:p w14:paraId="5404F6BE">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77D30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nil"/>
            </w:tcBorders>
            <w:vAlign w:val="center"/>
          </w:tcPr>
          <w:p w14:paraId="472D7C77">
            <w:pPr>
              <w:jc w:val="center"/>
              <w:rPr>
                <w:rFonts w:hint="eastAsia" w:ascii="仿宋_GB2312" w:hAnsi="仿宋_GB2312" w:eastAsia="仿宋_GB2312" w:cs="仿宋_GB2312"/>
                <w:kern w:val="0"/>
                <w:sz w:val="22"/>
                <w:szCs w:val="22"/>
              </w:rPr>
            </w:pPr>
          </w:p>
        </w:tc>
        <w:tc>
          <w:tcPr>
            <w:tcW w:w="2082" w:type="pct"/>
            <w:vAlign w:val="center"/>
          </w:tcPr>
          <w:p w14:paraId="370CBE71">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8"/>
                <w:sz w:val="22"/>
                <w:szCs w:val="22"/>
              </w:rPr>
              <w:t>波形采集（不用者不填）</w:t>
            </w:r>
          </w:p>
        </w:tc>
        <w:tc>
          <w:tcPr>
            <w:tcW w:w="864" w:type="pct"/>
            <w:vAlign w:val="center"/>
          </w:tcPr>
          <w:p w14:paraId="7EF2CD63">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□正常</w:t>
            </w:r>
          </w:p>
        </w:tc>
        <w:tc>
          <w:tcPr>
            <w:tcW w:w="990" w:type="pct"/>
            <w:tcBorders>
              <w:right w:val="single" w:color="auto" w:sz="4" w:space="0"/>
            </w:tcBorders>
            <w:vAlign w:val="center"/>
          </w:tcPr>
          <w:p w14:paraId="43BE5516">
            <w:pPr>
              <w:pStyle w:val="20"/>
              <w:jc w:val="center"/>
              <w:rPr>
                <w:rFonts w:hint="eastAsia" w:ascii="仿宋_GB2312" w:hAnsi="仿宋_GB2312" w:eastAsia="仿宋_GB2312" w:cs="仿宋_GB2312"/>
                <w:sz w:val="22"/>
                <w:szCs w:val="22"/>
              </w:rPr>
            </w:pPr>
            <w:r>
              <w:rPr>
                <w:rFonts w:hint="eastAsia" w:ascii="仿宋_GB2312" w:hAnsi="仿宋_GB2312" w:eastAsia="仿宋_GB2312" w:cs="仿宋_GB2312"/>
                <w:spacing w:val="2"/>
                <w:sz w:val="22"/>
                <w:szCs w:val="22"/>
              </w:rPr>
              <w:t>□不正常</w:t>
            </w:r>
          </w:p>
        </w:tc>
      </w:tr>
      <w:tr w14:paraId="15AE14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vMerge w:val="continue"/>
            <w:tcBorders>
              <w:top w:val="nil"/>
              <w:bottom w:val="single" w:color="auto" w:sz="4" w:space="0"/>
            </w:tcBorders>
            <w:vAlign w:val="center"/>
          </w:tcPr>
          <w:p w14:paraId="7688E1BC">
            <w:pPr>
              <w:jc w:val="center"/>
              <w:rPr>
                <w:rFonts w:hint="eastAsia" w:ascii="仿宋_GB2312" w:hAnsi="仿宋_GB2312" w:eastAsia="仿宋_GB2312" w:cs="仿宋_GB2312"/>
                <w:kern w:val="0"/>
                <w:sz w:val="22"/>
                <w:szCs w:val="22"/>
              </w:rPr>
            </w:pPr>
          </w:p>
        </w:tc>
        <w:tc>
          <w:tcPr>
            <w:tcW w:w="3936" w:type="pct"/>
            <w:gridSpan w:val="3"/>
            <w:tcBorders>
              <w:right w:val="single" w:color="auto" w:sz="4" w:space="0"/>
            </w:tcBorders>
            <w:vAlign w:val="center"/>
          </w:tcPr>
          <w:p w14:paraId="7C48F363">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8"/>
                <w:sz w:val="22"/>
                <w:szCs w:val="22"/>
                <w:lang w:eastAsia="zh-CN"/>
              </w:rPr>
              <w:t>※注明测试条件、插件代码和编号，控制单元针脚代号以及测量结果</w:t>
            </w:r>
          </w:p>
        </w:tc>
      </w:tr>
      <w:tr w14:paraId="319E59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1064" w:type="pct"/>
            <w:tcBorders>
              <w:top w:val="single" w:color="auto" w:sz="4" w:space="0"/>
              <w:bottom w:val="single" w:color="auto" w:sz="4" w:space="0"/>
            </w:tcBorders>
            <w:vAlign w:val="center"/>
          </w:tcPr>
          <w:p w14:paraId="5248DBE3">
            <w:pP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故障点和故障类型确认（同时需要在维修手册上指出故障位置）</w:t>
            </w:r>
          </w:p>
        </w:tc>
        <w:tc>
          <w:tcPr>
            <w:tcW w:w="3936" w:type="pct"/>
            <w:gridSpan w:val="3"/>
            <w:tcBorders>
              <w:right w:val="single" w:color="auto" w:sz="4" w:space="0"/>
            </w:tcBorders>
            <w:vAlign w:val="center"/>
          </w:tcPr>
          <w:p w14:paraId="50286FA0">
            <w:pPr>
              <w:pStyle w:val="20"/>
              <w:jc w:val="center"/>
              <w:rPr>
                <w:rFonts w:hint="eastAsia" w:ascii="仿宋_GB2312" w:hAnsi="仿宋_GB2312" w:eastAsia="仿宋_GB2312" w:cs="仿宋_GB2312"/>
                <w:spacing w:val="2"/>
                <w:sz w:val="22"/>
                <w:szCs w:val="22"/>
                <w:lang w:eastAsia="zh-CN"/>
              </w:rPr>
            </w:pPr>
            <w:r>
              <w:rPr>
                <w:rFonts w:hint="eastAsia" w:ascii="仿宋_GB2312" w:hAnsi="仿宋_GB2312" w:eastAsia="仿宋_GB2312" w:cs="仿宋_GB2312"/>
                <w:spacing w:val="2"/>
                <w:sz w:val="22"/>
                <w:szCs w:val="22"/>
                <w:lang w:eastAsia="zh-CN"/>
              </w:rPr>
              <w:t>※电路图上指出最小故障线路范围或故障部件</w:t>
            </w:r>
          </w:p>
          <w:p w14:paraId="3A4F3700">
            <w:pPr>
              <w:pStyle w:val="20"/>
              <w:jc w:val="center"/>
              <w:rPr>
                <w:rFonts w:hint="eastAsia" w:ascii="仿宋_GB2312" w:hAnsi="仿宋_GB2312" w:eastAsia="仿宋_GB2312" w:cs="仿宋_GB2312"/>
                <w:spacing w:val="2"/>
                <w:sz w:val="22"/>
                <w:szCs w:val="22"/>
                <w:lang w:eastAsia="zh-CN"/>
              </w:rPr>
            </w:pPr>
          </w:p>
          <w:p w14:paraId="0BFDC7BB">
            <w:pPr>
              <w:pStyle w:val="20"/>
              <w:jc w:val="center"/>
              <w:rPr>
                <w:rFonts w:hint="eastAsia" w:ascii="仿宋_GB2312" w:hAnsi="仿宋_GB2312" w:eastAsia="仿宋_GB2312" w:cs="仿宋_GB2312"/>
                <w:spacing w:val="2"/>
                <w:sz w:val="22"/>
                <w:szCs w:val="22"/>
                <w:lang w:eastAsia="zh-CN"/>
              </w:rPr>
            </w:pPr>
          </w:p>
          <w:p w14:paraId="21E40469">
            <w:pPr>
              <w:pStyle w:val="20"/>
              <w:jc w:val="center"/>
              <w:rPr>
                <w:rFonts w:hint="eastAsia" w:ascii="仿宋_GB2312" w:hAnsi="仿宋_GB2312" w:eastAsia="仿宋_GB2312" w:cs="仿宋_GB2312"/>
                <w:spacing w:val="2"/>
                <w:sz w:val="22"/>
                <w:szCs w:val="22"/>
                <w:lang w:eastAsia="zh-CN"/>
              </w:rPr>
            </w:pPr>
          </w:p>
          <w:p w14:paraId="438A01D1">
            <w:pPr>
              <w:pStyle w:val="20"/>
              <w:jc w:val="center"/>
              <w:rPr>
                <w:rFonts w:hint="eastAsia" w:ascii="仿宋_GB2312" w:hAnsi="仿宋_GB2312" w:eastAsia="仿宋_GB2312" w:cs="仿宋_GB2312"/>
                <w:spacing w:val="2"/>
                <w:sz w:val="22"/>
                <w:szCs w:val="22"/>
                <w:lang w:eastAsia="zh-CN"/>
              </w:rPr>
            </w:pPr>
          </w:p>
          <w:p w14:paraId="20748851">
            <w:pPr>
              <w:pStyle w:val="20"/>
              <w:jc w:val="center"/>
              <w:rPr>
                <w:rFonts w:hint="eastAsia" w:ascii="仿宋_GB2312" w:hAnsi="仿宋_GB2312" w:eastAsia="仿宋_GB2312" w:cs="仿宋_GB2312"/>
                <w:spacing w:val="2"/>
                <w:sz w:val="22"/>
                <w:szCs w:val="22"/>
                <w:lang w:eastAsia="zh-CN"/>
              </w:rPr>
            </w:pPr>
          </w:p>
        </w:tc>
      </w:tr>
    </w:tbl>
    <w:p w14:paraId="22E2276C">
      <w:pPr>
        <w:widowControl/>
        <w:jc w:val="left"/>
        <w:rPr>
          <w:rFonts w:hint="eastAsia" w:ascii="宋体" w:hAnsi="宋体" w:eastAsia="宋体"/>
          <w:b/>
          <w:bCs/>
          <w:sz w:val="24"/>
          <w:szCs w:val="24"/>
        </w:rPr>
      </w:pPr>
    </w:p>
    <w:p w14:paraId="4FFAAA40">
      <w:pPr>
        <w:widowControl/>
        <w:jc w:val="left"/>
        <w:rPr>
          <w:rFonts w:hint="eastAsia" w:ascii="宋体" w:hAnsi="宋体" w:eastAsia="宋体"/>
          <w:b/>
          <w:bCs/>
          <w:sz w:val="24"/>
          <w:szCs w:val="24"/>
        </w:rPr>
      </w:pPr>
    </w:p>
    <w:p w14:paraId="3C790AAE">
      <w:pPr>
        <w:widowControl/>
        <w:jc w:val="left"/>
        <w:rPr>
          <w:rFonts w:hint="eastAsia" w:ascii="宋体" w:hAnsi="宋体" w:eastAsia="宋体"/>
          <w:b/>
          <w:bCs/>
          <w:sz w:val="24"/>
          <w:szCs w:val="24"/>
        </w:rPr>
      </w:pPr>
    </w:p>
    <w:p w14:paraId="060D38C9">
      <w:pPr>
        <w:widowControl/>
        <w:jc w:val="left"/>
        <w:rPr>
          <w:rFonts w:hint="eastAsia" w:ascii="宋体" w:hAnsi="宋体" w:eastAsia="宋体"/>
          <w:sz w:val="24"/>
          <w:szCs w:val="24"/>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delle Sans Devanagari Extrabol">
    <w:altName w:val="Calibri"/>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882218"/>
      <w:docPartObj>
        <w:docPartGallery w:val="autotext"/>
      </w:docPartObj>
    </w:sdtPr>
    <w:sdtContent>
      <w:p w14:paraId="1EA0AB0B">
        <w:pPr>
          <w:pStyle w:val="2"/>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16C17727">
    <w:pPr>
      <w:pStyle w:val="2"/>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A2A87">
    <w:pPr>
      <w:pStyle w:val="2"/>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1519"/>
                            <w:docPartObj>
                              <w:docPartGallery w:val="autotext"/>
                            </w:docPartObj>
                          </w:sdtPr>
                          <w:sdtContent>
                            <w:p w14:paraId="7195011D">
                              <w:pPr>
                                <w:pStyle w:val="2"/>
                                <w:jc w:val="center"/>
                              </w:pPr>
                              <w:r>
                                <w:fldChar w:fldCharType="begin"/>
                              </w:r>
                              <w:r>
                                <w:instrText xml:space="preserve">PAGE   \* MERGEFORMAT</w:instrText>
                              </w:r>
                              <w:r>
                                <w:fldChar w:fldCharType="separate"/>
                              </w:r>
                              <w:r>
                                <w:rPr>
                                  <w:lang w:val="zh-CN"/>
                                </w:rPr>
                                <w:t>2</w:t>
                              </w:r>
                              <w:r>
                                <w:fldChar w:fldCharType="end"/>
                              </w:r>
                            </w:p>
                          </w:sdtContent>
                        </w:sdt>
                        <w:p w14:paraId="0ABD27D1">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61519"/>
                      <w:docPartObj>
                        <w:docPartGallery w:val="autotext"/>
                      </w:docPartObj>
                    </w:sdtPr>
                    <w:sdtContent>
                      <w:p w14:paraId="7195011D">
                        <w:pPr>
                          <w:pStyle w:val="2"/>
                          <w:jc w:val="center"/>
                        </w:pPr>
                        <w:r>
                          <w:fldChar w:fldCharType="begin"/>
                        </w:r>
                        <w:r>
                          <w:instrText xml:space="preserve">PAGE   \* MERGEFORMAT</w:instrText>
                        </w:r>
                        <w:r>
                          <w:fldChar w:fldCharType="separate"/>
                        </w:r>
                        <w:r>
                          <w:rPr>
                            <w:lang w:val="zh-CN"/>
                          </w:rPr>
                          <w:t>2</w:t>
                        </w:r>
                        <w:r>
                          <w:fldChar w:fldCharType="end"/>
                        </w:r>
                      </w:p>
                    </w:sdtContent>
                  </w:sdt>
                  <w:p w14:paraId="0ABD27D1">
                    <w:pPr>
                      <w:pStyle w:val="2"/>
                    </w:pPr>
                  </w:p>
                </w:txbxContent>
              </v:textbox>
            </v:shape>
          </w:pict>
        </mc:Fallback>
      </mc:AlternateContent>
    </w:r>
  </w:p>
  <w:p w14:paraId="14D0DE0C">
    <w:pPr>
      <w:pStyle w:val="2"/>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2F68F7"/>
    <w:multiLevelType w:val="multilevel"/>
    <w:tmpl w:val="6A2F68F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k3NjA2OGJiNTU1MDUxZjFhYzkwOTc2MDgwYTg0ODkifQ=="/>
  </w:docVars>
  <w:rsids>
    <w:rsidRoot w:val="00581532"/>
    <w:rsid w:val="000046BA"/>
    <w:rsid w:val="000139E5"/>
    <w:rsid w:val="00025790"/>
    <w:rsid w:val="00056CD1"/>
    <w:rsid w:val="0006013F"/>
    <w:rsid w:val="00070DE2"/>
    <w:rsid w:val="000F2938"/>
    <w:rsid w:val="00107D77"/>
    <w:rsid w:val="00121FD0"/>
    <w:rsid w:val="00150BB6"/>
    <w:rsid w:val="001572FF"/>
    <w:rsid w:val="001A369C"/>
    <w:rsid w:val="001B2D09"/>
    <w:rsid w:val="001B4B5E"/>
    <w:rsid w:val="001C531E"/>
    <w:rsid w:val="001D3169"/>
    <w:rsid w:val="0022117B"/>
    <w:rsid w:val="002411FF"/>
    <w:rsid w:val="002B2163"/>
    <w:rsid w:val="002C0202"/>
    <w:rsid w:val="002D3ECF"/>
    <w:rsid w:val="003030D2"/>
    <w:rsid w:val="00335D1E"/>
    <w:rsid w:val="003366DD"/>
    <w:rsid w:val="003450A2"/>
    <w:rsid w:val="00376AD7"/>
    <w:rsid w:val="003770E8"/>
    <w:rsid w:val="003B680E"/>
    <w:rsid w:val="0042035C"/>
    <w:rsid w:val="00421AE7"/>
    <w:rsid w:val="00493256"/>
    <w:rsid w:val="004A3E74"/>
    <w:rsid w:val="004F7720"/>
    <w:rsid w:val="0051751A"/>
    <w:rsid w:val="00581532"/>
    <w:rsid w:val="00590F90"/>
    <w:rsid w:val="005A109B"/>
    <w:rsid w:val="005E236A"/>
    <w:rsid w:val="00601C52"/>
    <w:rsid w:val="00693576"/>
    <w:rsid w:val="006B350D"/>
    <w:rsid w:val="006F2462"/>
    <w:rsid w:val="007018C0"/>
    <w:rsid w:val="007446BF"/>
    <w:rsid w:val="00750ECD"/>
    <w:rsid w:val="00782489"/>
    <w:rsid w:val="007B26EF"/>
    <w:rsid w:val="007B46D5"/>
    <w:rsid w:val="007D411F"/>
    <w:rsid w:val="007E49AE"/>
    <w:rsid w:val="007E503D"/>
    <w:rsid w:val="008048D5"/>
    <w:rsid w:val="008151A0"/>
    <w:rsid w:val="00825D6B"/>
    <w:rsid w:val="0083569A"/>
    <w:rsid w:val="00845C8A"/>
    <w:rsid w:val="008642D1"/>
    <w:rsid w:val="00875D60"/>
    <w:rsid w:val="00913091"/>
    <w:rsid w:val="00923382"/>
    <w:rsid w:val="00944F93"/>
    <w:rsid w:val="00945AEC"/>
    <w:rsid w:val="00966B72"/>
    <w:rsid w:val="009832E1"/>
    <w:rsid w:val="00987934"/>
    <w:rsid w:val="009D211D"/>
    <w:rsid w:val="00A23F09"/>
    <w:rsid w:val="00A44BF7"/>
    <w:rsid w:val="00A56702"/>
    <w:rsid w:val="00A70C05"/>
    <w:rsid w:val="00A7612C"/>
    <w:rsid w:val="00A776CD"/>
    <w:rsid w:val="00AD7719"/>
    <w:rsid w:val="00AF0C57"/>
    <w:rsid w:val="00AF70FD"/>
    <w:rsid w:val="00B650BD"/>
    <w:rsid w:val="00BA0B92"/>
    <w:rsid w:val="00BA2F24"/>
    <w:rsid w:val="00BA7CC2"/>
    <w:rsid w:val="00C06073"/>
    <w:rsid w:val="00C10133"/>
    <w:rsid w:val="00C14D8E"/>
    <w:rsid w:val="00C4423B"/>
    <w:rsid w:val="00C50324"/>
    <w:rsid w:val="00C55857"/>
    <w:rsid w:val="00C623C0"/>
    <w:rsid w:val="00C82D0D"/>
    <w:rsid w:val="00C918C1"/>
    <w:rsid w:val="00C93538"/>
    <w:rsid w:val="00CE4F57"/>
    <w:rsid w:val="00D30912"/>
    <w:rsid w:val="00D60D39"/>
    <w:rsid w:val="00D824CD"/>
    <w:rsid w:val="00D845C6"/>
    <w:rsid w:val="00DB09D3"/>
    <w:rsid w:val="00DD420E"/>
    <w:rsid w:val="00DE3501"/>
    <w:rsid w:val="00DF5310"/>
    <w:rsid w:val="00DF6F68"/>
    <w:rsid w:val="00E136C2"/>
    <w:rsid w:val="00E338C5"/>
    <w:rsid w:val="00E52AF1"/>
    <w:rsid w:val="00F25F0C"/>
    <w:rsid w:val="00F32BBC"/>
    <w:rsid w:val="00F70B45"/>
    <w:rsid w:val="00F92B6D"/>
    <w:rsid w:val="00FA62D0"/>
    <w:rsid w:val="06021ED4"/>
    <w:rsid w:val="08D11F55"/>
    <w:rsid w:val="39AD2CAC"/>
    <w:rsid w:val="3E9F4C6E"/>
    <w:rsid w:val="4E465CA3"/>
    <w:rsid w:val="4E772300"/>
    <w:rsid w:val="54F65944"/>
    <w:rsid w:val="58E616E5"/>
    <w:rsid w:val="7CB8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5"/>
    <w:basedOn w:val="1"/>
    <w:next w:val="1"/>
    <w:link w:val="17"/>
    <w:qFormat/>
    <w:uiPriority w:val="0"/>
    <w:pPr>
      <w:widowControl/>
      <w:spacing w:before="240" w:after="60"/>
      <w:jc w:val="left"/>
      <w:outlineLvl w:val="4"/>
    </w:pPr>
    <w:rPr>
      <w:rFonts w:ascii="Arial" w:hAnsi="Arial" w:eastAsia="Times New Roman" w:cs="Times New Roman"/>
      <w:b/>
      <w:bCs/>
      <w:i/>
      <w:iCs/>
      <w:kern w:val="0"/>
      <w:sz w:val="26"/>
      <w:szCs w:val="26"/>
      <w:lang w:eastAsia="en-US"/>
    </w:rPr>
  </w:style>
  <w:style w:type="paragraph" w:styleId="4">
    <w:name w:val="heading 6"/>
    <w:basedOn w:val="1"/>
    <w:next w:val="1"/>
    <w:link w:val="18"/>
    <w:qFormat/>
    <w:uiPriority w:val="0"/>
    <w:pPr>
      <w:widowControl/>
      <w:spacing w:before="240" w:after="60"/>
      <w:jc w:val="left"/>
      <w:outlineLvl w:val="5"/>
    </w:pPr>
    <w:rPr>
      <w:rFonts w:ascii="Times New Roman" w:hAnsi="Times New Roman" w:eastAsia="Times New Roman" w:cs="Times New Roman"/>
      <w:b/>
      <w:bCs/>
      <w:kern w:val="0"/>
      <w:sz w:val="22"/>
      <w:lang w:eastAsia="en-US"/>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uiPriority w:val="99"/>
    <w:pPr>
      <w:tabs>
        <w:tab w:val="center" w:pos="4153"/>
        <w:tab w:val="right" w:pos="8306"/>
      </w:tabs>
      <w:snapToGrid w:val="0"/>
      <w:jc w:val="left"/>
    </w:pPr>
    <w:rPr>
      <w:sz w:val="18"/>
      <w:szCs w:val="18"/>
    </w:rPr>
  </w:style>
  <w:style w:type="paragraph" w:styleId="5">
    <w:name w:val="annotation text"/>
    <w:basedOn w:val="1"/>
    <w:link w:val="15"/>
    <w:semiHidden/>
    <w:qFormat/>
    <w:uiPriority w:val="0"/>
    <w:pPr>
      <w:jc w:val="left"/>
    </w:pPr>
    <w:rPr>
      <w:rFonts w:ascii="Times New Roman" w:hAnsi="Times New Roman" w:eastAsia="宋体" w:cs="Times New Roman"/>
      <w:szCs w:val="24"/>
    </w:rPr>
  </w:style>
  <w:style w:type="paragraph" w:styleId="6">
    <w:name w:val="Body Text"/>
    <w:basedOn w:val="1"/>
    <w:link w:val="19"/>
    <w:unhideWhenUsed/>
    <w:qFormat/>
    <w:uiPriority w:val="0"/>
    <w:pPr>
      <w:widowControl/>
      <w:kinsoku w:val="0"/>
      <w:autoSpaceDE w:val="0"/>
      <w:autoSpaceDN w:val="0"/>
      <w:adjustRightInd w:val="0"/>
      <w:snapToGrid w:val="0"/>
      <w:spacing w:after="120"/>
      <w:jc w:val="left"/>
      <w:textAlignment w:val="baseline"/>
    </w:pPr>
    <w:rPr>
      <w:rFonts w:ascii="Arial" w:hAnsi="Arial" w:eastAsia="Arial" w:cs="Arial"/>
      <w:snapToGrid w:val="0"/>
      <w:color w:val="000000"/>
      <w:kern w:val="0"/>
      <w:szCs w:val="21"/>
      <w:lang w:eastAsia="en-US"/>
    </w:rPr>
  </w:style>
  <w:style w:type="paragraph" w:styleId="7">
    <w:name w:val="header"/>
    <w:basedOn w:val="1"/>
    <w:link w:val="13"/>
    <w:unhideWhenUsed/>
    <w:uiPriority w:val="99"/>
    <w:pPr>
      <w:tabs>
        <w:tab w:val="center" w:pos="4153"/>
        <w:tab w:val="right" w:pos="8306"/>
      </w:tabs>
      <w:snapToGrid w:val="0"/>
      <w:jc w:val="center"/>
    </w:pPr>
    <w:rPr>
      <w:sz w:val="18"/>
      <w:szCs w:val="18"/>
    </w:rPr>
  </w:style>
  <w:style w:type="paragraph" w:styleId="8">
    <w:name w:val="toc 1"/>
    <w:basedOn w:val="1"/>
    <w:next w:val="1"/>
    <w:semiHidden/>
    <w:unhideWhenUsed/>
    <w:uiPriority w:val="39"/>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semiHidden/>
    <w:qFormat/>
    <w:uiPriority w:val="0"/>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2"/>
    <w:qFormat/>
    <w:uiPriority w:val="99"/>
    <w:rPr>
      <w:sz w:val="18"/>
      <w:szCs w:val="18"/>
    </w:rPr>
  </w:style>
  <w:style w:type="character" w:customStyle="1" w:styleId="15">
    <w:name w:val="批注文字 字符"/>
    <w:basedOn w:val="11"/>
    <w:link w:val="5"/>
    <w:semiHidden/>
    <w:qFormat/>
    <w:uiPriority w:val="0"/>
    <w:rPr>
      <w:rFonts w:ascii="Times New Roman" w:hAnsi="Times New Roman" w:eastAsia="宋体" w:cs="Times New Roman"/>
      <w:szCs w:val="24"/>
    </w:rPr>
  </w:style>
  <w:style w:type="table" w:customStyle="1" w:styleId="16">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character" w:customStyle="1" w:styleId="17">
    <w:name w:val="标题 5 字符"/>
    <w:basedOn w:val="11"/>
    <w:link w:val="3"/>
    <w:qFormat/>
    <w:uiPriority w:val="0"/>
    <w:rPr>
      <w:rFonts w:ascii="Arial" w:hAnsi="Arial" w:eastAsia="Times New Roman" w:cs="Times New Roman"/>
      <w:b/>
      <w:bCs/>
      <w:i/>
      <w:iCs/>
      <w:kern w:val="0"/>
      <w:sz w:val="26"/>
      <w:szCs w:val="26"/>
      <w:lang w:eastAsia="en-US"/>
    </w:rPr>
  </w:style>
  <w:style w:type="character" w:customStyle="1" w:styleId="18">
    <w:name w:val="标题 6 字符"/>
    <w:basedOn w:val="11"/>
    <w:link w:val="4"/>
    <w:qFormat/>
    <w:uiPriority w:val="0"/>
    <w:rPr>
      <w:rFonts w:ascii="Times New Roman" w:hAnsi="Times New Roman" w:eastAsia="Times New Roman" w:cs="Times New Roman"/>
      <w:b/>
      <w:bCs/>
      <w:kern w:val="0"/>
      <w:sz w:val="22"/>
      <w:lang w:eastAsia="en-US"/>
    </w:rPr>
  </w:style>
  <w:style w:type="character" w:customStyle="1" w:styleId="19">
    <w:name w:val="正文文本 字符"/>
    <w:basedOn w:val="11"/>
    <w:link w:val="6"/>
    <w:uiPriority w:val="0"/>
    <w:rPr>
      <w:rFonts w:ascii="Arial" w:hAnsi="Arial" w:eastAsia="Arial" w:cs="Arial"/>
      <w:snapToGrid w:val="0"/>
      <w:color w:val="000000"/>
      <w:kern w:val="0"/>
      <w:szCs w:val="21"/>
      <w:lang w:eastAsia="en-US"/>
    </w:rPr>
  </w:style>
  <w:style w:type="paragraph" w:customStyle="1" w:styleId="20">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4"/>
      <w:szCs w:val="24"/>
      <w:lang w:eastAsia="en-US"/>
    </w:rPr>
  </w:style>
  <w:style w:type="paragraph" w:styleId="21">
    <w:name w:val="List Paragraph"/>
    <w:basedOn w:val="1"/>
    <w:unhideWhenUsed/>
    <w:qFormat/>
    <w:uiPriority w:val="99"/>
    <w:pPr>
      <w:widowControl/>
      <w:ind w:firstLine="420" w:firstLineChars="200"/>
      <w:jc w:val="left"/>
    </w:pPr>
    <w:rPr>
      <w:rFonts w:ascii="Arial" w:hAnsi="Arial" w:eastAsia="Times New Roman" w:cs="Times New Roman"/>
      <w:kern w:val="0"/>
      <w:sz w:val="20"/>
      <w:szCs w:val="24"/>
      <w:lang w:eastAsia="en-US"/>
    </w:rPr>
  </w:style>
  <w:style w:type="character" w:customStyle="1" w:styleId="22">
    <w:name w:val="font01"/>
    <w:basedOn w:val="11"/>
    <w:qFormat/>
    <w:uiPriority w:val="0"/>
    <w:rPr>
      <w:rFonts w:hint="eastAsia" w:ascii="宋体" w:hAnsi="宋体" w:eastAsia="宋体" w:cs="宋体"/>
      <w:color w:val="000000"/>
      <w:sz w:val="22"/>
      <w:szCs w:val="22"/>
      <w:u w:val="none"/>
    </w:rPr>
  </w:style>
  <w:style w:type="character" w:customStyle="1" w:styleId="23">
    <w:name w:val="font11"/>
    <w:basedOn w:val="11"/>
    <w:qFormat/>
    <w:uiPriority w:val="0"/>
    <w:rPr>
      <w:rFonts w:ascii="Adelle Sans Devanagari Extrabol" w:hAnsi="Adelle Sans Devanagari Extrabol" w:eastAsia="Adelle Sans Devanagari Extrabol" w:cs="Adelle Sans Devanagari Extrabol"/>
      <w:color w:val="000000"/>
      <w:sz w:val="22"/>
      <w:szCs w:val="22"/>
      <w:u w:val="none"/>
    </w:rPr>
  </w:style>
  <w:style w:type="paragraph" w:customStyle="1" w:styleId="24">
    <w:name w:val="WPSOffice手动目录 1"/>
    <w:qFormat/>
    <w:uiPriority w:val="0"/>
    <w:pPr>
      <w:ind w:leftChars="0"/>
    </w:pPr>
    <w:rPr>
      <w:rFonts w:asciiTheme="minorHAnsi" w:hAnsiTheme="minorHAnsi" w:eastAsiaTheme="minorEastAsia" w:cstheme="minorBidi"/>
      <w:sz w:val="20"/>
      <w:szCs w:val="20"/>
    </w:rPr>
  </w:style>
  <w:style w:type="paragraph" w:customStyle="1" w:styleId="25">
    <w:name w:val="WPSOffice手动目录 2"/>
    <w:qFormat/>
    <w:uiPriority w:val="0"/>
    <w:pPr>
      <w:ind w:leftChars="200"/>
    </w:pPr>
    <w:rPr>
      <w:rFonts w:asciiTheme="minorHAnsi" w:hAnsiTheme="minorHAnsi" w:eastAsiaTheme="minorEastAsia" w:cstheme="minorBidi"/>
      <w:sz w:val="20"/>
      <w:szCs w:val="20"/>
    </w:rPr>
  </w:style>
  <w:style w:type="paragraph" w:customStyle="1" w:styleId="26">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14503</Words>
  <Characters>14819</Characters>
  <Lines>123</Lines>
  <Paragraphs>34</Paragraphs>
  <TotalTime>21</TotalTime>
  <ScaleCrop>false</ScaleCrop>
  <LinksUpToDate>false</LinksUpToDate>
  <CharactersWithSpaces>15014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2024-09-06T11:36:00Z</dcterms:created>
  <dc:creator>13510005697@139.com</dc:creator>
  <cp:lastModifiedBy>小贰新</cp:lastModifiedBy>
  <dcterms:modified xsi:type="dcterms:W3CDTF">2024-09-23T03:01:17Z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F655C6A6A8034ADAB5AAE7CAF8E6A258_12</vt:lpwstr>
  </property>
</Properties>
</file>